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1" w:lineRule="exact"/>
        <w:rPr>
          <w:sz w:val="24"/>
          <w:szCs w:val="24"/>
          <w:color w:val="auto"/>
        </w:rPr>
      </w:pPr>
    </w:p>
    <w:p>
      <w:pPr>
        <w:ind w:left="3820" w:right="1660" w:hanging="3812"/>
        <w:spacing w:after="0" w:line="375" w:lineRule="auto"/>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3676015</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001-36517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Minerva Neurosciences,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9" w:lineRule="exact"/>
        <w:rPr>
          <w:sz w:val="24"/>
          <w:szCs w:val="24"/>
          <w:color w:val="auto"/>
        </w:rPr>
      </w:pPr>
    </w:p>
    <w:tbl>
      <w:tblPr>
        <w:tblLayout w:type="fixed"/>
        <w:tblInd w:w="1220" w:type="dxa"/>
        <w:tblCellMar>
          <w:top w:w="0" w:type="dxa"/>
          <w:left w:w="0" w:type="dxa"/>
          <w:bottom w:w="0" w:type="dxa"/>
          <w:right w:w="0" w:type="dxa"/>
        </w:tblCellMar>
      </w:tblPr>
      <w:tr>
        <w:trPr>
          <w:trHeight w:val="216"/>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26-0784194</w:t>
            </w:r>
          </w:p>
        </w:tc>
      </w:tr>
      <w:tr>
        <w:trPr>
          <w:trHeight w:val="216"/>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8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1500 District Avenue</w:t>
            </w:r>
          </w:p>
        </w:tc>
        <w:tc>
          <w:tcPr>
            <w:tcW w:w="3120" w:type="dxa"/>
            <w:vAlign w:val="bottom"/>
          </w:tcPr>
          <w:p>
            <w:pPr>
              <w:spacing w:after="0"/>
              <w:rPr>
                <w:sz w:val="24"/>
                <w:szCs w:val="24"/>
                <w:color w:val="auto"/>
              </w:rPr>
            </w:pPr>
          </w:p>
        </w:tc>
      </w:tr>
      <w:tr>
        <w:trPr>
          <w:trHeight w:val="216"/>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rPr>
              <w:t>Burlington, MA</w:t>
            </w:r>
          </w:p>
        </w:tc>
        <w:tc>
          <w:tcPr>
            <w:tcW w:w="3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01803</w:t>
            </w:r>
          </w:p>
        </w:tc>
      </w:tr>
      <w:tr>
        <w:trPr>
          <w:trHeight w:val="238"/>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(617) 600-7373</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64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p>
        </w:tc>
      </w:tr>
      <w:tr>
        <w:trPr>
          <w:trHeight w:val="212"/>
        </w:trPr>
        <w:tc>
          <w:tcPr>
            <w:tcW w:w="4320" w:type="dxa"/>
            <w:vAlign w:val="bottom"/>
            <w:tcBorders>
              <w:left w:val="single" w:sz="8" w:color="auto"/>
              <w:bottom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rPr>
              <w:t>Title of each class</w:t>
            </w:r>
          </w:p>
        </w:tc>
        <w:tc>
          <w:tcPr>
            <w:tcW w:w="2640" w:type="dxa"/>
            <w:vAlign w:val="bottom"/>
            <w:tcBorders>
              <w:bottom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Trading Symbol(s)</w:t>
            </w:r>
          </w:p>
        </w:tc>
        <w:tc>
          <w:tcPr>
            <w:tcW w:w="4280" w:type="dxa"/>
            <w:vAlign w:val="bottom"/>
            <w:tcBorders>
              <w:bottom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43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6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NERV</w:t>
            </w:r>
          </w:p>
        </w:tc>
        <w:tc>
          <w:tcPr>
            <w:tcW w:w="42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94"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08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Accelerated filer</w:t>
            </w:r>
          </w:p>
        </w:tc>
        <w:tc>
          <w:tcPr>
            <w:tcW w:w="18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08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8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08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spacing w:after="0"/>
              <w:rPr>
                <w:sz w:val="23"/>
                <w:szCs w:val="23"/>
                <w:color w:val="auto"/>
              </w:rPr>
            </w:pPr>
          </w:p>
        </w:tc>
        <w:tc>
          <w:tcPr>
            <w:tcW w:w="1800" w:type="dxa"/>
            <w:vAlign w:val="bottom"/>
          </w:tcPr>
          <w:p>
            <w:pPr>
              <w:spacing w:after="0"/>
              <w:rPr>
                <w:sz w:val="23"/>
                <w:szCs w:val="23"/>
                <w:color w:val="auto"/>
              </w:rPr>
            </w:pPr>
          </w:p>
        </w:tc>
      </w:tr>
    </w:tbl>
    <w:p>
      <w:pPr>
        <w:spacing w:after="0" w:line="74"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spacing w:after="0" w:line="184" w:lineRule="exact"/>
        <w:tabs>
          <w:tab w:leader="none" w:pos="6840" w:val="left"/>
          <w:tab w:leader="none" w:pos="74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Registrant’s Common Stock, $0.0001 par value per share, outstanding as of May 8, 2025 was 6,993,406.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950595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120" w:type="dxa"/>
            <w:vAlign w:val="bottom"/>
            <w:gridSpan w:val="12"/>
            <w:vMerge w:val="restart"/>
          </w:tcPr>
          <w:p>
            <w:pPr>
              <w:jc w:val="center"/>
              <w:ind w:right="3540"/>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120" w:type="dxa"/>
            <w:vAlign w:val="bottom"/>
            <w:gridSpan w:val="12"/>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4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2580" w:type="dxa"/>
            <w:vAlign w:val="bottom"/>
            <w:tcBorders>
              <w:top w:val="single" w:sz="8" w:color="0000EE"/>
            </w:tcBorders>
            <w:gridSpan w:val="6"/>
          </w:tcPr>
          <w:p>
            <w:pPr>
              <w:spacing w:after="0"/>
              <w:rPr>
                <w:sz w:val="24"/>
                <w:szCs w:val="24"/>
                <w:color w:val="auto"/>
              </w:rPr>
            </w:pPr>
          </w:p>
        </w:tc>
        <w:tc>
          <w:tcPr>
            <w:tcW w:w="3540" w:type="dxa"/>
            <w:vAlign w:val="bottom"/>
            <w:gridSpan w:val="6"/>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62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Balance Sheets as of March 31, 2025 and December 31, 2024</w:t>
            </w:r>
          </w:p>
        </w:tc>
        <w:tc>
          <w:tcPr>
            <w:tcW w:w="3260" w:type="dxa"/>
            <w:vAlign w:val="bottom"/>
            <w:gridSpan w:val="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95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2025 and 2024</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82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Stockholders’ Deficit for the three months ended March 31, 2025 and 2024</w:t>
            </w:r>
          </w:p>
        </w:tc>
        <w:tc>
          <w:tcPr>
            <w:tcW w:w="126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75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2025 and 2024</w:t>
            </w:r>
          </w:p>
        </w:tc>
        <w:tc>
          <w:tcPr>
            <w:tcW w:w="1960" w:type="dxa"/>
            <w:vAlign w:val="bottom"/>
            <w:gridSpan w:val="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95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080" w:type="dxa"/>
            <w:vAlign w:val="bottom"/>
            <w:gridSpan w:val="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5240" w:type="dxa"/>
            <w:vAlign w:val="bottom"/>
            <w:gridSpan w:val="9"/>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20" w:type="dxa"/>
            <w:vAlign w:val="bottom"/>
            <w:gridSpan w:val="11"/>
          </w:tcPr>
          <w:p>
            <w:pPr>
              <w:jc w:val="center"/>
              <w:ind w:right="3640"/>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380" w:type="dxa"/>
            <w:vAlign w:val="bottom"/>
            <w:tcBorders>
              <w:top w:val="single" w:sz="8" w:color="0000EE"/>
            </w:tcBorders>
            <w:gridSpan w:val="4"/>
          </w:tcPr>
          <w:p>
            <w:pPr>
              <w:spacing w:after="0"/>
              <w:rPr>
                <w:sz w:val="24"/>
                <w:szCs w:val="24"/>
                <w:color w:val="auto"/>
              </w:rPr>
            </w:pPr>
          </w:p>
        </w:tc>
        <w:tc>
          <w:tcPr>
            <w:tcW w:w="3640" w:type="dxa"/>
            <w:vAlign w:val="bottom"/>
            <w:gridSpan w:val="7"/>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EE"/>
            </w:tcBorders>
            <w:gridSpan w:val="2"/>
          </w:tcPr>
          <w:p>
            <w:pPr>
              <w:spacing w:after="0"/>
              <w:rPr>
                <w:sz w:val="17"/>
                <w:szCs w:val="17"/>
                <w:color w:val="auto"/>
              </w:rPr>
            </w:pPr>
          </w:p>
        </w:tc>
        <w:tc>
          <w:tcPr>
            <w:tcW w:w="8220" w:type="dxa"/>
            <w:vAlign w:val="bottom"/>
            <w:gridSpan w:val="1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EE"/>
            </w:tcBorders>
            <w:gridSpan w:val="6"/>
          </w:tcPr>
          <w:p>
            <w:pPr>
              <w:spacing w:after="0"/>
              <w:rPr>
                <w:sz w:val="17"/>
                <w:szCs w:val="17"/>
                <w:color w:val="auto"/>
              </w:rPr>
            </w:pPr>
          </w:p>
        </w:tc>
        <w:tc>
          <w:tcPr>
            <w:tcW w:w="5200" w:type="dxa"/>
            <w:vAlign w:val="bottom"/>
            <w:gridSpan w:val="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780" w:type="dxa"/>
            <w:vAlign w:val="bottom"/>
            <w:gridSpan w:val="1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EE"/>
            </w:tcBorders>
            <w:gridSpan w:val="2"/>
          </w:tcPr>
          <w:p>
            <w:pPr>
              <w:spacing w:after="0"/>
              <w:rPr>
                <w:sz w:val="17"/>
                <w:szCs w:val="17"/>
                <w:color w:val="auto"/>
              </w:rPr>
            </w:pPr>
          </w:p>
        </w:tc>
        <w:tc>
          <w:tcPr>
            <w:tcW w:w="8240" w:type="dxa"/>
            <w:vAlign w:val="bottom"/>
            <w:gridSpan w:val="1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12"/>
        </w:trPr>
        <w:tc>
          <w:tcPr>
            <w:tcW w:w="105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668"/>
        </w:trPr>
        <w:tc>
          <w:tcPr>
            <w:tcW w:w="10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20" w:type="dxa"/>
            <w:vAlign w:val="bottom"/>
            <w:gridSpan w:val="13"/>
          </w:tcPr>
          <w:p>
            <w:pPr>
              <w:jc w:val="right"/>
              <w:ind w:right="12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suggests otherwise, references in this Quarterly Report on Form 10-Q, or Quarterly Report, to “Minerva,” “the Company,” “we,” “us,” and “our” refer to Minerva Neurosciences, Inc. and, where appropriate, its subsidiaries.</w:t>
      </w:r>
    </w:p>
    <w:p>
      <w:pPr>
        <w:spacing w:after="0" w:line="1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Quarterly Report on Form 10-Q under Part II, Item IA, “Risk Factors” and in our Annual Report on Form 10-K for the year ended December 31, 2024 under Part I, Item IA, “Risk Factors.”</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trade names and service marks appearing in this Quarterly Report on Form 10-Q are the property of their respective owners.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0"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20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540" w:type="dxa"/>
            <w:vAlign w:val="bottom"/>
            <w:shd w:val="clear" w:color="auto" w:fill="CFF0FC"/>
          </w:tcPr>
          <w:p>
            <w:pPr>
              <w:ind w:left="35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17,290,048</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21,362,008</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534,798</w:t>
            </w:r>
          </w:p>
        </w:tc>
        <w:tc>
          <w:tcPr>
            <w:tcW w:w="3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806,895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17,924,846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22,268,903</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10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14,869,399</w:t>
            </w:r>
          </w:p>
        </w:tc>
        <w:tc>
          <w:tcPr>
            <w:tcW w:w="3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14,869,399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32,798,326</w:t>
            </w:r>
          </w:p>
        </w:tc>
        <w:tc>
          <w:tcPr>
            <w:tcW w:w="34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37,143,744</w:t>
            </w:r>
          </w:p>
        </w:tc>
        <w:tc>
          <w:tcPr>
            <w:tcW w:w="10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40" w:type="dxa"/>
            <w:vAlign w:val="bottom"/>
          </w:tcPr>
          <w:p>
            <w:pPr>
              <w:ind w:left="238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639,946</w:t>
            </w:r>
          </w:p>
        </w:tc>
        <w:tc>
          <w:tcPr>
            <w:tcW w:w="34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1,607,844</w:t>
            </w:r>
          </w:p>
        </w:tc>
        <w:tc>
          <w:tcPr>
            <w:tcW w:w="10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1,307,223</w:t>
            </w:r>
          </w:p>
        </w:tc>
        <w:tc>
          <w:tcPr>
            <w:tcW w:w="3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1,947,169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2,836,844</w:t>
            </w:r>
          </w:p>
        </w:tc>
        <w:tc>
          <w:tcPr>
            <w:tcW w:w="10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3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60,000,000</w:t>
            </w:r>
          </w:p>
        </w:tc>
        <w:tc>
          <w:tcPr>
            <w:tcW w:w="3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61,947,169</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62,836,844</w:t>
            </w:r>
          </w:p>
        </w:tc>
        <w:tc>
          <w:tcPr>
            <w:tcW w:w="100" w:type="dxa"/>
            <w:vAlign w:val="bottom"/>
          </w:tcPr>
          <w:p>
            <w:pPr>
              <w:spacing w:after="0"/>
              <w:rPr>
                <w:sz w:val="18"/>
                <w:szCs w:val="18"/>
                <w:color w:val="auto"/>
              </w:rPr>
            </w:pPr>
          </w:p>
        </w:tc>
      </w:tr>
      <w:tr>
        <w:trPr>
          <w:trHeight w:val="21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5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100,000,000 shares authorized; none issued or outstanding as of</w:t>
            </w: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 2025 and December 31, 2024</w:t>
            </w:r>
          </w:p>
        </w:tc>
        <w:tc>
          <w:tcPr>
            <w:tcW w:w="300" w:type="dxa"/>
            <w:vAlign w:val="bottom"/>
          </w:tcPr>
          <w:p>
            <w:pPr>
              <w:spacing w:after="0"/>
              <w:rPr>
                <w:sz w:val="20"/>
                <w:szCs w:val="20"/>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125,000,000 shares authorized; 6,993,406 shares issued and</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as of March 31, 2025 and December 31, 2024</w:t>
            </w:r>
          </w:p>
        </w:tc>
        <w:tc>
          <w:tcPr>
            <w:tcW w:w="3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FF0FC"/>
          </w:tcPr>
          <w:p>
            <w:pPr>
              <w:spacing w:after="0"/>
              <w:rPr>
                <w:sz w:val="20"/>
                <w:szCs w:val="20"/>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369,979,993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369,682,764</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(399,129,535)</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(395,376,563)</w:t>
            </w:r>
          </w:p>
        </w:tc>
      </w:tr>
      <w:tr>
        <w:trPr>
          <w:trHeight w:val="20"/>
        </w:trPr>
        <w:tc>
          <w:tcPr>
            <w:tcW w:w="75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0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(29,148,843)</w:t>
            </w:r>
          </w:p>
        </w:tc>
        <w:tc>
          <w:tcPr>
            <w:tcW w:w="22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(25,693,100)</w:t>
            </w:r>
          </w:p>
        </w:tc>
      </w:tr>
      <w:tr>
        <w:trPr>
          <w:trHeight w:val="249"/>
        </w:trPr>
        <w:tc>
          <w:tcPr>
            <w:tcW w:w="75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32,798,326</w:t>
            </w:r>
          </w:p>
        </w:tc>
        <w:tc>
          <w:tcPr>
            <w:tcW w:w="3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37,143,744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-3402330</wp:posOffset>
            </wp:positionV>
            <wp:extent cx="77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-3402330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-2845435</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-1988185</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-1704975</wp:posOffset>
            </wp:positionV>
            <wp:extent cx="77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-316230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77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ind w:left="422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540" w:type="dxa"/>
            <w:vAlign w:val="bottom"/>
            <w:gridSpan w:val="5"/>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7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1,362,438</w:t>
            </w:r>
          </w:p>
        </w:tc>
        <w:tc>
          <w:tcPr>
            <w:tcW w:w="3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4,167,287</w:t>
            </w:r>
          </w:p>
        </w:tc>
        <w:tc>
          <w:tcPr>
            <w:tcW w:w="100" w:type="dxa"/>
            <w:vAlign w:val="bottom"/>
          </w:tcPr>
          <w:p>
            <w:pPr>
              <w:spacing w:after="0"/>
              <w:rPr>
                <w:sz w:val="18"/>
                <w:szCs w:val="18"/>
                <w:color w:val="auto"/>
              </w:rPr>
            </w:pPr>
          </w:p>
        </w:tc>
      </w:tr>
      <w:tr>
        <w:trPr>
          <w:trHeight w:val="216"/>
        </w:trPr>
        <w:tc>
          <w:tcPr>
            <w:tcW w:w="5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2,540,446</w:t>
            </w:r>
          </w:p>
        </w:tc>
        <w:tc>
          <w:tcPr>
            <w:tcW w:w="3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2,514,676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expenses</w:t>
            </w:r>
          </w:p>
        </w:tc>
        <w:tc>
          <w:tcPr>
            <w:tcW w:w="16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3,902,884</w:t>
            </w:r>
          </w:p>
        </w:tc>
        <w:tc>
          <w:tcPr>
            <w:tcW w:w="3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6,681,963</w:t>
            </w:r>
          </w:p>
        </w:tc>
        <w:tc>
          <w:tcPr>
            <w:tcW w:w="100" w:type="dxa"/>
            <w:vAlign w:val="bottom"/>
          </w:tcPr>
          <w:p>
            <w:pPr>
              <w:spacing w:after="0"/>
              <w:rPr>
                <w:sz w:val="18"/>
                <w:szCs w:val="18"/>
                <w:color w:val="auto"/>
              </w:rPr>
            </w:pP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(3,902,884)</w:t>
            </w: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(6,681,963)</w:t>
            </w:r>
          </w:p>
        </w:tc>
      </w:tr>
      <w:tr>
        <w:trPr>
          <w:trHeight w:val="216"/>
        </w:trPr>
        <w:tc>
          <w:tcPr>
            <w:tcW w:w="5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(losses) gains</w:t>
            </w:r>
          </w:p>
        </w:tc>
        <w:tc>
          <w:tcPr>
            <w:tcW w:w="16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(8,376)</w:t>
            </w: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158,288</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357,908</w:t>
            </w: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w:t>
            </w:r>
          </w:p>
        </w:tc>
        <w:tc>
          <w:tcPr>
            <w:tcW w:w="16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(2,250,243)</w:t>
            </w:r>
          </w:p>
        </w:tc>
      </w:tr>
      <w:tr>
        <w:trPr>
          <w:trHeight w:val="20"/>
        </w:trPr>
        <w:tc>
          <w:tcPr>
            <w:tcW w:w="570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loss</w:t>
            </w:r>
          </w:p>
        </w:tc>
        <w:tc>
          <w:tcPr>
            <w:tcW w:w="2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(3,752,972)</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(8,568,805)</w:t>
            </w:r>
          </w:p>
        </w:tc>
      </w:tr>
      <w:tr>
        <w:trPr>
          <w:trHeight w:val="20"/>
        </w:trPr>
        <w:tc>
          <w:tcPr>
            <w:tcW w:w="5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(0.50)</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r>
      <w:tr>
        <w:trPr>
          <w:trHeight w:val="20"/>
        </w:trPr>
        <w:tc>
          <w:tcPr>
            <w:tcW w:w="5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7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16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7,568,981</w:t>
            </w:r>
          </w:p>
        </w:tc>
        <w:tc>
          <w:tcPr>
            <w:tcW w:w="3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7,568,981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-1473835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-633730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 w:name="page6"/>
    <w:bookmarkEnd w:id="5"/>
    <w:p>
      <w:pPr>
        <w:ind w:left="422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360" w:type="dxa"/>
            <w:vAlign w:val="bottom"/>
          </w:tcPr>
          <w:p>
            <w:pPr>
              <w:spacing w:after="0"/>
              <w:rPr>
                <w:sz w:val="12"/>
                <w:szCs w:val="12"/>
                <w:color w:val="auto"/>
              </w:rPr>
            </w:pPr>
          </w:p>
        </w:tc>
        <w:tc>
          <w:tcPr>
            <w:tcW w:w="1380" w:type="dxa"/>
            <w:vAlign w:val="bottom"/>
            <w:tcBorders>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at January 1, 2024</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6,993,406</w:t>
            </w:r>
          </w:p>
        </w:tc>
        <w:tc>
          <w:tcPr>
            <w:tcW w:w="6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368,357,239</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(396,815,428)</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(28,457,490)</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438,849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438,849</w:t>
            </w:r>
          </w:p>
        </w:tc>
        <w:tc>
          <w:tcPr>
            <w:tcW w:w="100" w:type="dxa"/>
            <w:vAlign w:val="bottom"/>
          </w:tcPr>
          <w:p>
            <w:pPr>
              <w:spacing w:after="0"/>
              <w:rPr>
                <w:sz w:val="18"/>
                <w:szCs w:val="18"/>
                <w:color w:val="auto"/>
              </w:rPr>
            </w:pP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(8,568,805)</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(8,568,805)</w:t>
            </w:r>
          </w:p>
        </w:tc>
      </w:tr>
      <w:tr>
        <w:trPr>
          <w:trHeight w:val="20"/>
        </w:trPr>
        <w:tc>
          <w:tcPr>
            <w:tcW w:w="336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2024</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6,993,406</w:t>
            </w:r>
          </w:p>
        </w:tc>
        <w:tc>
          <w:tcPr>
            <w:tcW w:w="2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368,796,088</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(405,384,233)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(36,587,446)</w:t>
            </w:r>
          </w:p>
        </w:tc>
      </w:tr>
      <w:tr>
        <w:trPr>
          <w:trHeight w:val="20"/>
        </w:trPr>
        <w:tc>
          <w:tcPr>
            <w:tcW w:w="33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3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-307975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-307975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-307975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-307975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Balances at January 1, 2025 </w:t>
      </w:r>
      <w:r>
        <w:rPr>
          <w:rFonts w:ascii="Times New Roman" w:cs="Times New Roman" w:eastAsia="Times New Roman" w:hAnsi="Times New Roman"/>
          <w:sz w:val="18"/>
          <w:szCs w:val="18"/>
          <w:color w:val="auto"/>
        </w:rPr>
        <w:t>Stock-based compensation Net loss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Balances at March 31,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360" w:type="dxa"/>
        <w:tblCellMar>
          <w:top w:w="0" w:type="dxa"/>
          <w:left w:w="0" w:type="dxa"/>
          <w:bottom w:w="0" w:type="dxa"/>
          <w:right w:w="0" w:type="dxa"/>
        </w:tblCellMar>
      </w:tblPr>
      <w:tr>
        <w:trPr>
          <w:trHeight w:val="198"/>
        </w:trPr>
        <w:tc>
          <w:tcPr>
            <w:tcW w:w="13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6,993,406</w:t>
            </w:r>
          </w:p>
        </w:tc>
        <w:tc>
          <w:tcPr>
            <w:tcW w:w="840" w:type="dxa"/>
            <w:vAlign w:val="bottom"/>
            <w:gridSpan w:val="2"/>
          </w:tcPr>
          <w:p>
            <w:pPr>
              <w:jc w:val="right"/>
              <w:ind w:right="390"/>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699</w:t>
            </w:r>
          </w:p>
        </w:tc>
        <w:tc>
          <w:tcPr>
            <w:tcW w:w="520" w:type="dxa"/>
            <w:vAlign w:val="bottom"/>
            <w:gridSpan w:val="2"/>
          </w:tcPr>
          <w:p>
            <w:pPr>
              <w:jc w:val="right"/>
              <w:ind w:right="96"/>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369,682,764</w:t>
            </w:r>
          </w:p>
        </w:tc>
        <w:tc>
          <w:tcPr>
            <w:tcW w:w="480" w:type="dxa"/>
            <w:vAlign w:val="bottom"/>
            <w:gridSpan w:val="2"/>
          </w:tcPr>
          <w:p>
            <w:pPr>
              <w:jc w:val="right"/>
              <w:ind w:right="50"/>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121"/>
              <w:spacing w:after="0" w:line="198" w:lineRule="exact"/>
              <w:rPr>
                <w:sz w:val="20"/>
                <w:szCs w:val="20"/>
                <w:color w:val="auto"/>
              </w:rPr>
            </w:pPr>
            <w:r>
              <w:rPr>
                <w:rFonts w:ascii="Times New Roman" w:cs="Times New Roman" w:eastAsia="Times New Roman" w:hAnsi="Times New Roman"/>
                <w:sz w:val="18"/>
                <w:szCs w:val="18"/>
                <w:b w:val="1"/>
                <w:bCs w:val="1"/>
                <w:color w:val="auto"/>
              </w:rPr>
              <w:t>(395,376,563)</w:t>
            </w:r>
          </w:p>
        </w:tc>
        <w:tc>
          <w:tcPr>
            <w:tcW w:w="28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(25,693,100)</w:t>
            </w:r>
          </w:p>
        </w:tc>
      </w:tr>
      <w:tr>
        <w:trPr>
          <w:trHeight w:val="216"/>
        </w:trPr>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297,229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297,229</w:t>
            </w:r>
          </w:p>
        </w:tc>
        <w:tc>
          <w:tcPr>
            <w:tcW w:w="60" w:type="dxa"/>
            <w:vAlign w:val="bottom"/>
          </w:tcPr>
          <w:p>
            <w:pPr>
              <w:spacing w:after="0"/>
              <w:rPr>
                <w:sz w:val="18"/>
                <w:szCs w:val="18"/>
                <w:color w:val="auto"/>
              </w:rPr>
            </w:pPr>
          </w:p>
        </w:tc>
      </w:tr>
      <w:tr>
        <w:trPr>
          <w:trHeight w:val="234"/>
        </w:trPr>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(3,752,972)</w:t>
            </w:r>
          </w:p>
        </w:tc>
        <w:tc>
          <w:tcPr>
            <w:tcW w:w="2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(3,752,972)</w:t>
            </w:r>
          </w:p>
        </w:tc>
      </w:tr>
      <w:tr>
        <w:trPr>
          <w:trHeight w:val="209"/>
        </w:trPr>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6,993,406</w:t>
            </w:r>
          </w:p>
        </w:tc>
        <w:tc>
          <w:tcPr>
            <w:tcW w:w="2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369,979,993</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(399,129,535</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(29,148,843)</w:t>
            </w:r>
          </w:p>
        </w:tc>
        <w:tc>
          <w:tcPr>
            <w:tcW w:w="60" w:type="dxa"/>
            <w:vAlign w:val="bottom"/>
          </w:tcPr>
          <w:p>
            <w:pPr>
              <w:spacing w:after="0"/>
              <w:rPr>
                <w:sz w:val="18"/>
                <w:szCs w:val="18"/>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-445135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-162560</wp:posOffset>
            </wp:positionV>
            <wp:extent cx="713232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8" w:lineRule="exact"/>
        <w:rPr>
          <w:sz w:val="20"/>
          <w:szCs w:val="20"/>
          <w:color w:val="auto"/>
        </w:rPr>
      </w:pPr>
    </w:p>
    <w:p>
      <w:pPr>
        <w:jc w:val="center"/>
        <w:ind w:right="3000"/>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23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280" w:space="720"/>
            <w:col w:w="8240"/>
          </w:cols>
          <w:pgMar w:left="320" w:top="1012" w:right="339" w:bottom="1440" w:gutter="0" w:footer="0" w:header="0"/>
          <w:type w:val="continuous"/>
        </w:sectPr>
      </w:pPr>
    </w:p>
    <w:bookmarkStart w:id="6" w:name="page7"/>
    <w:bookmarkEnd w:id="6"/>
    <w:p>
      <w:pPr>
        <w:ind w:left="422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(3,752,972)</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(8,568,805)</w:t>
            </w: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capitalized software</w:t>
            </w: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6,385</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438,849</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interest expense associated with the sale of future royalties</w:t>
            </w: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2,250,243</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272,097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287,319</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(967,898)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(369,752)</w:t>
            </w:r>
          </w:p>
        </w:tc>
      </w:tr>
      <w:tr>
        <w:trPr>
          <w:trHeight w:val="216"/>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78,223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(139,870)</w:t>
            </w:r>
          </w:p>
        </w:tc>
      </w:tr>
      <w:tr>
        <w:trPr>
          <w:trHeight w:val="20"/>
        </w:trPr>
        <w:tc>
          <w:tcPr>
            <w:tcW w:w="684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(4,071,960)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(6,094,271)</w:t>
            </w:r>
          </w:p>
        </w:tc>
      </w:tr>
      <w:tr>
        <w:trPr>
          <w:trHeight w:val="209"/>
        </w:trPr>
        <w:tc>
          <w:tcPr>
            <w:tcW w:w="68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840" w:type="dxa"/>
            <w:vAlign w:val="bottom"/>
            <w:tcBorders>
              <w:top w:val="single" w:sz="8" w:color="CFF0FC"/>
            </w:tcBorders>
          </w:tcPr>
          <w:p>
            <w:pPr>
              <w:spacing w:after="0"/>
              <w:rPr>
                <w:sz w:val="18"/>
                <w:szCs w:val="18"/>
                <w:color w:val="auto"/>
              </w:rPr>
            </w:pPr>
          </w:p>
        </w:tc>
        <w:tc>
          <w:tcPr>
            <w:tcW w:w="82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6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(4,071,960)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(6,094,271)</w:t>
            </w:r>
          </w:p>
        </w:tc>
      </w:tr>
      <w:tr>
        <w:trPr>
          <w:trHeight w:val="216"/>
        </w:trPr>
        <w:tc>
          <w:tcPr>
            <w:tcW w:w="6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8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21,462,008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41,012,575</w:t>
            </w:r>
          </w:p>
        </w:tc>
        <w:tc>
          <w:tcPr>
            <w:tcW w:w="100" w:type="dxa"/>
            <w:vAlign w:val="bottom"/>
          </w:tcPr>
          <w:p>
            <w:pPr>
              <w:spacing w:after="0"/>
              <w:rPr>
                <w:sz w:val="18"/>
                <w:szCs w:val="18"/>
                <w:color w:val="auto"/>
              </w:rPr>
            </w:pPr>
          </w:p>
        </w:tc>
      </w:tr>
      <w:tr>
        <w:trPr>
          <w:trHeight w:val="249"/>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17,390,048</w:t>
            </w:r>
          </w:p>
        </w:tc>
        <w:tc>
          <w:tcPr>
            <w:tcW w:w="18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34,918,304</w:t>
            </w:r>
          </w:p>
        </w:tc>
        <w:tc>
          <w:tcPr>
            <w:tcW w:w="100" w:type="dxa"/>
            <w:vAlign w:val="bottom"/>
            <w:shd w:val="clear" w:color="auto" w:fill="CFF0FC"/>
          </w:tcPr>
          <w:p>
            <w:pPr>
              <w:spacing w:after="0"/>
              <w:rPr>
                <w:sz w:val="21"/>
                <w:szCs w:val="21"/>
                <w:color w:val="auto"/>
              </w:rPr>
            </w:pPr>
          </w:p>
        </w:tc>
      </w:tr>
      <w:tr>
        <w:trPr>
          <w:trHeight w:val="174"/>
        </w:trPr>
        <w:tc>
          <w:tcPr>
            <w:tcW w:w="6840" w:type="dxa"/>
            <w:vAlign w:val="bottom"/>
            <w:tcBorders>
              <w:top w:val="single" w:sz="8" w:color="CFF0FC"/>
            </w:tcBorders>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Reconciliation of the Condensed Consolidated Statements of Cash Flows to the</w:t>
            </w:r>
          </w:p>
        </w:tc>
        <w:tc>
          <w:tcPr>
            <w:tcW w:w="82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38"/>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17,290,048</w:t>
            </w: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34,818,304</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8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r>
      <w:tr>
        <w:trPr>
          <w:trHeight w:val="230"/>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17,390,048</w:t>
            </w:r>
          </w:p>
        </w:tc>
        <w:tc>
          <w:tcPr>
            <w:tcW w:w="1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34,918,304</w:t>
            </w:r>
          </w:p>
        </w:tc>
        <w:tc>
          <w:tcPr>
            <w:tcW w:w="100" w:type="dxa"/>
            <w:vAlign w:val="bottom"/>
            <w:shd w:val="clear" w:color="auto" w:fill="CFF0FC"/>
          </w:tcPr>
          <w:p>
            <w:pPr>
              <w:spacing w:after="0"/>
              <w:rPr>
                <w:sz w:val="19"/>
                <w:szCs w:val="19"/>
                <w:color w:val="auto"/>
              </w:rPr>
            </w:pPr>
          </w:p>
        </w:tc>
      </w:tr>
      <w:tr>
        <w:trPr>
          <w:trHeight w:val="20"/>
        </w:trPr>
        <w:tc>
          <w:tcPr>
            <w:tcW w:w="68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-2451100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-1876425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-1593850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-745490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-728345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of March 31, 2025 and for the Three Months Ended March 31, 2025 and 2024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 AND LIQUIDITY</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Minerva Neurosciences, Inc. (“Minerva” or the “Company”) is a clinical-stage biopharmaceutical company focused on the development and commercialization of proprietary product candidates to treat patients suffering from central nervous system (“CNS”) diseases. The Company’s lead product candidate is roluperidone, a compound the Company is developing for the treatment of negative symptoms in patients with schizophrenia. The Company previously submitted a New Drug Application (“NDA”) with the U.S. Food and Drug Administration (“FDA”) for roluperidone for the treatment of negative symptoms in schizophrenia in August 2022. On February 26, 2024, the FDA issued a Complete Response Letter (“CRL”) regarding the NDA for roluperidone. Since receiving the CRL, the Company has continued to have interactions with the FDA with the goal of addressing the questions raised in the CRL.</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also has exclusive rights to develop and commercialize MIN-301, a compound for the treatment of Parkinson’s disease. In addition, Minerva previously co-developed seltorexant with Janssen Pharmaceutica NV (“Janssen”) for the treatment of insomnia disorder and adjunctive treatment of Major Depressive Disorder (“MDD”). During 2020, Minerva exercised its right to opt out of the joint development agreement with Janssen for the future development of seltorexant. As a result, the Company was entitled to collect royalties in the mid-single digits on potential future worldwide sales of seltorexant in certain indications, with no further financial obligations to Janssen. In January 2021, the Company sold its rights to these potential royalties to Royalty Pharma plc (“Royalty Pharma”) for a $60 million up front payment and up to an additional $95 million in potential future milestone payments.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 accompanying interim condensed consolidated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March 31, 2025, the Company had an accumulated deficit of approximately $399.1 million and net cash used in operating activities was approximately $4.1 million during the three months ended March 31, 2025. Management expects to continue to incur operating losses and negative cash flows from operations in the future. The Company has financed its operations to date from proceeds from the sale of common stock, warrants, loans, convertible promissory notes, collaboration agreements and royalty sales.</w:t>
      </w:r>
    </w:p>
    <w:p>
      <w:pPr>
        <w:spacing w:after="0" w:line="16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March 31, 2025, the Company had cash, cash equivalents, and restricted cash of $17.4 million, which it believes will be sufficient to meet the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operating commitments for the next 12 months from the date its financial statements are issued. The process of drug development can be costly and the timing and outcomes of clinical trials is uncertain. The assumptions upon which the Company has based its estimates are routinely evaluated and may be subject to change. The actual amount of the Company’s expenditures will vary depending upon many factors, including, but not limited to, the design, timing and duration of future clinical trials, the progress of the Company’s research and development programs, the infrastructure to support a commercial enterprise, and the level of financial resources available. The Company can adjust its operating plan spending levels based on the timing of future clinical trials, which are predicated upon adequate funding to complete the trials. The Company routinely evaluates the status of its clinical development programs as well as potential strategic options.</w:t>
      </w:r>
    </w:p>
    <w:p>
      <w:pPr>
        <w:spacing w:after="0" w:line="19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will need to raise additional capital to continue to fund operations and fully fund any potential later stage clinical development programs. The Company believes that it will be able to obtain additional working capital through equity financings or other arrangements to fund future operations; however, there can be no assurance that such additional financing, if available, can be obtained on terms acceptable to the Company. If the Company is unable to obtain such additional financing, future operations would need to be scaled back or discontinued.</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Further, if the Company does not satisfy The Nasdaq Capital Market continued listing requirements, its common stock may be subject to delisting, which could impact the Company’s ability to complete additional equity financings on terms acceptable to the Company. On March 17, 2025, the Company was formally notified that the Nasdaq Hearings Panel (the “Panel”) of the Nasdaq Stock Market LLC (“Nasdaq”) determined that the Company regained compliance with Nasdaq Listing Rule 5550(b)(3) (the “Net Income Rule”), which requires listed companies to maintain a minimum of $500,000 of net income from continuing operations. Pursuant to Nasdaq Listing Rule 5815(d)(4)(A), the Company will be subject to a discretionary panel monitor for a period of one year from March 17,</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8" w:name="page9"/>
    <w:bookmarkEnd w:id="8"/>
    <w:p>
      <w:pPr>
        <w:spacing w:after="0" w:line="258" w:lineRule="auto"/>
        <w:rPr>
          <w:sz w:val="20"/>
          <w:szCs w:val="20"/>
          <w:color w:val="auto"/>
        </w:rPr>
      </w:pPr>
      <w:r>
        <w:rPr>
          <w:rFonts w:ascii="Times New Roman" w:cs="Times New Roman" w:eastAsia="Times New Roman" w:hAnsi="Times New Roman"/>
          <w:sz w:val="18"/>
          <w:szCs w:val="18"/>
          <w:color w:val="auto"/>
        </w:rPr>
        <w:t>2025. If, within that one-year monitoring period, the Company fails to maintain compliance with any Nasdaq continued listing requirement, the Listing Qualifications Staff (the “Staff”) of Nasdaq will issue a Delist Determination Letter, and the Company will have an opportunity to request a new hearing with the initial Panel or a newly convened Hearings Panel if the initial Panel is unavailable. Notwithstanding Nasdaq Listing Rule 5810(c)(2), the Company will not be permitted to provide the Staff with a plan of compliance with respect to any deficiency that arises during the one-year monitoring period, and the Staff will not be permitted to grant additional time for the Company to regain compliance with respect to any deficiency.</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previously disclosed, on April 10, 2024, the Company received written notice from Nasdaq notifying the Company that for the last 31 consecutive business days, the Company’s minimum Market Value of Listed Securities was below the minimum of $35 million required for continued listing on The Nasdaq Capital Market pursuant to Nasdaq Listing Rule 5550(b)(2). In addition, on January 10, 2025, the Company received a notice from Nasdaq indicating that following the Company’s hearing before the Panel on December 10, 2024, the Panel granted the Company’s request for continued listing on Nasdaq through March 31, 2025, subject to the Company’s compliance with Nasdaq Listing Rule 5550(b)(1) (the “Equity Rule”), among other conditions. While the Company had initially planned to regain compliance with the Equity Rule, upon review of the Company’s Annual Report on Form 10-K for the year ended December 31, 2024, the Staff confirmed that the Company demonstrated compliance with the Net Income Rule. Accordingly, the Panel determined to continue the listing of the Company’s securities on Nasdaq and closed the matter.</w:t>
      </w:r>
    </w:p>
    <w:p>
      <w:pPr>
        <w:spacing w:after="0" w:line="19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maintain compliance with Nasdaq’s listing standards or that the Company will be able to continue its listing on Nasdaq.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interim condensed consolidated financial statements have been prepared in accordance with accounting principles generally accepted in the United States of America (“GAAP”) for interim reporting and the requirements of the Securities and Exchange Commission (“SEC”) in accordance with Regulation S-X, Rule 8-03. Under those rules, certain notes and financial information that are normally required for annual financial statements can be condensed or omitted. In the opinion of the Company’s management, the accompanying financial statements contain all adjustments (consisting of items of a normal and recurring nature) necessary to present fairly the financial position as of March 31, 2025, the results of operations for the three months ended March 31, 2025 and 2024 and cash flows for the three months ended March 31, 2025 and 2024. The results of operations for the three months ended March 31, 2025 are not necessarily indicative of the results to be expected for the full year. The consolidated balance sheet as of December 31, 2024 was derived from the audited annual financial statements. The accompanying unaudited condensed consolidated financial statements and notes thereto should be read in conjunction with the audited consolidated financial statements for the year ended December 31, 2024 included in the Company’s Annual Report on Form 10-K filed with the SEC on February 25, 2025.</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 w:name="page10"/>
    <w:bookmarkEnd w:id="9"/>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Cash accounts with any type of restriction are classified as restricted. The Company maintained restricted cash balances as collateral for corporate credit cards in the amount of $0.1 million at each of March 31, 2025 and December 31, 2024.</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(business activity from which it earns revenue and incurs expenses) about which discrete financial information is available and regularly reviewed by the chief operating decision maker (“CODM”) in deciding how to allocate resources and in assessing performance. The Company’s CODM is the Chief Executive Officer. The CODM evaluates performance of the segments based on net income (loss). The CODM also reviews operating results and previously forecasted financial information to make decisions about allocating resources and assessing performance for the entire Company.</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Company’s operations are organized into one operating and one reportable segment focused on the development and commercialization of proprietary product candidates to treat patients suffering from CNS diseases. The one operating segment is managed on a consolidated basis. The operating segment’s revenue would be generated from commercial sales or license agreements of the product candidates. However, none of the Company’s product candidates has been approved for commercialization and it has not received any revenue in connection with the sale or license of its product candidates. Furthermore, except for most of Asia, the Company has global commercialization rights for roluperidone and also owns worldwide rights for MIN-301 and the Sigma Ligands.</w:t>
      </w:r>
    </w:p>
    <w:p>
      <w:pPr>
        <w:spacing w:after="0" w:line="187"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color w:val="auto"/>
        </w:rPr>
        <w:t>The CODM does not evaluate operating segments using asset or liability information and therefore it is not disclosed. The following table summarizes the reportable segment’s financial information:</w:t>
      </w:r>
    </w:p>
    <w:tbl>
      <w:tblPr>
        <w:tblLayout w:type="fixed"/>
        <w:tblInd w:w="0"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6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Research and development staff related expenses </w:t>
            </w:r>
            <w:r>
              <w:rPr>
                <w:rFonts w:ascii="Times New Roman" w:cs="Times New Roman" w:eastAsia="Times New Roman" w:hAnsi="Times New Roman"/>
                <w:sz w:val="24"/>
                <w:szCs w:val="24"/>
                <w:color w:val="auto"/>
                <w:vertAlign w:val="superscript"/>
              </w:rPr>
              <w:t>(1)</w:t>
            </w:r>
          </w:p>
        </w:tc>
        <w:tc>
          <w:tcPr>
            <w:tcW w:w="11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465,991</w:t>
            </w:r>
          </w:p>
        </w:tc>
        <w:tc>
          <w:tcPr>
            <w:tcW w:w="16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1,025,483</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Research and development drug product material expenses and associated costs </w:t>
            </w:r>
            <w:r>
              <w:rPr>
                <w:rFonts w:ascii="Times New Roman" w:cs="Times New Roman" w:eastAsia="Times New Roman" w:hAnsi="Times New Roman"/>
                <w:sz w:val="24"/>
                <w:szCs w:val="24"/>
                <w:color w:val="auto"/>
                <w:vertAlign w:val="superscript"/>
              </w:rPr>
              <w:t>(2)</w:t>
            </w: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43,313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486,305</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 stock compensation expenses (non-cash)</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192,385</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staff related expenses </w:t>
            </w:r>
            <w:r>
              <w:rPr>
                <w:rFonts w:ascii="Times New Roman" w:cs="Times New Roman" w:eastAsia="Times New Roman" w:hAnsi="Times New Roman"/>
                <w:sz w:val="24"/>
                <w:szCs w:val="24"/>
                <w:color w:val="auto"/>
                <w:vertAlign w:val="superscript"/>
              </w:rPr>
              <w:t>(1)</w:t>
            </w: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942,631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882,015</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 stock compensation expenses (non-cash)</w:t>
            </w:r>
          </w:p>
        </w:tc>
        <w:tc>
          <w:tcPr>
            <w:tcW w:w="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246,464</w:t>
            </w:r>
          </w:p>
        </w:tc>
        <w:tc>
          <w:tcPr>
            <w:tcW w:w="120" w:type="dxa"/>
            <w:vAlign w:val="bottom"/>
          </w:tcPr>
          <w:p>
            <w:pPr>
              <w:spacing w:after="0"/>
              <w:rPr>
                <w:sz w:val="18"/>
                <w:szCs w:val="18"/>
                <w:color w:val="auto"/>
              </w:rPr>
            </w:pPr>
          </w:p>
        </w:tc>
      </w:tr>
      <w:tr>
        <w:trPr>
          <w:trHeight w:val="209"/>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1,749,164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2,832,652</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Other segment expense, net </w:t>
            </w:r>
            <w:r>
              <w:rPr>
                <w:rFonts w:ascii="Times New Roman" w:cs="Times New Roman" w:eastAsia="Times New Roman" w:hAnsi="Times New Roman"/>
                <w:sz w:val="24"/>
                <w:szCs w:val="24"/>
                <w:b w:val="1"/>
                <w:bCs w:val="1"/>
                <w:color w:val="auto"/>
                <w:vertAlign w:val="superscript"/>
              </w:rPr>
              <w:t>(3)</w:t>
            </w:r>
          </w:p>
        </w:tc>
        <w:tc>
          <w:tcPr>
            <w:tcW w:w="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2,153,720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3,849,311</w:t>
            </w:r>
          </w:p>
        </w:tc>
        <w:tc>
          <w:tcPr>
            <w:tcW w:w="120" w:type="dxa"/>
            <w:vAlign w:val="bottom"/>
          </w:tcPr>
          <w:p>
            <w:pPr>
              <w:spacing w:after="0"/>
              <w:rPr>
                <w:sz w:val="18"/>
                <w:szCs w:val="18"/>
                <w:color w:val="auto"/>
              </w:rPr>
            </w:pPr>
          </w:p>
        </w:tc>
      </w:tr>
      <w:tr>
        <w:trPr>
          <w:trHeight w:val="210"/>
        </w:trPr>
        <w:tc>
          <w:tcPr>
            <w:tcW w:w="68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8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3,902,884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6,681,963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(3,902,884)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(6,681,963)</w:t>
            </w: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Reconciling items:</w:t>
            </w: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 exchange (losses) gains</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(8,376)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Investment income</w:t>
            </w: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158,288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357,908</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(2,250,243)</w:t>
            </w:r>
          </w:p>
        </w:tc>
      </w:tr>
      <w:tr>
        <w:trPr>
          <w:trHeight w:val="20"/>
        </w:trPr>
        <w:tc>
          <w:tcPr>
            <w:tcW w:w="6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(3,752,972)</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(8,568,805)</w:t>
            </w:r>
          </w:p>
        </w:tc>
      </w:tr>
      <w:tr>
        <w:trPr>
          <w:trHeight w:val="20"/>
        </w:trPr>
        <w:tc>
          <w:tcPr>
            <w:tcW w:w="68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-864870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740" w:hanging="35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bonus, and fringe benefits are included in staff related expenses.</w:t>
      </w:r>
    </w:p>
    <w:p>
      <w:pPr>
        <w:spacing w:after="0" w:line="27" w:lineRule="exact"/>
        <w:rPr>
          <w:rFonts w:ascii="Times New Roman" w:cs="Times New Roman" w:eastAsia="Times New Roman" w:hAnsi="Times New Roman"/>
          <w:sz w:val="18"/>
          <w:szCs w:val="18"/>
          <w:color w:val="auto"/>
        </w:rPr>
      </w:pPr>
    </w:p>
    <w:p>
      <w:pPr>
        <w:ind w:left="740" w:hanging="35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Company’s drug substance validation campaign are included in drug product material expenses.</w:t>
      </w:r>
    </w:p>
    <w:p>
      <w:pPr>
        <w:spacing w:after="0" w:line="9" w:lineRule="exact"/>
        <w:rPr>
          <w:rFonts w:ascii="Times New Roman" w:cs="Times New Roman" w:eastAsia="Times New Roman" w:hAnsi="Times New Roman"/>
          <w:sz w:val="18"/>
          <w:szCs w:val="18"/>
          <w:color w:val="auto"/>
        </w:rPr>
      </w:pPr>
    </w:p>
    <w:p>
      <w:pPr>
        <w:ind w:left="740" w:hanging="35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consultant, audit, legal, and the C18 study costs are included in other segment expense, net.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0" w:name="page11"/>
    <w:bookmarkEnd w:id="10"/>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and are adopted by the Company as of the specified effective date.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ACCRUED EXPENSES AND OTHER LIABILITIES</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 and other liabilities consist of the following:</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4"/>
        </w:trPr>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24"/>
                <w:szCs w:val="24"/>
                <w:color w:val="auto"/>
              </w:rPr>
            </w:pPr>
          </w:p>
        </w:tc>
      </w:tr>
      <w:tr>
        <w:trPr>
          <w:trHeight w:val="210"/>
        </w:trPr>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costs and other accrued expenses</w:t>
            </w:r>
          </w:p>
        </w:tc>
        <w:tc>
          <w:tcPr>
            <w:tcW w:w="7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353,981</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351,782</w:t>
            </w:r>
          </w:p>
        </w:tc>
        <w:tc>
          <w:tcPr>
            <w:tcW w:w="80" w:type="dxa"/>
            <w:vAlign w:val="bottom"/>
            <w:shd w:val="clear" w:color="auto" w:fill="CFF0FC"/>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378,196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363,181</w:t>
            </w:r>
          </w:p>
        </w:tc>
        <w:tc>
          <w:tcPr>
            <w:tcW w:w="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513,847</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514,037</w:t>
            </w:r>
          </w:p>
        </w:tc>
        <w:tc>
          <w:tcPr>
            <w:tcW w:w="80" w:type="dxa"/>
            <w:vAlign w:val="bottom"/>
            <w:shd w:val="clear" w:color="auto" w:fill="CFF0FC"/>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Vacation pay</w:t>
            </w:r>
          </w:p>
        </w:tc>
        <w:tc>
          <w:tcPr>
            <w:tcW w:w="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61,199</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1,307,223</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1,229,000</w:t>
            </w:r>
          </w:p>
        </w:tc>
        <w:tc>
          <w:tcPr>
            <w:tcW w:w="80" w:type="dxa"/>
            <w:vAlign w:val="bottom"/>
            <w:shd w:val="clear" w:color="auto" w:fill="CFF0FC"/>
          </w:tcPr>
          <w:p>
            <w:pPr>
              <w:spacing w:after="0"/>
              <w:rPr>
                <w:sz w:val="19"/>
                <w:szCs w:val="19"/>
                <w:color w:val="auto"/>
              </w:rPr>
            </w:pPr>
          </w:p>
        </w:tc>
      </w:tr>
      <w:tr>
        <w:trPr>
          <w:trHeight w:val="20"/>
        </w:trPr>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NET LOSS PER SHARE OF COMMON STOCK</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-299720</wp:posOffset>
            </wp:positionV>
            <wp:extent cx="51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-282575</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-299720</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-282575</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Diluted loss per share is the same as basic loss per share for all periods presented as the effects of potentially dilutive items were anti-dilutive given the Company’s net loss. Basic loss per share is computed by dividing net loss by the weighted average number of shares of common stock outstanding, plus potential outstanding common stock for the period. Potential outstanding common stock includes stock options, but only to the extent that their inclusion is dilutive. Performance-based restricted stock units are excluded from the calculation of dilutive potential common shares until the performance conditions have been achieved on the basis of the assumption that the end of the reporting period was the end of the contingency period, if such shares issuable are dilutive.</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June 2023, in connection with the Private Placement (as defined and described in Note 6, Stockholders’ Deficit), the Company issued and sold pre-funded warrants exercisable for an aggregate of 575,575 shares of common stock. The purchase price of the pre-funded warrants was $9.99 per share, which was paid to the Company upon issuance of the pre-funded warrants. The exercise price of the pre-funded warrants is $0.01 per share. The pre-funded warrants are exercisable by the holders at any time and do not expire. As the remaining shares underlying the pre-funded warrants are issuable for nominal consideration of $0.01 per share, 575,575 shares of common stock underlying the unexercised pre-funded warrants were considered outstanding for purposes of the calculation of loss per share as of March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per share for common stockholders: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6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4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(3,752,972)</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(8,568,805)</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7,568,981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7,568,981</w:t>
            </w: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of common stock – basic and diluted</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(0.50)</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securities outstanding at March 31, 2025 and 2024 have been excluded from the calculation of weighted average shares outstanding as their effect on the calculation of loss per share is antidilutive:</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364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340" w:type="dxa"/>
            <w:vAlign w:val="bottom"/>
          </w:tcPr>
          <w:p>
            <w:pPr>
              <w:spacing w:after="0"/>
              <w:rPr>
                <w:sz w:val="12"/>
                <w:szCs w:val="12"/>
                <w:color w:val="auto"/>
              </w:rPr>
            </w:pPr>
          </w:p>
        </w:tc>
        <w:tc>
          <w:tcPr>
            <w:tcW w:w="1660" w:type="dxa"/>
            <w:vAlign w:val="bottom"/>
            <w:tcBorders>
              <w:top w:val="single" w:sz="8" w:color="auto"/>
              <w:bottom w:val="single" w:sz="8" w:color="auto"/>
            </w:tcBorders>
          </w:tcPr>
          <w:p>
            <w:pPr>
              <w:jc w:val="right"/>
              <w:ind w:right="6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right"/>
              <w:ind w:right="6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1,486,297</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1,115,357</w:t>
            </w:r>
          </w:p>
        </w:tc>
        <w:tc>
          <w:tcPr>
            <w:tcW w:w="8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228,209</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228,209</w:t>
            </w:r>
          </w:p>
        </w:tc>
        <w:tc>
          <w:tcPr>
            <w:tcW w:w="8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80" w:type="dxa"/>
            <w:vAlign w:val="bottom"/>
            <w:shd w:val="clear" w:color="auto" w:fill="CFF0FC"/>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SALE OF FUTURE ROYALTIES</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had previously co-developed seltorexant with Janssen for the treatment of insomnia disorder and adjunctive treatment of MDD. During 2020, the Company exercised its right to opt out of the co-development and license agreement (the “Janssen Agreement”) with Janssen for the future development of seltorexant and, as a result, the Company was entitled to collect royalties in the mid-single digits on potential future sales of seltorexant worldwide in certain indications, with no further financial obligations to Janssen.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11" w:name="page12"/>
    <w:bookmarkEnd w:id="11"/>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On January 19, 2021, the Company entered into an agreement with Royalty Pharma under which Royalty Pharma acquired the Company’s royalty interest in seltorexant for an upfront payment of $60 million and up to an additional $95 million in potential milestone payments. These milestone payments are contingent upon the achievement of certain clinical, regulatory and commercial milestones for seltorexant by Janssen or any other party in the event that Janssen sells seltorexant. Under the terms of the agreement, Royalty Pharma has recourse against the Company relating to payments due from Janssen and therefore, the Company is deemed to have significant continuing involvement. The Company has applied the debt recognition guidance under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and recorded the upfront payment of $60 million on the balance sheet as a liability related to the sale of future royalties (the “Royalty Obligation”)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will record any amortized interest expense and future milestone payments received from Royalty Pharma as well. No amounts received, including the initial upfront payment, amortized interest expense or potential milestone payments, are repayable to Royalty Pharma if Janssen discontinues the clinical development of seltorexant or ceases to pursue its commercialization at a future date for any reason. In accordance with ASC 470, the Company will account for any royalties received in the future as non-cash royalty revenue.</w:t>
      </w:r>
    </w:p>
    <w:p>
      <w:pPr>
        <w:spacing w:after="0" w:line="19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royalties are remitted from Janssen to Royalty Pharma, the balance of the Royalty Obligation will be effectively repaid over the expected life of the Janssen Agreement. The $60 million payment received from Royalty Pharma and any potential future milestone payments from Royalty Pharma are recorded as part of the Royalty Obligation. The difference between the total expected royalties receivable from Janssen and the upfront and milestone payments potentially receivable from Royalty Pharma is being amortized as non-cash interest expense over the estimated remaining life of the Janssen Agreement. To determine the amount of non-cash interest to be amortized, the Company is required to make assumptions for the total amount of future royalty payments to be received from Janssen. At execution, the Company’s estimate of this total non-cash interest expense resulted in an effective annual interest rate of approximately 10.5%.</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regularly evaluates the assumptions supporting future royalty estimates and, during the third quarter of 2024, noted that Janssen announced on clinicaltrials.gov a further Phase 3 study with seltorexant (42847922MDD3003) that has an estimated study completion date of November 30, 2027, which is significantly different from the assumption the Company used in its original estimates. As a result, the Company has made a significant revision to its estimates for the timing and amount of future royalty payments to be earned over the life of the Janssen Agreement and noted that the estimate of undiscounted royalty payments is now less than the original carrying value of the upfront payment received. Therefore, under the retrospective interest model, during the third quarter of 2024 the Company adjusted the Royalty Obligation to the initial upfront payment received of $60 million and recognized $26.6 million as a component of Other Income, representing the amount of amortized non-cash interest expense through June 30, 2024. In addition, the Company does not expect to recognize non-cash interest expense in the future related to the Royalty Obligation, as the effective annual interest rate is negative.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STOCKHOLDERS’ DEFICIT</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of Common Stock and Warrants</w:t>
      </w:r>
    </w:p>
    <w:p>
      <w:pPr>
        <w:spacing w:after="0" w:line="229"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On June 27, 2023, the Company entered into a securities purchase agreement (the “Securities Purchase Agreement”) with certain institutional accredited investors (the “Investors”), pursuant to which the Company agreed to issue and sell to the Investors in a private placement (the “Private Placement”) (i) an aggregate of 1,425,000 shares (the “Shares”) of the Company’s common stock at a purchase price of $10.00 per Share, and (ii) in lieu of additional shares of common stock, pre-funded warrants to purchase an aggregate of 575,575 shares of common stock at a purchase price of $9.99 per pre-funded warrant. The price per pre-funded warrant represents the price of $10.00 per Share sold in the Private Placement, minus the $0.01 per share exercise price of each such pre-funded warrant. The pre-funded warrants are exercisable at any time after their original issuance and will not expire until exercised in full.</w:t>
      </w:r>
    </w:p>
    <w:p>
      <w:pPr>
        <w:spacing w:after="0" w:line="17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pre-funded warrants issued in the Private Placement provide that a holder of the pre-funded warrants will not have the right to exercise any portion of its pre-funded warrants to the extent such holder, together with its affiliates, after giving effect to such exercise, would beneficially own in excess of the beneficial ownership limitation, as elected by such Investor, immediately after giving effect to such exercise (the “Beneficial Ownership Limitation”); provided, however, that each pre-funded warrant holder may increase or decrease the Beneficial Ownership Limitation by giving 61 days’ notice to the Company, but not to any percentage in excess of 19.99%.</w:t>
      </w:r>
    </w:p>
    <w:p>
      <w:pPr>
        <w:spacing w:after="0" w:line="18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On June 30, 2023, the Private Placement closed and the Company received aggregate gross proceeds from the Private Placement of $20.0 million. The Company incurred approximately $0.4 million in offering expenses during 2023, which were included as a component of additional paid-in capital, resulting in net proceeds of $19.6 million from the Private Placement.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2" w:name="page13"/>
    <w:bookmarkEnd w:id="12"/>
    <w:p>
      <w:pPr>
        <w:ind w:right="20"/>
        <w:spacing w:after="0" w:line="255" w:lineRule="auto"/>
        <w:rPr>
          <w:sz w:val="20"/>
          <w:szCs w:val="20"/>
          <w:color w:val="auto"/>
        </w:rPr>
      </w:pPr>
      <w:r>
        <w:rPr>
          <w:rFonts w:ascii="Times New Roman" w:cs="Times New Roman" w:eastAsia="Times New Roman" w:hAnsi="Times New Roman"/>
          <w:sz w:val="18"/>
          <w:szCs w:val="18"/>
          <w:color w:val="auto"/>
        </w:rPr>
        <w:t>Pursuant to the Securities Purchase Agreement, the Company filed a registration statement on Form S-3 (File No. 333-273686), which was declared effective by the SEC on August 9, 2023, covering the resale of the Registrable Securities (as such term is defined in the Securities Purchase Agreement). The Company has agreed to use its commercially reasonable efforts to keep such registration statement effective until the earlier of (i) the third anniversary of the effective date of the initial registration statement covering the Registrable Securities; (ii) the date all Shares and all shares of common stock underlying the pre-funded warrants may be sold under Rule 144 of the Securities Act of 1933, as amended, without being subject to any volume, manner of sale or publicly available information requirements; or (iii) immediately prior to the closing of a Change of Control (as such term is defined in the Securities Purchase Agreement).</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Pursuant to the Securities Purchase Agreement, in connection with the Private Placement, Boehringer Ingelheim International GmbH (“BI”), an Investor in the Private Placement, has the right to designate an observer to attend, subject to certain exceptions, meetings of the Company’s board of directors and its committees, until the earlier of (i) the occurrence of a Change of Control and (ii) the date that it and its affiliates collectively hold less than 10% of the Company’s common stock (which shall be calculated by including in the amount of common stock held by such Investor and its affiliates any shares of common stock issuable upon exercise of any portion of the pre-funded warrant issued to such Investor and not yet exercised). BI designated a board observer on August 29, 2023.</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Offering Program</w:t>
      </w:r>
    </w:p>
    <w:p>
      <w:pPr>
        <w:spacing w:after="0" w:line="229"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In September 2022, the Company entered into an Open Market Sale Agreement (the “Sales Agreement”) with Jefferies LLC (“Jefferies”) pursuant to which the Company may offer and sell, from time to time, through Jefferies shares of the Company’s common stock, by any method permitted by law deemed to be an “at-the-market” offering as defined in Rule 415 promulgated under the Securities Act of 1933, as amended. During the three months ended March 31, 2025, no shares of the Company’s common stock were issued or sold under the Sales Agreement. As of March 31, 2025, an aggregate of $22.6 million was eligible for sale pursuant to the Sales Agreement under the Company’s effective registration statement on Form S-3 (File No. 333-267424).</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Term Loan Warrants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connection with the Company’s former Loan and Security Agreement with Oxford Finance LLC and Silicon Valley Bank (the “Lenders”), which provided for term loans to the Company in an aggregate principal amount of up to $15 million in two tranches on January 15, 2016, the Company issued the Lenders warrants to purchase 5,099 shares of common stock at a per share exercise price of $44.13. The warrants were immediately exercisable upon issuance, and other than in connection with certain mergers or acquisitions, will expire on the ten-year anniversary of the date of issuance. The term loans were repaid in August 2018. All related warrants were outstanding and exercisable as of March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 AWARD PLAN AND STOCK-BASED COMPENSATION</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December 2013, the Company adopted the 2013 Equity Incentive Plan (as subsequently amended and restated, the “Plan”), which provides for the issuance of options, stock appreciation rights, stock awards and stock units. As of March 31, 2025, the total shares authorized for issuance under the Plan were 2,078,917.</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employees and non-employees for the three months ended March 31, 2025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vMerge w:val="restart"/>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120" w:type="dxa"/>
            <w:vAlign w:val="bottom"/>
          </w:tcPr>
          <w:p>
            <w:pPr>
              <w:spacing w:after="0"/>
              <w:rPr>
                <w:sz w:val="12"/>
                <w:szCs w:val="12"/>
                <w:color w:val="auto"/>
              </w:rPr>
            </w:pPr>
          </w:p>
        </w:tc>
        <w:tc>
          <w:tcPr>
            <w:tcW w:w="88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88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6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January 1, 2025</w:t>
            </w:r>
          </w:p>
        </w:tc>
        <w:tc>
          <w:tcPr>
            <w:tcW w:w="2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1,487,234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Expired</w:t>
            </w:r>
          </w:p>
        </w:tc>
        <w:tc>
          <w:tcPr>
            <w:tcW w:w="17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March 31, 2025</w:t>
            </w:r>
          </w:p>
        </w:tc>
        <w:tc>
          <w:tcPr>
            <w:tcW w:w="1700" w:type="dxa"/>
            <w:vAlign w:val="bottom"/>
            <w:tcBorders>
              <w:top w:val="single" w:sz="8" w:color="CFF0FC"/>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1,486,297</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26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60" w:type="dxa"/>
            <w:vAlign w:val="bottom"/>
            <w:tcBorders>
              <w:top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35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March 31, 2025</w:t>
            </w:r>
          </w:p>
        </w:tc>
        <w:tc>
          <w:tcPr>
            <w:tcW w:w="170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637,620</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14.31</w:t>
            </w:r>
          </w:p>
        </w:tc>
        <w:tc>
          <w:tcPr>
            <w:tcW w:w="126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360" w:type="dxa"/>
            <w:vAlign w:val="bottom"/>
            <w:tcBorders>
              <w:bottom w:val="single" w:sz="8" w:color="CFF0FC"/>
            </w:tcBorders>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Available for future grant</w:t>
            </w:r>
          </w:p>
        </w:tc>
        <w:tc>
          <w:tcPr>
            <w:tcW w:w="2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33,298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1"/>
        </w:trPr>
        <w:tc>
          <w:tcPr>
            <w:tcW w:w="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-1388110</wp:posOffset>
            </wp:positionV>
            <wp:extent cx="603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-1079500</wp:posOffset>
            </wp:positionV>
            <wp:extent cx="603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-1062355</wp:posOffset>
            </wp:positionV>
            <wp:extent cx="603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3" w:name="page14"/>
    <w:bookmarkEnd w:id="13"/>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outstanding on March 31, 2025 was $6.16 per share. Total unrecognized compensation costs related to non-vested stock options at March 31, 2025 were approximately $2.5 million and are expected to be recognized within future operating results over a weighted-average period of 2.3 years. Generally, stock options are granted using exercise prices equal to the market price at the date of grant, vest over four years for employees and one year for directors, and are exercisable over a maximum period of 10 years from their grant dates.</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The expected term of the employee-related options was estimated using the “simplified” method as defined by the SEC’s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The volatility assumption was determined by examining the historical volatility of the Company and volatilities for industry peer companies. The risk-free interest rate assumption is based on the U.S. Treasury instruments, the term of which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the purposes of estimating the fair value of the options.</w:t>
      </w:r>
    </w:p>
    <w:p>
      <w:pPr>
        <w:spacing w:after="0" w:line="18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model to estimate the fair value of stock options granted. There were no stock options granted during the three months ended March 31, 2025 and 2024.</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On August 6, 2021, options to purchase 953,980 shares of the Company’s common stock were exchanged for 476,640 PRSUs. Options surrendered in the one-time stock option exchange program (the “Exchange Program”) were cancelled and shares subject to the cancelled options again became available for issuance under the Plan. The Exchange Program was treated as a Type II modification (Probable-to improbable) under ASC 718.</w:t>
      </w:r>
    </w:p>
    <w:p>
      <w:pPr>
        <w:spacing w:after="0" w:line="176"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The Company used the pre-modification stock options for determining the compensation cost related to the PRSUs as the vesting conditions remain uncertain for the outstanding PRSUs. All expense related to the non-vested pre-modification stock options was fully recognized as of December 31, 2023.</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April 28, 2023, the Compensation Committee of the Company’s board of directors certified the achievement of a performance condition occurring upon FDA acceptance of the NDA for roluperidone. As a result, 50% of the shares of common stock underlying the Company’s PRSUs vested and the Company recognized approximately $0.2 million in non-cash compensation expense, representing 50% of the incremental cost of the PRSUs granted under the Exchange Program. The incremental cost was measured as the excess of the fair value of each new PRSU, measured as of the date the new PRSUs were granted, over the fair value of the stock options surrendered in exchange for the new PRSU, measured immediately prior to the cancellation. The remaining PRSUs vest upon roluperidone receiving FDA marketing approval, provided that such approval occurs within five years after the August 6, 2021 grant date. As of March 31, 2025, 228,213 PRSUs have vested, 20,218 have been cancelled, and 228,209 remain outstanding.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stock-based compensation expense included in the Company’s consolidated statements of operations: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44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3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2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99,699</w:t>
            </w:r>
          </w:p>
        </w:tc>
        <w:tc>
          <w:tcPr>
            <w:tcW w:w="1500" w:type="dxa"/>
            <w:vAlign w:val="bottom"/>
            <w:gridSpan w:val="2"/>
            <w:shd w:val="clear" w:color="auto" w:fill="CFF0FC"/>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192,385</w:t>
            </w:r>
          </w:p>
        </w:tc>
        <w:tc>
          <w:tcPr>
            <w:tcW w:w="80" w:type="dxa"/>
            <w:vAlign w:val="bottom"/>
            <w:shd w:val="clear" w:color="auto" w:fill="CFF0FC"/>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197,530</w:t>
            </w:r>
          </w:p>
        </w:tc>
        <w:tc>
          <w:tcPr>
            <w:tcW w:w="28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246,464</w:t>
            </w:r>
          </w:p>
        </w:tc>
        <w:tc>
          <w:tcPr>
            <w:tcW w:w="80" w:type="dxa"/>
            <w:vAlign w:val="bottom"/>
          </w:tcPr>
          <w:p>
            <w:pPr>
              <w:spacing w:after="0"/>
              <w:rPr>
                <w:sz w:val="18"/>
                <w:szCs w:val="18"/>
                <w:color w:val="auto"/>
              </w:rPr>
            </w:pPr>
          </w:p>
        </w:tc>
      </w:tr>
      <w:tr>
        <w:trPr>
          <w:trHeight w:val="230"/>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62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297,229</w:t>
            </w:r>
          </w:p>
        </w:tc>
        <w:tc>
          <w:tcPr>
            <w:tcW w:w="1500" w:type="dxa"/>
            <w:vAlign w:val="bottom"/>
            <w:gridSpan w:val="2"/>
            <w:shd w:val="clear" w:color="auto" w:fill="CFF0FC"/>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438,849</w:t>
            </w:r>
          </w:p>
        </w:tc>
        <w:tc>
          <w:tcPr>
            <w:tcW w:w="80" w:type="dxa"/>
            <w:vAlign w:val="bottom"/>
            <w:shd w:val="clear" w:color="auto" w:fill="CFF0FC"/>
          </w:tcPr>
          <w:p>
            <w:pPr>
              <w:spacing w:after="0"/>
              <w:rPr>
                <w:sz w:val="19"/>
                <w:szCs w:val="19"/>
                <w:color w:val="auto"/>
              </w:rPr>
            </w:pPr>
          </w:p>
        </w:tc>
      </w:tr>
      <w:tr>
        <w:trPr>
          <w:trHeight w:val="20"/>
        </w:trPr>
        <w:tc>
          <w:tcPr>
            <w:tcW w:w="334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-24765</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514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various legal proceedings and claims that arise in the ordinary course of the Company’s business activities. The Company is not aware of any claim or litigation, the outcome of which, if determined adversely to the Company, would have a material effect on the Company’s financial position or results of operations.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4" w:name="page15"/>
    <w:bookmarkEnd w:id="14"/>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October 11, 2022, the Company entered into an office lease agreement with Regus to lease approximately 491 rentable square feet of office space located at 1500 District Avenue, Burlington, MA 01803. In January 2025, the Company renewed the month-to-month lease agreement commencing on February 1, 2025, with a monthly payment of $9,106. The Company has elected to not recognize the lease agreement on the balance sheet as the term of the agreement is 12 months or less.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our condensed consolidated financial statements and the notes thereto included elsewhere in this Quarterly Report on Form 10-Q and with our annual audited consolidated financial statements included in our Annual Report on Form 10-K for the year ended December 31, 2024 as filed with the Securities and Exchange Commission on February 25, 2025. This discussion and analysis contains forward-looking statements that involve significant risks and uncertainties. Our actual results, performance or experience could differ materially from what is indicated by any forward-looking statement due to various important factors, risks and uncertainties, including, but not limited to, those set forth under “Risk Factors” included elsewhere in this Quarterly Report on Form 10-Q.</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proprietary product candidates to treat patients suffering from central nervous system diseases. Leveraging our scientific insights and clinical experience, we have acquired or in-licensed compounds that we believe have innovative mechanisms of actions and therapeutic profiles that potentially address the unmet needs of patients with these diseases.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developing roluperidone for the treatment of negative symptoms in patients with schizophrenia and have exclusive rights to develop and commercialize MIN-301 for the treatment of Parkinson’s disease. In addition, we previously co-developed seltorexant with Janssen Pharmaceutica NV, one of the Janssen Pharmaceutical Companies of Johnson &amp; Johnson (“Janssen”), for the treatment of insomnia disorder and adjunctive treatment of Major Depressive Disorder (“MDD”). In June 2020, we exercised our right to opt out of our agreement with Janssen for the Phase 3 development of seltorexant and as a result, we were entitled to collect royalties in the mid-single digits on potential future worldwide sales of seltorexant in certain indications, with no further financial obligations to Janssen. In January 2021, we sold our rights to these potential royalties to Royalty Pharma plc (“Royalty Pharma”) for a $60 million cash payment and up to an additional $95 million in potential future milestone payments, subject to completion of Phase 3 trials by Janssen and regulatory approvals.</w:t>
      </w:r>
    </w:p>
    <w:p>
      <w:pPr>
        <w:spacing w:after="0" w:line="19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August 2022, we submitted a New Drug Application (“NDA”) with the U.S. Food and Drug Administration (“FDA”) for our lead product candidate, roluperidone, for the treatment of negative symptoms in schizophrenia. On February 26, 2024, the FDA issued a Complete Response Letter (“CRL”) regarding our NDA for roluperidone. Since receiving the CRL, we have continued to have interactions with the FDA with the goal of addressing the questions raised in the CRL.</w:t>
      </w:r>
    </w:p>
    <w:p>
      <w:pPr>
        <w:spacing w:after="0" w:line="18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have not received any regulatory approvals to commercialize any of our product candidates, and we have not generated any revenue from the sales or license of our product candidates. We routinely evaluate the status of our drug development programs as well as potential strategic options. We have incurred significant operating losses since inception and expect to continue to incur net losses and negative cash flows from operating activities for the foreseeable future in connection with the clinical and regulatory activities associated with advancing our product candidates. As of March 31, 2025 and December 31, 2024, we had an accumulated deficit of $399.1 million and $395.4 million, respectively. For the three months ended March 31, 2025 and 2024, we recorded net losses of $3.8 million and $8.6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Listing Requirement Compliance Notice</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March 17, 2025, we were formally notified that the Nasdaq Hearings Panel, or the Panel, of the Nasdaq Stock Market LLC, or Nasdaq, determined that we have regained compliance with Nasdaq Listing Rule 5550(b)(3), which requires listed companies to maintain a minimum of $500,000 of net income from continuing operations. Pursuant to Nasdaq Listing Rule 5815(d)(4)(A), we will be subject to a discretionary panel monitor for a period of one year from March 17, 2025. If, within that one-year monitoring period, we fail to maintain compliance with any Nasdaq continued listing requirement, the Listing Qualifications Staff of Nasdaq, or the Staff, will issue a Delist Determination Letter, and we will have an opportunity to request a new hearing with the initial Panel or a newly convened Hearings Panel if the initial Panel is unavailable. Notwithstanding Nasdaq Listing Rule 5810(c)(2), we will not be permitted to provide the Staff with a plan of compliance with respect to any deficiency that arises during the one-year monitoring period, and the Staff will not be permitted to grant additional time for us to regain compliance with respect to any deficiency.</w:t>
      </w:r>
    </w:p>
    <w:p>
      <w:pPr>
        <w:spacing w:after="0" w:line="19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maintain compliance with Nasdaq’s listing standards or that the Company will be able to continue its listing on Nasdaq.</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Clinical and Regulatory Updates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 Response Letter (CRL)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26, 2024, the FDA issued a CRL to our NDA for roluperidone for the treatment of negative symptoms in patients with schizophrenia.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CRL, the FDA cited the following clinical deficiencies:</w:t>
      </w:r>
    </w:p>
    <w:p>
      <w:pPr>
        <w:spacing w:after="0" w:line="99" w:lineRule="exact"/>
        <w:rPr>
          <w:sz w:val="20"/>
          <w:szCs w:val="20"/>
          <w:color w:val="auto"/>
        </w:rPr>
      </w:pPr>
    </w:p>
    <w:p>
      <w:pPr>
        <w:ind w:left="1020" w:right="3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one study (MIN-101C03) demonstrated statistical significance on the primary efficacy endpoint, it is insufficient on its own to establish substantial evidence of effectiveness.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NDA submission lacks data on concomitant antipsychotic administration.</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NDA submission lacks data needed to establish that the change in negative symptoms of schizophrenia with roluperidone treatment was clinically meaningful.</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submitted safety database included an inadequate number of subjects exposed to roluperidone at the proposed dose (64 mg) for at least 12 months.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address these deficiencies, the FDA stated that we must submit at least one additional positive, adequate, and well-controlled study to support the safety and effectiveness of roluperidone for the treatment of negative symptoms. We must also provide additional data to demonstrate the safety and efficacy of roluperidone co-administered with antipsychotic medications, to support the observed effect on negative symptoms with roluperidone treatment corresponds to a clinically meaningful change, and to demonstrate the long-term safety of the proposed dose.</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addition to the clinical deficiencies described above, the FDA also provided comments on, among other items, clinical pharmacology, product quality, biopharmaceutics, and nonclinical issues.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Considerations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Results of our operations have varied and may vary in the future based on the impact of changes in the domestic or global economy. Negative conditions in the general economy both in the United States and abroad, including conditions resulting from changes in inflation and fluctuations in interest rates, financial and credit market fluctuations, international trade relations and tariffs, pandemics, political turmoil, natural catastrophes and warfare in the United States or elsewhere, could negatively affect our business. It is not possible at this time to estimate the long-term impact that these and related events could have on our business, as the impact will depend on future developments, which are highly uncertain and cannot be predicted.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None of our product candidates have been approved for commercialization and we have not received any revenue in connection with the sale or license of our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they are incurred and consist principally of costs incurred in connection with the development of our product candidates including: fees paid to consultants and clinical research organizations (“CROs”), investigator grants, patient screening, laboratory work, database management, material management, statistical analysis, license fees, regulatory compliance, and costs related to salaries, benefits, bonuses and stock-based compensation granted to employees in research and development functions.</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Completion dates and costs can vary significantly by product candidate and are difficult to predict. We anticipate making determinations as to which programs to pursue and the level of funding to direct to each program on an ongoing basis in response to the scientific and clinical success or failure of each product candidate, the estimated costs to continue the development program relative to our available resources, as well as an ongoing assessment of each product candidate’s commercial potential. We will need to raise additional capital or may seek additional product collaborations in the future to complete the development and commercialization of our product candidates.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General and administrative costs are expensed as they are incurred and consist principally of costs for facility and information systems, professional fees for auditing, consulting and legal services and costs related to salaries, benefits, bonuses and stock-based compensation granted to employees in administrative functions. General and administrative costs also include costs for maintaining a publicly listed company including increased audit and legal fees, compliance with securities laws, corporate governance and investor relations.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Gains (Losses)</w:t>
      </w:r>
    </w:p>
    <w:p>
      <w:pPr>
        <w:spacing w:after="0" w:line="229"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Foreign exchange gains (losses) are comprised primarily of gains and (losses) on foreign currency transactions primarily related to research and development expenses. We incur certain expenses, primarily in Euros, and record these expenses in United States Dollars at the time the liability is incurred. Changes in the applicable foreign currency rate between the date that an expense is recorded and the payment date is recorded as a foreign currency gain or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consists of income earned on our cash equivalents and marketable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Interest Expense for the Sale of Future Royalties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 consists of the non-cash interest expense associated with the Royalty Pharma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2025 versus March 31,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$1.4 million and $4.2 million for the three months ended March 31, 2025 and 2024, respectively, a decrease of approximately $2.8 million. The decrease in research and development expenses was primarily due to costs associated with the FDA’s review of our NDA for roluperidone, costs for the C18 study, and lower compensation expenses. Non-cash stock compensation costs included in research and development expenses were $0.1 million and $0.2 million for the three months ended March 31, 2025 and 2024,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$2.5 million for both the three months ended March 31, 2025 and 2024. Non-cash stock compensation costs included in general and administrative expenses were $0.2 million also for both the three months ended March 31, 2025 and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(Losses) Gains</w:t>
      </w:r>
    </w:p>
    <w:p>
      <w:pPr>
        <w:spacing w:after="0" w:line="227"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Foreign exchange losses were $8 thousand and foreign exchange gains were $5 thousand for the three months ended March 31, 2025 and 2024, respectively, a decrease of $13 thousand, primarily due to currency movements.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Investment income was $158 thousand and $358 thousand for the three months ended March 31, 2025 and 2024, respectively, a decrease of approximately $200 thousand, primarily due to cash and cash equivalents balances and interest rates.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interest expense for the sale of future royalties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Non-cash interest expense for the sale of future royalties was zero and $2.3 million for the three months ended March 31, 2025 and 2024, respectively, a decrease of $2.3 million. The decrease in non-cash interest expense for the sale of future royalties was due to revising our estimates for the timing and amount of future royalty payments to be received under the royalty arrangement. During the third quarter of 2024, we adjusted the carrying amount of our liability related to the sale of future royalties to the initial payment of</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4" w:right="419" w:bottom="1440" w:gutter="0" w:footer="0" w:header="0"/>
        </w:sectPr>
      </w:pPr>
    </w:p>
    <w:bookmarkStart w:id="18" w:name="page19"/>
    <w:bookmarkEnd w:id="18"/>
    <w:p>
      <w:pPr>
        <w:ind w:right="120"/>
        <w:spacing w:after="0" w:line="282" w:lineRule="auto"/>
        <w:rPr>
          <w:sz w:val="20"/>
          <w:szCs w:val="20"/>
          <w:color w:val="auto"/>
        </w:rPr>
      </w:pPr>
      <w:r>
        <w:rPr>
          <w:rFonts w:ascii="Times New Roman" w:cs="Times New Roman" w:eastAsia="Times New Roman" w:hAnsi="Times New Roman"/>
          <w:sz w:val="18"/>
          <w:szCs w:val="18"/>
          <w:color w:val="auto"/>
        </w:rPr>
        <w:t>$60 million. This adjustment resulted in the recognition of $26.6 million in other income during the third quarter of 2024, representing the amount of non-cash interest expense amortized through June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As of March 31, 2025, we had an accumulated deficit of approximately $399.1 million. We anticipate that we will continue to incur net losses for the foreseeable future as we continue the development and potential commercialization of our product candidates and to support our operations as a public company. We have no products approved for commercial sale and have not generated any revenue from product sales to date, and we may never generate product revenue or achieve profitability. As of March 31, 2025, we had approximately $17.4 million in cash, cash equivalents, and restricted cash, which we believe will be sufficient to meet our operating commitments for the next 12 months from the date our financial statements are issued. Our cash requirements primarily relate to expenditures to support the development of roluperidone, which includes advancing the program through the regulatory process.</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process of drug development can be costly and the timing and outcomes of clinical trials is uncertain. The assumptions upon which we have based our estimates are routinely evaluated and may be subject to change. The actual amount of our expenditures will vary depending upon many factors, including, but not limited to, the design, timing and duration of future clinical trials, the progress of our research and development programs, the infrastructure to support a commercial enterprise and the level of financial resources available. We can adjust our operating plan spending levels based on the timing of future clinical trials which are predicated upon adequate funding to complete the trials. We routinely evaluate the status of our clinical development programs as well as potential strategic options.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of Common Stock and Warrants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June 27, 2023, we entered into a securities purchase agreement with certain institutional accredited investors, pursuant to which we agreed to issue and sell in a private placement (i) an aggregate of 1,425,000 shares of our common stock at a purchase price of $10.00 per share, and (ii) in lieu of additional shares of common stock, pre-funded warrants to purchase an aggregate of 575,575 shares of common stock at a purchase price of $9.99 per pre-funded warrant. The price per pre-funded warrant represents the price of $10.00 per share sold in the private placement, minus the $0.01 per share exercise price of each such pre-funded warrant. The pre-funded warrants are exercisable at any time after their original issuance and will not expire until exercised in full.</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June 30, 2023, we received aggregate gross proceeds under the private placement of $20.0 million and incurred approximately $0.4 million in offering expenses. Pursuant to the securities purchase agreement, we filed a registration statement on Form S-3 (File No. 333-273686), which was declared effective by the SEC on August 9, 2023, covering the resale of the Registrable Securities (as defined in the securities purchase agreement). In connection with the private placement, on August 29, 2023, Boehringer Ingelheim International GmbH, an investor in the private placement, designated an observer to attend, subject to certain exceptions, meetings of our board of directors and our committees, until the earlier of (i) the occurrence of a Change of Control and (ii) the date that it and its affiliates collectively hold less than 10%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Equity Offering Program</w:t>
      </w:r>
    </w:p>
    <w:p>
      <w:pPr>
        <w:spacing w:after="0" w:line="22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September 2022, we entered into an Open Market Sale Agreement (the “Sales Agreement”) with Jefferies LLC (“Jefferies”) pursuant to which we may offer and sell, from time to time, through Jefferies, shares of our common stock, by any method permitted by law deemed to be an “at-the-market” offering as defined in Rule 415 promulgated under the Securities Act of 1933, as amended.</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no shares of our common stock were issued or sold under the Sales Agreement. As of March 31, 2025, an aggregate of $22.6 million was eligible for sale pursuant to the Sales Agreement under our effective registration statement on Form S-3 (File No. 333-267424).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Seltorexant Royalties</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previously co-developed seltorexant with Janssen for the treatment of insomnia disorder and adjunctive treatment of MDD. During 2020, we exercised our right to opt out of a joint development agreement with Janssen for the future development of seltorexant. As a result, we were entitled to collect royalties in the mid-single digits on potential future sales of seltorexant worldwide in certain indications, with no further financial obligations to Janssen.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9" w:name="page20"/>
    <w:bookmarkEnd w:id="19"/>
    <w:p>
      <w:pPr>
        <w:ind w:right="140"/>
        <w:spacing w:after="0" w:line="266" w:lineRule="auto"/>
        <w:rPr>
          <w:sz w:val="20"/>
          <w:szCs w:val="20"/>
          <w:color w:val="auto"/>
        </w:rPr>
      </w:pPr>
      <w:r>
        <w:rPr>
          <w:rFonts w:ascii="Times New Roman" w:cs="Times New Roman" w:eastAsia="Times New Roman" w:hAnsi="Times New Roman"/>
          <w:sz w:val="18"/>
          <w:szCs w:val="18"/>
          <w:color w:val="auto"/>
        </w:rPr>
        <w:t>On January 19, 2021, we sold our royalty interest in seltorexant to Royalty Pharma for an upfront payment of $60 million and up to an additional $95 million in potential future milestone payments, contingent upon the achievement of certain clinical, regulatory and commercial milestones for seltorexant by Janssen.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Funds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To date, we have not generated any revenue from sales of products. We have only generated collaborative revenue due to opting out of our license and co-development agreement with Janssen. Furthermore, the $60 million payment received from Royalty Pharma for the sale of our royalty interests in seltorexant has been included on our balance sheet under liability related to the sale of future royalties. We do not know when, or if, we will generate any revenue from sales of our products, or from the potential future non-cash royalty revenue associated with the sale of our royalty interests in seltorexant to Royalty Pharma.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8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finance our cash needs through a combination of equity offerings, debt financings, government or other third-party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 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and our ability to raise additional capital may be adversely impacted by global economic conditions, geopolitical conflicts, such as the war in Ukraine and hostilities in the Middle East, and other factors. If we are unable to obtain additional financing, future operations would need to be scaled back or discontinued. We believe that our existing cash, cash equivalents, and restricted cash will be sufficient to meet our cash commitments for at least the next 12 months after the date that the financial statements are issued. The timing of future capital requirements depends upon many factors including the size and timing of future clinical trials, the timing and scope of any strategic partnering activity and the progress of other research and development activities.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set forth our significant sources and uses of cash for the periods.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1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4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00" w:type="dxa"/>
            <w:vAlign w:val="bottom"/>
            <w:gridSpan w:val="2"/>
            <w:vMerge w:val="continue"/>
          </w:tcPr>
          <w:p>
            <w:pPr>
              <w:spacing w:after="0"/>
              <w:rPr>
                <w:sz w:val="12"/>
                <w:szCs w:val="12"/>
                <w:color w:val="auto"/>
              </w:rPr>
            </w:pPr>
          </w:p>
        </w:tc>
        <w:tc>
          <w:tcPr>
            <w:tcW w:w="4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8"/>
              </w:rPr>
              <w:t>millions)</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w:t>
            </w:r>
          </w:p>
        </w:tc>
        <w:tc>
          <w:tcPr>
            <w:tcW w:w="2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2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5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2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-24765</wp:posOffset>
            </wp:positionV>
            <wp:extent cx="514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514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of approximately $4.1 million during the three months ended March 31, 2025 was primarily due to our net loss of $3.8 million, and a $1.0 million decrease in accounts payable, partially offset by stock-based compensation expense of $0.3 million, a $0.3 million decrease in prepaid expenses, and a $0.1 million increase in accrued expenses.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of approximately $6.1 million during the three months ended March 31, 2024 was primarily due to our net loss of $8.6 million, a $0.4 million decrease in accounts payable, and a $0.1 million decrease in accrued expenses, partially offset by non-cash interest expense for the sale of future royalties of $2.3 million, stock-based compensation expense of $0.4 million, and a $0.3 million decrease in prepaid expenses.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Net Cash Provided by 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investing activities was zero during the three months ended March 31, 2025 and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 was zero during the three months ended March 31, 2025 and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our Annual Report on Form 10-K for the fiscal year ended December 31, 2024, our most critical accounting policies and estimates upon which our financial status depends were identified as those relating to research and development costs; goodwill; and the liability related to the sale of future royalties. We reviewed our policies and determined that those policies were our most critical accounting policies for the three months ended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and are adopted by us as of the specified effective date. See Note 2 of our Annual Report on Form 10-K for the fiscal year ended December 31, 2024 and Note 2 in our condensed consolidated financial statements appearing elsewhere in this Form 10-Q for a description of recent accounting pronouncements applicable to our financial statements. We believe that the impact of recently issued, but not yet adopted, accounting pronouncements will not have a material impact on the condensed consolidated financial statements or do not apply to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the Securities Exchange Act of 1934, as amended (“Exchange Act”).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less than $700 million measured on the last business day of our second fiscal quarter.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smaller reporting company as defined by Rule12b-2 of the Exchange Act and are not required to provide the information required under this item.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Chief Financial Officer (principal financial officer), evaluated the effectiveness of our disclosure controls and procedures as of March 31, 2025. Based on the evaluation of our disclosure controls and procedures as of March 31, 2025, our Chief Executive Officer and Chief Financial Officer concluded that, as of such date, our disclosure controls and procedures were effective at a reasonable assurance level.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as such term is defined in Rules 13a-15(f) and 15d-15(f) promulgated under the Exchange Act, during our latest fiscal quarter that would have materially affected, or are reasonably likely to materially affect, our internal control over financial reporting.</w:t>
      </w:r>
    </w:p>
    <w:p>
      <w:pPr>
        <w:spacing w:after="0" w:line="1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24" w:right="659" w:bottom="1440" w:gutter="0" w:footer="0" w:header="0"/>
        </w:sectPr>
      </w:pPr>
    </w:p>
    <w:bookmarkStart w:id="22" w:name="page23"/>
    <w:bookmarkEnd w:id="2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various legal proceedings and claims that arise in the ordinary course of our business activities. Although the results of litigation and claims cannot be predicted with certainty, as of the date of this Quarterly Report on Form 10-Q,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We operate in a rapidly changing environment that involves a number of risks which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I-Item 1A under the heading “Risk Factors” in our Annual Report on Form 10-K for the year ended December 31, 2024, as filed with the Securities and Exchange Commission (“SEC”) on February 25, 2025. The risk factors set forth below are risk factors containing changes, which may be material, from the risk factors previously disclosed in Item 1A of our Annual Report on Form 10-K for the fiscal year ended December 31, 2024, as filed with the SEC.</w:t>
      </w:r>
    </w:p>
    <w:p>
      <w:pPr>
        <w:spacing w:after="0" w:line="18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59"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We are a clinical development-stage biopharmaceutical company. In November 2013, we merged with Sonkei Pharmaceuticals, Inc. (“Sonkei”), and, in February 2014, we acquired Mind-NRG Sarl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We have no products approved for commercial sale and have not generated any revenue from product sales to date, and we may never generate product revenue or achieve profitability. As of March 31, 2025, we had an accumulated deficit of approximately $399.1 million.</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August 2022, we submitted a New Drug Application (“NDA”) with the U.S. Food and Drug Administration (“FDA”) for our lead product candidate, roluperidone, for the treatment of negative symptoms in schizophrenia. The FDA subsequently notified us that they would not accept the file for review, issuing a refusal to file letter (“RTF”) in October 2022. In December 2022, following a Type A meeting held on November 30, 2022, the FDA confirmed the RTF remained in effect with respect to our NDA for roluperidone. On May 1, 2023, we announced that the FDA filed our NDA for roluperidone on April 27, 2023. The decision to file the NDA followed our request for formal dispute resolution and appeal of the October 2022 RTF. On May 8, 2023, we received confirmation from the FDA that the NDA for roluperidone has been assigned a standard review classification, and that the FDA has assigned a Prescription Drug User Fee Act (“PDUFA”) goal date of February 26, 2024. The FDA advised that it identified potential review issues that had been previously cited in the RTF decision letter, which included those discussed at the Type C meeting in March 2022.</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February 26, 2024, the FDA issued a Complete Response Letter (the “CRL”) to our NDA for roluperidone for the treatment of negative symptoms in schizophrenia. The CRL provided that the FDA had completed its review of the NDA and had determined that it could not approve the NDA in its present form. Specifically, the FDA cited the following clinical deficiencies: (i) although one study (MIN-101C03) demonstrated statistical significance on the primary efficacy endpoint, it is insufficient on its own to establish substantial evidence of effectiveness; (ii) the NDA submission lacks data on concomitant antipsychotic administration; (iii) the NDA submission lacks data needed to establish that the change in negative symptoms of schizophrenia with roluperidone treatment was clinically meaningful; and (iv) the submitted safety database included an inadequate number of subjects exposed to roluperidone at the proposed dose (64 mg) for at least 12 months. To address these deficiencies, the FDA stated that we must submit at least one additional positive, adequate, and well-controlled study to support the safety and effectiveness of roluperidone for the treatment of negative symptoms. We must also provide additional data to demonstrate the safety and efficacy of roluperidone co-administered with antipsychotic medications, to support that observed effect on negative symptoms with roluperidone treatment corresponds to a clinically meaningful change, and to demonstrate the long-term safety of the proposed dose. See the section titled “Item 2. Management’s Discussion and Analysis of Financial Condition and Results of Operations—Clinical and Regulatory Updates—Complete Response Letter” for more information. While we have continued to have interactions with the FDA since receiving the CRL, with the goal of addressing questions raised in the CRL, there can be no assurances that we will obtain approval for roluperidone in a timely manner, on favorable terms, or at all. As a result, the regulatory approval process for roluperidone in the United States is highly uncertain. If we do not obtain approval of roluperidone in the United States, or if the approval is delayed, it would have a</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23" w:name="page24"/>
    <w:bookmarkEnd w:id="23"/>
    <w:p>
      <w:pPr>
        <w:ind w:right="600"/>
        <w:spacing w:after="0" w:line="282" w:lineRule="auto"/>
        <w:rPr>
          <w:sz w:val="20"/>
          <w:szCs w:val="20"/>
          <w:color w:val="auto"/>
        </w:rPr>
      </w:pPr>
      <w:r>
        <w:rPr>
          <w:rFonts w:ascii="Times New Roman" w:cs="Times New Roman" w:eastAsia="Times New Roman" w:hAnsi="Times New Roman"/>
          <w:sz w:val="18"/>
          <w:szCs w:val="18"/>
          <w:color w:val="auto"/>
        </w:rPr>
        <w:t>material adverse impact on our business. Even if we are able to obtain approval, the expense and time to do so could adversely impact our ability to successfully commercialize roluperidone or conduct our other business operations and our financial condition could be materially harmed.</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expect to continue to incur significant losses for the foreseeable future, and we expect these losses to increase as we continue our research and development of, and/or seek regulatory approvals for, roluperidone and other potential product candidates. If any of our product candidates fail in clinical trials or do not obtain regulatory approval, or if any of our product candidates, if approved, fail to achieve market acceptance, we may never generate revenue or become profitable. Even if we achieve profitability in the future, we may not be able to sustain profitability in subsequent periods. Failure to become and remain profitable may adversely affect the market price of shares of our common stock and our ability to raise capital and continue operations.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results of operations, financial position and working capital.</w:t>
      </w:r>
    </w:p>
    <w:p>
      <w:pPr>
        <w:spacing w:after="0" w:line="18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to finance our operations, which may not be available to us on acceptable terms, or at all. Failure to obtain this necessary capital when needed may force us to delay, limit or terminate our product development efforts or other operations.</w:t>
      </w:r>
    </w:p>
    <w:p>
      <w:pPr>
        <w:spacing w:after="0" w:line="159"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Our operations and the historic operations of Sonkei and Mind-NRG have consumed substantial amounts of cash since inception. As of March 31, 2025, we had cash, cash equivalents, and restricted cash of $17.4 million. We believe that our existing cash, cash equivalents, and restricted cash will be sufficient to meet our cash commitments for at least the next 12 months after the date that our interim condensed financial statements are issued. The process of drug development can be costly, and the timing and outcomes of clinical trials are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will require additional capital in the short-term to continue advancing the development and regulatory approval process of roluperidone. We will also require additional capital in the long-term to advance the development, regulatory approval process and potential commercialization of roluperidone and other potential product candidates that we may develop in the future. Because the length of time and activities associated with successful development of product candidates are highly uncertain, we are unable to estimate with certainty the actual funds we will require for development and any approved marketing and commercialization activities. Additional capital may not be available in sufficient amounts, on the requisite timing or on reasonable terms, if at all, and our ability to raise additional capital may be adversely impacted by global economic conditions, geopolitical conflicts, such as the war in Ukraine and hostilities in the Middle East, and other factors. Our future funding requirements, both short and long-term, will depend on many factors, including:</w:t>
      </w:r>
    </w:p>
    <w:p>
      <w:pPr>
        <w:spacing w:after="0" w:line="81" w:lineRule="exact"/>
        <w:rPr>
          <w:sz w:val="20"/>
          <w:szCs w:val="20"/>
          <w:color w:val="auto"/>
        </w:rPr>
      </w:pPr>
    </w:p>
    <w:p>
      <w:pPr>
        <w:ind w:left="1020" w:right="5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and future product candidates we may develop;</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European Commission, FDA, and comparable foreign regulatory authorities, including the potential for such authorities to require that we perform more studies than those that we currently expect;</w:t>
      </w:r>
    </w:p>
    <w:p>
      <w:pPr>
        <w:spacing w:after="0" w:line="53"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 and</w:t>
      </w:r>
    </w:p>
    <w:p>
      <w:pPr>
        <w:spacing w:after="0" w:line="11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we are unable to raise additional capital in sufficient amounts or on terms acceptable to us, we may have to delay, limit or terminate the development or commercialization of one or more of our product candidates or other operations, including exploring strategic alternatives and partnership opportunities and potentially discontinue operations altogether. In addition, when we need to secure additional financing, such additional fundraising efforts may divert our management from our day-to-day activities, which may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4" w:name="page25"/>
    <w:bookmarkEnd w:id="24"/>
    <w:p>
      <w:pPr>
        <w:ind w:right="400"/>
        <w:spacing w:after="0" w:line="282" w:lineRule="auto"/>
        <w:rPr>
          <w:sz w:val="20"/>
          <w:szCs w:val="20"/>
          <w:color w:val="auto"/>
        </w:rPr>
      </w:pPr>
      <w:r>
        <w:rPr>
          <w:rFonts w:ascii="Times New Roman" w:cs="Times New Roman" w:eastAsia="Times New Roman" w:hAnsi="Times New Roman"/>
          <w:sz w:val="18"/>
          <w:szCs w:val="18"/>
          <w:color w:val="auto"/>
        </w:rPr>
        <w:t>adversely affect our ability to develop and commercialize our product candidates. Any of these events could significantly harm our business, financial condition and prospects, and our stockholders could lose all or part of their investment in our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stock may be volatile, and you could lose all or part of your investment.</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and subject to wide fluctuations in response to various factors, some of which we cannot control. As a result of this volatility, investors may not be able to sell their securities at a profit. The market price of our securities could be subject to wide fluctuations in response to a variety of factors, including but not limited to:</w:t>
      </w:r>
    </w:p>
    <w:p>
      <w:pPr>
        <w:spacing w:after="0" w:line="68"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our preclinical or clinical trials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including adverse regulatory decision, with respect to our products or our competitors’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develop or commercialize any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limited market sizes or pricing for any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in-license or acquire additional product candidates or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existing strategic collaborations or enter into new collaborations;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 or any inability to obtain additional funding;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 including changes in the structure of healthcare payment systems, including coverage and reimbursement;</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stockholder litigation and litigation filed by us or filed against us pertaining to patent infringement or other violations of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the stock markets have experienced extreme price and volume fluctuations that have affected and continue to affect the market prices of equity securities of many companies, including in connection with the war in Ukraine, which has resulted in decreased stock prices for many companies notwithstanding the lack of a fundamental change in their underlying business models or prospects. Biopharmaceutical companies in particular have experienced extreme price and volume fluctuations that have often been unrelated or disproportionate to the operating performance of these companies. Broad market and industry factors, including potentially worsening economic conditions, increased inflation, international trade relations and tariffs, and other adverse effects or developments, including political, regulatory and other market conditions, may negatively affect the market price of shares of our common stock, regardless of our actual operating performance. The market price of shares of our common stock may decline, and you may lose some or all of your investment.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25" w:name="page26"/>
    <w:bookmarkEnd w:id="25"/>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may be delisted from The Nasdaq Capital Market which could negatively impact the price of our common stock, liquidity and our ability to access the capital markets.</w:t>
      </w:r>
    </w:p>
    <w:p>
      <w:pPr>
        <w:spacing w:after="0" w:line="15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“NERV.” The listing standards of The Nasdaq Capital Market provide that a company, in order to qualify for continued listing, must maintain a minimum stock price of $1.00 and satisfy standards relative to minimum stockholders’ equity, minimum market value of publicly held shares and various additional requirements. If Nasdaq delists our securities from trading on its exchange for failure to meet the listing standards, we and our stockholders could face significant negative consequences including:</w:t>
      </w:r>
    </w:p>
    <w:p>
      <w:pPr>
        <w:spacing w:after="0" w:line="72"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our securities;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common stock is a “penny stock” which would require brokers trading in the common stock to adhere to more stringent rules, possibly resulting in a reduced level of trading activity in the secondary trading market for shares of common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if 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5"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Delisting from The Nasdaq Capital Market could also result in other negative consequences, including the potential loss of confidence by suppliers, customers and employees, the loss of institutional investor interest, fewer business development opportunities and potential liabilities arising from stockholder litigation or other disputes.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17, 2025, we were formally notified that the Nasdaq Hearings Panel (the “Panel”) of the Nasdaq Stock Market LLC (“Nasdaq”) determined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regained compliance with Nasdaq Listing Rule 5550(b)(3) (the “Net Income Rule”), which requires listed companies to maintain a minimum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 of net income from continuing operations. Pursuant to Nasdaq Listing Rule 5815(d)(4)(A), we will be subject to a discretionary panel monitor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period of one year from March 17, 2025. If, within that one-year monitoring period, we fail to maintain compliance with any Nasdaq continued listing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 the Listing Qualifications Staff (the “Staff”) of Nasdaq will issue a Delist Determination Letter, and we will have an opportunity to request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hearing with the initial Panel or a newly convened Hearings Panel if the initial Panel is unavailable. Notwithstanding Nasdaq Listing Rule 5810(c)(2),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be permitted to provide the Staff with a plan of compliance with respect to any deficiency that arises during the one-year monitoring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Staff will not be permitted to grant additional time for us to regain compliance with respect to any deficiency.</w:t>
      </w:r>
    </w:p>
    <w:p>
      <w:pPr>
        <w:spacing w:after="0" w:line="20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previously disclosed, on April 10, 2024, we received written notice from Nasdaq notifying us that for the last 31 consecutive business days, our minimum Market Value of Listed Securities was below the minimum of $35 million required for continued listing on The Nasdaq Capital Market pursuant to Nasdaq Listing Rule 5550(b)(2). In addition, on January 10, 2025, we received a notice from Nasdaq indicating that following our hearing before the Panel on December 10, 2024, the Panel granted our request for continued listing on Nasdaq through March 31, 2025, subject to our compliance with Nasdaq Listing Rule 5550(b)(1) (the “Equity Rule”), among other conditions. While we had initially planned to regain compliance with the Equity Rule, upon review of our Annual Report on Form 10-K for the year ended December 31, 2024, the Staff confirmed that we demonstrated compliance with the Net Income Rule. Accordingly, the Panel determined to continue the listing of our securities on Nasdaq and closed the matter.</w:t>
      </w:r>
    </w:p>
    <w:p>
      <w:pPr>
        <w:spacing w:after="0" w:line="18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particular, our share price may continue to decline for a number of reasons, including many that are beyond our control. See the risk factor captioned “</w:t>
      </w:r>
      <w:r>
        <w:rPr>
          <w:rFonts w:ascii="Times New Roman" w:cs="Times New Roman" w:eastAsia="Times New Roman" w:hAnsi="Times New Roman"/>
          <w:sz w:val="18"/>
          <w:szCs w:val="18"/>
          <w:i w:val="1"/>
          <w:iCs w:val="1"/>
          <w:color w:val="auto"/>
        </w:rPr>
        <w:t>The market price of our stock may be volatile, and you could lose all or part of your investment,</w:t>
      </w:r>
      <w:r>
        <w:rPr>
          <w:rFonts w:ascii="Times New Roman" w:cs="Times New Roman" w:eastAsia="Times New Roman" w:hAnsi="Times New Roman"/>
          <w:sz w:val="18"/>
          <w:szCs w:val="18"/>
          <w:color w:val="auto"/>
        </w:rPr>
        <w:t>” described elsewhere in this Quarterly Report on Form 10-Q.</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There can be no assurance that we will be able to maintain compliance with Nasdaq’s listing standards or that we will be able to continue our listing on Nasdaq. If we fail to comply with the continued listing standards of The Nasdaq Capital Market, we may seek to list our common stock on the NYSE American or on a regional stock exchange or, if one or more broker-dealer market makers comply with applicable requirements, the over-the-counter (“OTC”) market. Listing on such other market or exchange could reduce the liquidity of our common stock. If our common stock were to trade in the OTC market, an investor would find it more difficult to dispose of, or to obtain accurate quotations for the price of, the common stock. Delisting of the common stock could depress our stock price, substantially limit liquidity of our common stock and materially adversely affect our ability to raise capital on terms acceptable to us, or at all. Further, delisting of the common stock would likely result in the common stock becoming a “penny stock” under the Exchange 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4"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incorporated by reference or filed as part of this report.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0" w:type="dxa"/>
            <w:vAlign w:val="bottom"/>
            <w:gridSpan w:val="12"/>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0" w:type="dxa"/>
            <w:vAlign w:val="bottom"/>
            <w:tcBorders>
              <w:bottom w:val="single" w:sz="8" w:color="auto"/>
            </w:tcBorders>
            <w:gridSpan w:val="1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93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Amended and Restated Certificate of Incorporation of the Registrant (incorporated by reference to Exhibit 3.1 to the Registrant’s</w:t>
              </w:r>
            </w:hyperlink>
          </w:p>
        </w:tc>
        <w:tc>
          <w:tcPr>
            <w:tcW w:w="6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registration statement on Form S-1/A (File No. 333-195169) filed with the SEC on June 10, 2014).</w:t>
              </w:r>
            </w:hyperlink>
          </w:p>
        </w:tc>
        <w:tc>
          <w:tcPr>
            <w:tcW w:w="20" w:type="dxa"/>
            <w:vAlign w:val="bottom"/>
            <w:tcBorders>
              <w:bottom w:val="single" w:sz="8" w:color="0000EE"/>
            </w:tcBorders>
          </w:tcPr>
          <w:p>
            <w:pPr>
              <w:spacing w:after="0"/>
              <w:rPr>
                <w:sz w:val="17"/>
                <w:szCs w:val="17"/>
                <w:color w:val="auto"/>
              </w:rPr>
            </w:pPr>
          </w:p>
        </w:tc>
        <w:tc>
          <w:tcPr>
            <w:tcW w:w="28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24"/>
                <w:szCs w:val="24"/>
                <w:color w:val="auto"/>
              </w:rPr>
            </w:pPr>
          </w:p>
        </w:tc>
        <w:tc>
          <w:tcPr>
            <w:tcW w:w="10000" w:type="dxa"/>
            <w:vAlign w:val="bottom"/>
            <w:gridSpan w:val="15"/>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Amended and Restated Bylaws of the Registrant (incorporated by reference to Exhibit 3.2 to the Registrant’s quarterly report on Form 10-</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Q (File No. 001-36517) filed with the SEC on November 4, 2019).</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40" w:type="dxa"/>
            <w:vAlign w:val="bottom"/>
          </w:tcPr>
          <w:p>
            <w:pPr>
              <w:spacing w:after="0"/>
              <w:rPr>
                <w:sz w:val="24"/>
                <w:szCs w:val="24"/>
                <w:color w:val="auto"/>
              </w:rPr>
            </w:pPr>
          </w:p>
        </w:tc>
        <w:tc>
          <w:tcPr>
            <w:tcW w:w="99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Certificate of Amendment to Amended and Restated Certificate of Incorporation of Minerva Neurosciences, Inc., effective June 17, 2022</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(incorporated by reference to Exhibit 3.1 to the Registration’s current report on Form 8-K (File No. 001-36517) filed with the SEC on</w:t>
              </w:r>
            </w:hyperlink>
          </w:p>
        </w:tc>
        <w:tc>
          <w:tcPr>
            <w:tcW w:w="3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June 17, 2022).</w:t>
              </w:r>
            </w:hyperlink>
          </w:p>
        </w:tc>
        <w:tc>
          <w:tcPr>
            <w:tcW w:w="88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40" w:type="dxa"/>
            <w:vAlign w:val="bottom"/>
          </w:tcPr>
          <w:p>
            <w:pPr>
              <w:spacing w:after="0"/>
              <w:rPr>
                <w:sz w:val="24"/>
                <w:szCs w:val="24"/>
                <w:color w:val="auto"/>
              </w:rPr>
            </w:pPr>
          </w:p>
        </w:tc>
        <w:tc>
          <w:tcPr>
            <w:tcW w:w="91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(Principal Executive Officer) pursuant to Section 302 of Sarbanes-Oxley Act of 2002.</w:t>
            </w:r>
          </w:p>
        </w:tc>
        <w:tc>
          <w:tcPr>
            <w:tcW w:w="8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40" w:type="dxa"/>
            <w:vAlign w:val="bottom"/>
          </w:tcPr>
          <w:p>
            <w:pPr>
              <w:spacing w:after="0"/>
              <w:rPr>
                <w:sz w:val="24"/>
                <w:szCs w:val="24"/>
                <w:color w:val="auto"/>
              </w:rPr>
            </w:pPr>
          </w:p>
        </w:tc>
        <w:tc>
          <w:tcPr>
            <w:tcW w:w="90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(Principal Financial Officer) pursuant to Section 302 of Sarbanes-Oxley Act of 2002.</w:t>
            </w:r>
          </w:p>
        </w:tc>
        <w:tc>
          <w:tcPr>
            <w:tcW w:w="20" w:type="dxa"/>
            <w:vAlign w:val="bottom"/>
            <w:tcBorders>
              <w:bottom w:val="single" w:sz="8" w:color="0000EE"/>
            </w:tcBorders>
          </w:tcPr>
          <w:p>
            <w:pPr>
              <w:spacing w:after="0"/>
              <w:rPr>
                <w:sz w:val="24"/>
                <w:szCs w:val="24"/>
                <w:color w:val="auto"/>
              </w:rPr>
            </w:pPr>
          </w:p>
        </w:tc>
        <w:tc>
          <w:tcPr>
            <w:tcW w:w="9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32.1</w:t>
            </w:r>
            <w:r>
              <w:rPr>
                <w:rFonts w:ascii="Times New Roman" w:cs="Times New Roman" w:eastAsia="Times New Roman" w:hAnsi="Times New Roman"/>
                <w:sz w:val="24"/>
                <w:szCs w:val="24"/>
                <w:color w:val="auto"/>
                <w:w w:val="93"/>
                <w:vertAlign w:val="superscript"/>
              </w:rPr>
              <w:t>+</w:t>
            </w:r>
          </w:p>
        </w:tc>
        <w:tc>
          <w:tcPr>
            <w:tcW w:w="140" w:type="dxa"/>
            <w:vAlign w:val="bottom"/>
          </w:tcPr>
          <w:p>
            <w:pPr>
              <w:spacing w:after="0"/>
              <w:rPr>
                <w:sz w:val="24"/>
                <w:szCs w:val="24"/>
                <w:color w:val="auto"/>
              </w:rPr>
            </w:pPr>
          </w:p>
        </w:tc>
        <w:tc>
          <w:tcPr>
            <w:tcW w:w="98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(Principal Executive Officer) and Chief Financial Officer (Principal Financial Officer) pursuant</w:t>
            </w:r>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to Section 906 of Sarbanes-Oxley Act of 2002.</w:t>
            </w:r>
          </w:p>
        </w:tc>
        <w:tc>
          <w:tcPr>
            <w:tcW w:w="20" w:type="dxa"/>
            <w:vAlign w:val="bottom"/>
            <w:tcBorders>
              <w:bottom w:val="single" w:sz="8" w:color="0000EE"/>
            </w:tcBorders>
          </w:tcPr>
          <w:p>
            <w:pPr>
              <w:spacing w:after="0"/>
              <w:rPr>
                <w:sz w:val="17"/>
                <w:szCs w:val="17"/>
                <w:color w:val="auto"/>
              </w:rPr>
            </w:pPr>
          </w:p>
        </w:tc>
        <w:tc>
          <w:tcPr>
            <w:tcW w:w="66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100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as its XBRL tags are embedded</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3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101.SCH*</w:t>
            </w:r>
          </w:p>
        </w:tc>
        <w:tc>
          <w:tcPr>
            <w:tcW w:w="140" w:type="dxa"/>
            <w:vAlign w:val="bottom"/>
          </w:tcPr>
          <w:p>
            <w:pPr>
              <w:spacing w:after="0"/>
              <w:rPr>
                <w:sz w:val="24"/>
                <w:szCs w:val="24"/>
                <w:color w:val="auto"/>
              </w:rPr>
            </w:pPr>
          </w:p>
        </w:tc>
        <w:tc>
          <w:tcPr>
            <w:tcW w:w="100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w:t>
            </w:r>
          </w:p>
        </w:tc>
        <w:tc>
          <w:tcPr>
            <w:tcW w:w="0" w:type="dxa"/>
            <w:vAlign w:val="bottom"/>
          </w:tcPr>
          <w:p>
            <w:pPr>
              <w:spacing w:after="0"/>
              <w:rPr>
                <w:sz w:val="1"/>
                <w:szCs w:val="1"/>
                <w:color w:val="auto"/>
              </w:rPr>
            </w:pPr>
          </w:p>
        </w:tc>
      </w:tr>
      <w:tr>
        <w:trPr>
          <w:trHeight w:val="33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40" w:type="dxa"/>
            <w:vAlign w:val="bottom"/>
          </w:tcPr>
          <w:p>
            <w:pPr>
              <w:spacing w:after="0"/>
              <w:rPr>
                <w:sz w:val="24"/>
                <w:szCs w:val="24"/>
                <w:color w:val="auto"/>
              </w:rPr>
            </w:pPr>
          </w:p>
        </w:tc>
        <w:tc>
          <w:tcPr>
            <w:tcW w:w="100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right="120" w:firstLine="8"/>
        <w:spacing w:after="0" w:line="255" w:lineRule="auto"/>
        <w:tabs>
          <w:tab w:leader="none" w:pos="1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1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08" w:right="439" w:bottom="1440" w:gutter="0" w:footer="0" w:header="0"/>
        </w:sectPr>
      </w:pPr>
    </w:p>
    <w:bookmarkStart w:id="28" w:name="page29"/>
    <w:bookmarkEnd w:id="28"/>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25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5715</wp:posOffset>
            </wp:positionV>
            <wp:extent cx="29229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ind w:left="8260"/>
        <w:spacing w:after="0"/>
        <w:rPr>
          <w:sz w:val="20"/>
          <w:szCs w:val="20"/>
          <w:color w:val="auto"/>
        </w:rPr>
      </w:pPr>
      <w:r>
        <w:rPr>
          <w:rFonts w:ascii="Times New Roman" w:cs="Times New Roman" w:eastAsia="Times New Roman" w:hAnsi="Times New Roman"/>
          <w:sz w:val="18"/>
          <w:szCs w:val="18"/>
          <w:color w:val="auto"/>
        </w:rPr>
        <w:t>Frederick Ahlholm</w:t>
      </w:r>
    </w:p>
    <w:p>
      <w:pPr>
        <w:spacing w:after="0" w:line="23"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2025</w:t>
      </w: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08" w:right="57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Remy Luthringer, certify that:</w:t>
      </w:r>
    </w:p>
    <w:p>
      <w:pPr>
        <w:spacing w:after="0" w:line="117"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Minerva Neurosciences,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2025</w:t>
            </w: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Remy Luthringer Ph.D.</w:t>
            </w:r>
          </w:p>
        </w:tc>
      </w:tr>
      <w:tr>
        <w:trPr>
          <w:trHeight w:val="191"/>
        </w:trPr>
        <w:tc>
          <w:tcPr>
            <w:tcW w:w="6760" w:type="dxa"/>
            <w:vAlign w:val="bottom"/>
          </w:tcPr>
          <w:p>
            <w:pPr>
              <w:spacing w:after="0"/>
              <w:rPr>
                <w:sz w:val="16"/>
                <w:szCs w:val="16"/>
                <w:color w:val="auto"/>
              </w:rPr>
            </w:pPr>
          </w:p>
        </w:tc>
        <w:tc>
          <w:tcPr>
            <w:tcW w:w="4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Remy Luthringer Ph.D.</w:t>
            </w:r>
          </w:p>
        </w:tc>
      </w:tr>
      <w:tr>
        <w:trPr>
          <w:trHeight w:val="216"/>
        </w:trPr>
        <w:tc>
          <w:tcPr>
            <w:tcW w:w="676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Chairman and</w:t>
            </w:r>
          </w:p>
        </w:tc>
      </w:tr>
      <w:tr>
        <w:trPr>
          <w:trHeight w:val="216"/>
        </w:trPr>
        <w:tc>
          <w:tcPr>
            <w:tcW w:w="676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4"/>
        </w:trPr>
        <w:tc>
          <w:tcPr>
            <w:tcW w:w="676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1438"/>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Frederick Ahlholm, certify that:</w:t>
      </w:r>
    </w:p>
    <w:p>
      <w:pPr>
        <w:spacing w:after="0" w:line="117"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Minerva Neurosciences,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2025</w:t>
            </w: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Frederick Ahlholm</w:t>
            </w:r>
          </w:p>
        </w:tc>
      </w:tr>
      <w:tr>
        <w:trPr>
          <w:trHeight w:val="191"/>
        </w:trPr>
        <w:tc>
          <w:tcPr>
            <w:tcW w:w="6760" w:type="dxa"/>
            <w:vAlign w:val="bottom"/>
          </w:tcPr>
          <w:p>
            <w:pPr>
              <w:spacing w:after="0"/>
              <w:rPr>
                <w:sz w:val="16"/>
                <w:szCs w:val="16"/>
                <w:color w:val="auto"/>
              </w:rPr>
            </w:pPr>
          </w:p>
        </w:tc>
        <w:tc>
          <w:tcPr>
            <w:tcW w:w="4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Frederick Ahlholm</w:t>
            </w:r>
          </w:p>
        </w:tc>
      </w:tr>
      <w:tr>
        <w:trPr>
          <w:trHeight w:val="216"/>
        </w:trPr>
        <w:tc>
          <w:tcPr>
            <w:tcW w:w="676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676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1222"/>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 18 U.S.C. § 1350</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Remy Luthringer, Executive Chairman and Chief Executive Officer (Principal Executive Officer) of Minerva Neurosciences, Inc. (the “Company”) and Frederick Ahlholm, Chief Financial Officer (Principal Financial Officer) of the Company, each hereby certifies that, to the best of his knowledge:</w:t>
      </w:r>
    </w:p>
    <w:p>
      <w:pPr>
        <w:spacing w:after="0" w:line="72" w:lineRule="exact"/>
        <w:rPr>
          <w:sz w:val="20"/>
          <w:szCs w:val="20"/>
          <w:color w:val="auto"/>
        </w:rPr>
      </w:pPr>
    </w:p>
    <w:p>
      <w:pPr>
        <w:ind w:left="52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2025, to which this Certification is attached as Exhibit 32.1 (the “Quarterly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8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13, 2025</w:t>
      </w:r>
      <w:r>
        <w:rPr>
          <w:sz w:val="20"/>
          <w:szCs w:val="20"/>
          <w:color w:val="auto"/>
        </w:rPr>
        <w:tab/>
      </w:r>
      <w:r>
        <w:rPr>
          <w:rFonts w:ascii="Times New Roman" w:cs="Times New Roman" w:eastAsia="Times New Roman" w:hAnsi="Times New Roman"/>
          <w:sz w:val="17"/>
          <w:szCs w:val="17"/>
          <w:color w:val="auto"/>
        </w:rPr>
        <w:t>Remy Luthringer, Ph.D.</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Executive Chairman and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13, 2025</w:t>
      </w:r>
      <w:r>
        <w:rPr>
          <w:sz w:val="20"/>
          <w:szCs w:val="20"/>
          <w:color w:val="auto"/>
        </w:rPr>
        <w:tab/>
      </w:r>
      <w:r>
        <w:rPr>
          <w:rFonts w:ascii="Times New Roman" w:cs="Times New Roman" w:eastAsia="Times New Roman" w:hAnsi="Times New Roman"/>
          <w:sz w:val="18"/>
          <w:szCs w:val="18"/>
          <w:color w:val="auto"/>
        </w:rPr>
        <w:t>Frederick Ahlholm</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Minerva Neurosciences,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11" Type="http://schemas.openxmlformats.org/officeDocument/2006/relationships/hyperlink" Target="https://www.sec.gov/Archives/edgar/data/0001598646/000104746914005459/a2219972zex-3_1.htm" TargetMode="External"/><Relationship Id="rId112" Type="http://schemas.openxmlformats.org/officeDocument/2006/relationships/hyperlink" Target="https://www.sec.gov/Archives/edgar/data/0001598646/000156459019039496/nerv-ex32_112.htm" TargetMode="External"/><Relationship Id="rId113" Type="http://schemas.openxmlformats.org/officeDocument/2006/relationships/hyperlink" Target="https://www.sec.gov/Archives/edgar/data/1598646/000119312522176540/d314076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2025-05-13T06:11:32Z</dcterms:created>
  <dcterms:modified xsi:type="dcterms:W3CDTF">2025-05-13T06:11:32Z</dcterms:modified>
</cp:coreProperties>
</file>