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erv-20250630.htm"/>
      <w:bookmarkStart w:id="1" w:name="ksnerv20250630"/>
      <w:bookmarkEnd w:id="0"/>
      <w:bookmarkEnd w:id="1"/>
      <w:r>
        <w:rPr/>
        <w:t> </w:t>
      </w:r>
    </w:p>
    <w:p>
      <w:pPr>
        <w:pStyle w:val="TextBody"/>
        <w:pBdr>
          <w:bottom w:val="double" w:sz="6" w:space="1" w:color="000000"/>
        </w:pBdr>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to </w:t>
      </w:r>
      <w:r>
        <w:rPr>
          <w:rFonts w:ascii="Times New Roman" w:hAnsi="Times New Roman"/>
          <w:b/>
          <w:color w:val="000000"/>
          <w:sz w:val="2"/>
        </w:rPr>
        <w:t>.</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No. 001-36517</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Minerva Neurosciences, Inc.</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tbl>
      <w:tblPr>
        <w:tblW w:w="5308" w:type="dxa"/>
        <w:jc w:val="left"/>
        <w:tblInd w:w="0" w:type="dxa"/>
        <w:tblLayout w:type="fixed"/>
        <w:tblCellMar>
          <w:top w:w="28" w:type="dxa"/>
          <w:left w:w="28" w:type="dxa"/>
          <w:bottom w:w="28" w:type="dxa"/>
          <w:right w:w="28" w:type="dxa"/>
        </w:tblCellMar>
      </w:tblPr>
      <w:tblGrid>
        <w:gridCol w:w="3481"/>
        <w:gridCol w:w="146"/>
        <w:gridCol w:w="168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26-0784194</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1500 District Avenue</w:t>
              <w:br/>
              <w:t>Burlington, 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Registrant’s telephone number, including area code: (617) 600-7373</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(Former Name, Former Address and Former Fiscal Year, if Changed Since Last Report)</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6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NERV</w:t>
            </w:r>
          </w:p>
        </w:tc>
        <w:tc>
          <w:tcPr>
            <w:tcW w:w="37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18"/>
        </w:rPr>
        <w:t xml:space="preserve"> </w:t>
      </w:r>
      <w:r>
        <w:rPr>
          <w:rFonts w:ascii="Times New Roman" w:hAnsi="Times New Roman"/>
          <w:color w:val="000000"/>
          <w:sz w:val="20"/>
        </w:rPr>
        <w:t xml:space="preserve">☒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18"/>
        </w:rPr>
        <w:t xml:space="preserve"> </w:t>
      </w:r>
      <w:r>
        <w:rPr>
          <w:rFonts w:ascii="Times New Roman" w:hAnsi="Times New Roman"/>
          <w:color w:val="000000"/>
          <w:sz w:val="20"/>
        </w:rPr>
        <w:t xml:space="preserve">☒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of shares of Registrant’s Common Stock, $0.0001 par value per share, outstanding as of August 8, 2025, was 6,993,406.</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4"/>
        <w:gridCol w:w="391"/>
        <w:gridCol w:w="8412"/>
        <w:gridCol w:w="146"/>
        <w:gridCol w:w="512"/>
      </w:tblGrid>
      <w:tr>
        <w:trPr/>
        <w:tc>
          <w:tcPr>
            <w:tcW w:w="7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2"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balance_sheets">
              <w:r>
                <w:rPr>
                  <w:rStyle w:val="InternetLink"/>
                  <w:rFonts w:ascii="Times New Roman" w:hAnsi="Times New Roman"/>
                  <w:color w:val="0000FF"/>
                  <w:sz w:val="20"/>
                </w:rPr>
                <w:t>Condensed Consolidated Balance Sheets as of June 30, 2025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44"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f_op">
              <w:r>
                <w:rPr>
                  <w:rStyle w:val="InternetLink"/>
                  <w:rFonts w:ascii="Times New Roman" w:hAnsi="Times New Roman"/>
                  <w:color w:val="0000FF"/>
                  <w:sz w:val="20"/>
                </w:rPr>
                <w:t>Condensed Consolidated Statements of Operations for the three and six months ended June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4"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stock">
              <w:r>
                <w:rPr>
                  <w:rStyle w:val="InternetLink"/>
                  <w:rFonts w:ascii="Times New Roman" w:hAnsi="Times New Roman"/>
                  <w:color w:val="0000FF"/>
                  <w:sz w:val="20"/>
                </w:rPr>
                <w:t>Condensed Consolidated Statements of Stockholders’ Deficit for the three and six months ended June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44"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f_cas">
              <w:r>
                <w:rPr>
                  <w:rStyle w:val="InternetLink"/>
                  <w:rFonts w:ascii="Times New Roman" w:hAnsi="Times New Roman"/>
                  <w:color w:val="0000FF"/>
                  <w:sz w:val="20"/>
                </w:rPr>
                <w:t>Condensed Consolidated Statements of Cash Flows for the six months ended June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condensed_consolidated_financia">
              <w:r>
                <w:rPr>
                  <w:rStyle w:val="InternetLink"/>
                  <w:rFonts w:ascii="Times New Roman" w:hAnsi="Times New Roman"/>
                  <w:color w:val="000080"/>
                  <w:sz w:val="20"/>
                </w:rPr>
                <w:t>Notes to Condensed Consolidated Financial Statements</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
              <w:r>
                <w:rPr>
                  <w:rStyle w:val="InternetLink"/>
                  <w:rFonts w:ascii="Times New Roman" w:hAnsi="Times New Roman"/>
                  <w:color w:val="0000FF"/>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_quantitative_qualitative_disclos">
              <w:r>
                <w:rPr>
                  <w:rStyle w:val="InternetLink"/>
                  <w:rFonts w:ascii="Times New Roman" w:hAnsi="Times New Roman"/>
                  <w:color w:val="0000FF"/>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
              <w:r>
                <w:rPr>
                  <w:rStyle w:val="InternetLink"/>
                  <w:rFonts w:ascii="Times New Roman" w:hAnsi="Times New Roman"/>
                  <w:color w:val="0000FF"/>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2" w:type="dxa"/>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
              <w:r>
                <w:rPr>
                  <w:rStyle w:val="InternetLink"/>
                  <w:rFonts w:ascii="Times New Roman" w:hAnsi="Times New Roman"/>
                  <w:color w:val="0000FF"/>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
              <w:r>
                <w:rPr>
                  <w:rStyle w:val="InternetLink"/>
                  <w:rFonts w:ascii="Times New Roman" w:hAnsi="Times New Roman"/>
                  <w:color w:val="0000FF"/>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
              <w:r>
                <w:rPr>
                  <w:rStyle w:val="InternetLink"/>
                  <w:rFonts w:ascii="Times New Roman" w:hAnsi="Times New Roman"/>
                  <w:color w:val="0000FF"/>
                  <w:sz w:val="20"/>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
              <w:r>
                <w:rPr>
                  <w:rStyle w:val="InternetLink"/>
                  <w:rFonts w:ascii="Times New Roman" w:hAnsi="Times New Roman"/>
                  <w:color w:val="0000FF"/>
                  <w:sz w:val="20"/>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mine">
              <w:r>
                <w:rPr>
                  <w:rStyle w:val="InternetLink"/>
                  <w:rFonts w:ascii="Times New Roman" w:hAnsi="Times New Roman"/>
                  <w:color w:val="0000FF"/>
                  <w:sz w:val="20"/>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other">
              <w:r>
                <w:rPr>
                  <w:rStyle w:val="InternetLink"/>
                  <w:rFonts w:ascii="Times New Roman" w:hAnsi="Times New Roman"/>
                  <w:color w:val="0000FF"/>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
              <w:r>
                <w:rPr>
                  <w:rStyle w:val="InternetLink"/>
                  <w:rFonts w:ascii="Times New Roman" w:hAnsi="Times New Roman"/>
                  <w:color w:val="0000FF"/>
                  <w:sz w:val="20"/>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signe">
              <w:r>
                <w:rPr>
                  <w:rStyle w:val="InternetLink"/>
                  <w:rFonts w:ascii="Times New Roman" w:hAnsi="Times New Roman"/>
                  <w:color w:val="0000FF"/>
                  <w:sz w:val="20"/>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Unless the context suggests otherwise, references in this Quarterly Report on Form 10-Q, or Quarterly Report, to “Minerva,” “the Company,” “we,” “us,” and “our” refer to Minerva Neurosciences, Inc. and, where appropriate, its subsidiaries.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2024 under Part I, Item IA,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All trademarks, trade names and service marks appearing in this Quarterly Report on Form 10-Q are the property of their respective owners.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 – Financial Information</w:t>
      </w:r>
    </w:p>
    <w:p>
      <w:pPr>
        <w:pStyle w:val="TextBody"/>
        <w:bidi w:val="0"/>
        <w:jc w:val="center"/>
        <w:rPr>
          <w:rFonts w:ascii="Times New Roman" w:hAnsi="Times New Roman"/>
          <w:b/>
          <w:color w:val="000000"/>
          <w:sz w:val="20"/>
        </w:rPr>
      </w:pPr>
      <w:bookmarkStart w:id="3" w:name="item_1_financial_statements"/>
      <w:bookmarkEnd w:id="3"/>
      <w:r>
        <w:rPr>
          <w:rFonts w:ascii="Times New Roman" w:hAnsi="Times New Roman"/>
          <w:b/>
          <w:color w:val="000000"/>
          <w:sz w:val="20"/>
        </w:rPr>
        <w:t>Item 1 –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MINERVA NEUROSCIENCES, INC.</w:t>
      </w:r>
    </w:p>
    <w:p>
      <w:pPr>
        <w:pStyle w:val="TextBody"/>
        <w:bidi w:val="0"/>
        <w:spacing w:before="120" w:after="283"/>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58"/>
        <w:gridCol w:w="211"/>
        <w:gridCol w:w="1201"/>
        <w:gridCol w:w="166"/>
        <w:gridCol w:w="146"/>
        <w:gridCol w:w="211"/>
        <w:gridCol w:w="1201"/>
        <w:gridCol w:w="611"/>
      </w:tblGrid>
      <w:tr>
        <w:trPr/>
        <w:tc>
          <w:tcPr>
            <w:tcW w:w="6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15,247,910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21,362,008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15,547,525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22,268,903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14,869,399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14,869,399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30,419,645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37,143,744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1,607,844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2,836,844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62,528,858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62,836,844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100,000,000 shares authorized; none issued or outstanding as of June 30, 2025 and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125,000,000 shares authorized; 6,993,406 shares issued and outstanding as of June 30, 2025 and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370,278,211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369,682,764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(402,388,123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(395,376,563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(32,109,213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(25,693,100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stockholders’ deficit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30,419,645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37,143,744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MINERVA NEUROSCIENCES, INC.</w:t>
      </w:r>
    </w:p>
    <w:p>
      <w:pPr>
        <w:pStyle w:val="TextBody"/>
        <w:bidi w:val="0"/>
        <w:spacing w:before="120" w:after="283"/>
        <w:jc w:val="center"/>
        <w:rPr>
          <w:rFonts w:ascii="Times New Roman" w:hAnsi="Times New Roman"/>
          <w:b/>
          <w:color w:val="000000"/>
          <w:sz w:val="20"/>
        </w:rPr>
      </w:pPr>
      <w:bookmarkStart w:id="5" w:name="condensed_consolidated_statements_of_op"/>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45"/>
        <w:gridCol w:w="211"/>
        <w:gridCol w:w="991"/>
        <w:gridCol w:w="166"/>
        <w:gridCol w:w="146"/>
        <w:gridCol w:w="211"/>
        <w:gridCol w:w="991"/>
        <w:gridCol w:w="166"/>
        <w:gridCol w:w="146"/>
        <w:gridCol w:w="211"/>
        <w:gridCol w:w="991"/>
        <w:gridCol w:w="166"/>
        <w:gridCol w:w="146"/>
        <w:gridCol w:w="211"/>
        <w:gridCol w:w="1096"/>
        <w:gridCol w:w="611"/>
      </w:tblGrid>
      <w:tr>
        <w:trPr/>
        <w:tc>
          <w:tcPr>
            <w:tcW w:w="3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8,027,786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4,931,745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12,959,531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(12,959,531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(losses) gains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for the sale of future royalties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(4,562,223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(16,802,292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MINERVA NEUROSCIENCES, INC.</w:t>
      </w:r>
    </w:p>
    <w:p>
      <w:pPr>
        <w:pStyle w:val="TextBody"/>
        <w:bidi w:val="0"/>
        <w:spacing w:before="120" w:after="283"/>
        <w:jc w:val="center"/>
        <w:rPr>
          <w:rFonts w:ascii="Times New Roman" w:hAnsi="Times New Roman"/>
          <w:b/>
          <w:color w:val="000000"/>
          <w:sz w:val="20"/>
        </w:rPr>
      </w:pPr>
      <w:bookmarkStart w:id="6" w:name="condensed_consolidated_statements_stock"/>
      <w:bookmarkEnd w:id="6"/>
      <w:r>
        <w:rPr>
          <w:rFonts w:ascii="Times New Roman" w:hAnsi="Times New Roman"/>
          <w:b/>
          <w:color w:val="000000"/>
          <w:sz w:val="20"/>
        </w:rPr>
        <w:t>Condensed Consolidated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759" w:type="dxa"/>
        <w:jc w:val="left"/>
        <w:tblInd w:w="0" w:type="dxa"/>
        <w:tblLayout w:type="fixed"/>
        <w:tblCellMar>
          <w:top w:w="28" w:type="dxa"/>
          <w:left w:w="28" w:type="dxa"/>
          <w:bottom w:w="28" w:type="dxa"/>
          <w:right w:w="28" w:type="dxa"/>
        </w:tblCellMar>
      </w:tblPr>
      <w:tblGrid>
        <w:gridCol w:w="2521"/>
        <w:gridCol w:w="146"/>
        <w:gridCol w:w="931"/>
        <w:gridCol w:w="146"/>
        <w:gridCol w:w="146"/>
        <w:gridCol w:w="230"/>
        <w:gridCol w:w="461"/>
        <w:gridCol w:w="146"/>
        <w:gridCol w:w="146"/>
        <w:gridCol w:w="211"/>
        <w:gridCol w:w="1141"/>
        <w:gridCol w:w="146"/>
        <w:gridCol w:w="146"/>
        <w:gridCol w:w="211"/>
        <w:gridCol w:w="1201"/>
        <w:gridCol w:w="166"/>
        <w:gridCol w:w="146"/>
        <w:gridCol w:w="211"/>
        <w:gridCol w:w="1096"/>
        <w:gridCol w:w="2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368,357,239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(396,815,428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(28,457,490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(8,568,805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6,993,406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368,796,088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(405,384,233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(36,587,446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(8,233,487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6,993,406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369,125,406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(413,617,720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(44,491,615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369,682,764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(395,376,563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(25,693,100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(3,752,972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6,993,406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369,979,993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(399,129,535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(29,148,843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6,993,406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370,278,211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(402,388,123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(32,109,213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MINERVA NEUROSCIENCES, INC.</w:t>
      </w:r>
    </w:p>
    <w:p>
      <w:pPr>
        <w:pStyle w:val="TextBody"/>
        <w:bidi w:val="0"/>
        <w:spacing w:before="120" w:after="283"/>
        <w:jc w:val="center"/>
        <w:rPr>
          <w:rFonts w:ascii="Times New Roman" w:hAnsi="Times New Roman"/>
          <w:b/>
          <w:color w:val="000000"/>
          <w:sz w:val="20"/>
        </w:rPr>
      </w:pPr>
      <w:bookmarkStart w:id="7" w:name="condensed_consolidated_statements_of_ca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118" w:type="dxa"/>
        <w:jc w:val="left"/>
        <w:tblInd w:w="0" w:type="dxa"/>
        <w:tblLayout w:type="fixed"/>
        <w:tblCellMar>
          <w:top w:w="28" w:type="dxa"/>
          <w:left w:w="28" w:type="dxa"/>
          <w:bottom w:w="28" w:type="dxa"/>
          <w:right w:w="28" w:type="dxa"/>
        </w:tblCellMar>
      </w:tblPr>
      <w:tblGrid>
        <w:gridCol w:w="6661"/>
        <w:gridCol w:w="211"/>
        <w:gridCol w:w="1036"/>
        <w:gridCol w:w="166"/>
        <w:gridCol w:w="146"/>
        <w:gridCol w:w="211"/>
        <w:gridCol w:w="1096"/>
        <w:gridCol w:w="591"/>
      </w:tblGrid>
      <w:tr>
        <w:trPr/>
        <w:tc>
          <w:tcPr>
            <w:tcW w:w="6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(16,802,292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software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associated with the sale of future royalties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4,562,223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(976,975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1,839,964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(10,031,575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(10,031,575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21,462,008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41,012,575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30,981,000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the Condensed Consolidated Statements of Cash Flows to the</w:t>
              <w:br/>
              <w:t>   Condensed Consolidated Balance Sheets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15,247,910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30,881,000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30,981,000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MINERVA NEUROSCIENCES,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As of June 30, 2025 and for the Three and Six Months Ended June 30, 2025 and 2024</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NATURE OF OPERATIONS AND LIQUIDITY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Nature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Minerva Neurosciences, Inc. (“Minerva” or the “Company”) is a clinical-stage biopharmaceutical company focused on the development and commercialization of proprietary product candidates to treat patients suffering from central nervous system (“CNS”) diseases. The Company’s lead product candidate is roluperidone, a compound the Company is developing for the treatment of negative symptoms in patients with schizophrenia. The Company previously submitted a New Drug Application (“NDA”) with the U.S. Food and Drug Administration (“FDA”) for roluperidone for the treatment of negative symptoms in schizophrenia in August 2022. On February 26, 2024, the FDA issued a Complete Response Letter (“CRL”) regarding the NDA for roluperidone. The Company has had multiple interactions with the FDA following receipt of the CRL for its NDA in February 2024 and the FDA has confirmed the requirement for an additional confirmatory clinical trial to address the deficiencies cited in the CRL and resubmit the NDA.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in the two previous studies (C03 and C07), the required confirmatory clinical trial would include patients diagnosed with schizophrenia who present with impairing negative symptoms and stable positive symptoms. Patients would be selected based on stable positive symptoms and impairing negative symptoms for the six months prior to entering the trial. Minerva agreed with the FDA that best efforts will be made to secure 25-30% of patients from the United States (subject to competitive recruitment). The FDA has confirmed that roluperidone can be studied in monotherapy where patients would receive a double-blinded single daily 64 mg dose of roluperidone or placebo. The FDA has also confirmed that, the primary endpoint would be the change from Baseline in PANSS Marder negative symptoms factor score (“NSFS”) at 12 weeks of treatment with roluperidone compared to placebo. The FDA advised that, to support a monotherapy indication, it would be necessary to assess relapses on an observational basis for at least 52 weeks, in patients treated in monotherapy with roluperidone, placebo or antipsychotics. The FDA has stated that it would consider a resubmission of the NDA that included a double-blind, placebo- or active-controlled trial of roluperidone with a duration of at least 52 weeks.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trial’s potential sole key secondary endpoint would be the comparison of the change from Baseline in the Personal and Social Performance scale total score (“PSP”) to Week 12, which is a scale to assess patients’ social functioning. The trial will also potentially measure the change from Baseline in Clinical Global Impression of Severity (“CGI-S”), change from Baseline in NSFS, PSP, and CGI-S at earlier timepoints and safety &amp; tolerability.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has agreed that an adjunctive trial with antipsychotics would not be required for resubmission of the NDA if Minerva could provide robust, controlled data demonstrating the efficacy and safety of long-term monotherapy with roluperidone in subjects with negative symptoms of schizophrenia.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exclusive rights to develop and commercialize MIN-301, a compound for the treatment of Parkinson’s disease. In addition, Minerva previously co-developed seltorexant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up front payment and up to an additional $95 million in potential future milestone payments.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June 30, 2025, the Company had an accumulated deficit of approximately $402.4 million and net cash used in operating activities was approximately $6.1 million during the six months ended June 30, 2025.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Company had cash, cash equivalents, and restricted cash of $15.3 million. Given the cash, cash equivalents, and restricted cash balance as of June 30, 2025, along with the current projections of cash to be used for operations, the Company believes that its existing cash, cash equivalents, and restricted cash will not be sufficient to fund its operating expenses and capital requirements. However, management has the ability to mitigate this condition through cost reduction initiatives. Based on the implementation of these initiatives, the Company believes it will have sufficient liquidity to meet its obligations for at least twelve months from the date these financial statements are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drug development can be costly, and the timing and outcomes of clinical trials are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need to raise additional capital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the Company does not satisfy The Nasdaq Capital Market continued listing requirements, its common stock may be subject to delisting, which could impact the Company’s ability to complete additional equity financings on terms acceptable to the Company. On March 17, 2025, the Company was formally notified that the Nasdaq Hearings Panel (the “Panel”) of the Nasdaq Stock Market LLC (“Nasdaq”) determined that the Company regained compliance with Nasdaq Listing Rule 5550(b)(3) (the “Net Income Rule”), which requires listed companies to maintain a minimum of $500,000 of net income from continuing operations. Pursuant to Nasdaq Listing Rule 5815(d)(4)(A), the Company will be subject to a discretionary panel monitor for a period of one year from March 17, 2025. If, within that one-year monitoring period, the Company fails to maintain compliance with any Nasdaq continued listing requirement, the Listing Qualifications Staff (the “Staff”) of Nasdaq will issue a Delist Determination Letter, and the Company will have an opportunity to request a new hearing with the initial Panel or a newly convened Hearings Panel if the initial Panel is unavailable. Notwithstanding Nasdaq Listing Rule 5810(c)(2), the Company will not be permitted to provide the Staff with a plan of compliance with respect to any deficiency that arises during the one-year monitoring period, and the Staff will not be permitted to grant additional time for the Company to regain compliance with respect to any deficiency.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disclosed, on April 10, 2024, the Company received written notice from Nasdaq notifying the Company that for the last 31 consecutive business days, the Company’s minimum Market Value of Listed Securities was below the minimum of $35 million required for continued listing on The Nasdaq Capital Market pursuant to Nasdaq Listing Rule 5550(b)(2). In addition, on January 10, 2025, the Company received a notice from Nasdaq indicating that following the Company’s hearing before the Panel on December 10, 2024, the Panel granted the Company’s request for continued listing on Nasdaq through March 31, 2025, subject to the Company’s compliance with Nasdaq Listing Rule 5550(b)(1) (the “Equity Rule”), among other conditions. While the Company had initially planned to regain compliance with the Equity Rule, upon review of the Company’s Annual Report on Form 10-K for the year ended December 31, 2024, the Staff confirmed that the Company demonstrated compliance with the Net Income Rule. Accordingly, the Panel determined to continue the listing of the Company’s securities on Nasdaq and closed the matter.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the Company will be able to maintain compliance with Nasdaq’s listing standards or that the Company will be able to continue its listing on Nasdaq.</w:t>
      </w:r>
    </w:p>
    <w:p>
      <w:pPr>
        <w:pStyle w:val="TextBody"/>
        <w:bidi w:val="0"/>
        <w:spacing w:before="240" w:after="283"/>
        <w:jc w:val="left"/>
        <w:rPr>
          <w:rFonts w:ascii="Times New Roman" w:hAnsi="Times New Roman"/>
          <w:sz w:val="20"/>
        </w:rPr>
      </w:pPr>
      <w:r>
        <w:rPr>
          <w:rFonts w:ascii="Times New Roman" w:hAnsi="Times New Roman"/>
          <w:b/>
          <w:i/>
          <w:color w:val="000000"/>
          <w:sz w:val="20"/>
        </w:rPr>
        <w:t>Review of Strategic Alternatives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requirement for the confirmatory study and the Company’s current cash position, the Company is taking additional steps to reduce costs. The Company has also initiated a review process to explore strategic alternatives to maximize value for its stockholders. There can be no assurance that the exploration of strategic alternatives will result in any agreements or transactions, or as to the timing of any such agreements or transactions. Minerva does not intend to discuss or disclose further developments regarding the exploration of strategic alternatives unless and until its board of directors has approved a definitive action or otherwise determined that further disclosure is appropriate or required by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 SIGNIFICANT ACCOUNTING POLICIES</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June 30, 2025, the results of operations for the three and six months ended June 30, 2025 and 2024 and cash flows for the six months ended June 30, 2025 and 2024. The results of operations for the three and six months ended June 30, 2025 are not necessarily indicative of the results to be expected for the full year. The consolidated balance sheet as of December 31, 2024 was derived from the audited annual financial statements. The accompanying unaudited condensed consolidated financial statements and notes thereto should be read in conjunction with the audited consolidated financial statements for the year ended December 31, 2024 included in the Company’s Annual Report on Form 10-K filed with the SEC on February 25,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results of the Company and its wholly-owned subsidiaries, Mind-NRG Sarl and Minerva Neurosciences Securities Corporation. Intercompany transactions have been eliminated.</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risks and uncertainties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pStyle w:val="TextBody"/>
        <w:bidi w:val="0"/>
        <w:spacing w:before="24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accounts with any type of restriction are classified as restricted. The Company maintained restricted cash balances as collateral for corporate credit cards in the amount of $0.1 million at each of June 30, 2025 and December 31, 2024.</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(business activity from which it earns revenue and incurs expenses) about which discrete financial information is available and regularly reviewed by the chief operating decision maker (“CODM”) in deciding how to allocate resources and in assessing performance. The Company’s CODM is the Chief Executive Officer. The CODM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evaluates performance of the segments based on net income (loss). The CODM also reviews operating results and previously forecasted financial information to make decisions about allocating resources and assessing performance for the entire Company.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operations are organized into one operating and one reportable segment focused on the development and commercialization of proprietary product candidates to treat patients suffering from CNS diseases. The one operating segment is managed on a consolidated basis. The operating segment’s revenue would be generated from commercial sales or license agreements of the product candidates. However, none of the Company’s product candidates has been approved for commercialization and it has not received any revenue in connection with the sale or license of its product candidates. Furthermore, except for most of Asia, the Company has global commercialization rights for roluperidone and also owns worldwide rights for MIN-301 and the Sigma Ligands.</w:t>
      </w:r>
    </w:p>
    <w:p>
      <w:pPr>
        <w:pStyle w:val="TextBody"/>
        <w:bidi w:val="0"/>
        <w:jc w:val="left"/>
        <w:rPr>
          <w:rFonts w:ascii="Times New Roman" w:hAnsi="Times New Roman"/>
          <w:color w:val="000000"/>
          <w:sz w:val="20"/>
        </w:rPr>
      </w:pPr>
      <w:r>
        <w:rPr>
          <w:rFonts w:ascii="Times New Roman" w:hAnsi="Times New Roman"/>
          <w:color w:val="000000"/>
          <w:sz w:val="20"/>
        </w:rPr>
        <w:t>The CODM does not evaluate operating segments using asset or liability information and therefore it is not disclosed. The following table summarizes the reportable segment’s financial information:</w:t>
      </w:r>
    </w:p>
    <w:tbl>
      <w:tblPr>
        <w:tblW w:w="10205" w:type="dxa"/>
        <w:jc w:val="left"/>
        <w:tblInd w:w="0" w:type="dxa"/>
        <w:tblLayout w:type="fixed"/>
        <w:tblCellMar>
          <w:top w:w="28" w:type="dxa"/>
          <w:left w:w="28" w:type="dxa"/>
          <w:bottom w:w="28" w:type="dxa"/>
          <w:right w:w="28" w:type="dxa"/>
        </w:tblCellMar>
      </w:tblPr>
      <w:tblGrid>
        <w:gridCol w:w="4237"/>
        <w:gridCol w:w="211"/>
        <w:gridCol w:w="991"/>
        <w:gridCol w:w="166"/>
        <w:gridCol w:w="211"/>
        <w:gridCol w:w="991"/>
        <w:gridCol w:w="166"/>
        <w:gridCol w:w="211"/>
        <w:gridCol w:w="991"/>
        <w:gridCol w:w="166"/>
        <w:gridCol w:w="146"/>
        <w:gridCol w:w="211"/>
        <w:gridCol w:w="1096"/>
        <w:gridCol w:w="411"/>
      </w:tblGrid>
      <w:tr>
        <w:trPr/>
        <w:tc>
          <w:tcPr>
            <w:tcW w:w="4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Research and development staff related expenses </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1,435,838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Research and development drug product material expenses and associated costs </w:t>
            </w:r>
            <w:r>
              <w:rPr>
                <w:rFonts w:ascii="Times New Roman" w:hAnsi="Times New Roman"/>
                <w:color w:val="000000"/>
                <w:sz w:val="13"/>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2,537,761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stock compensation expenses (non-cash)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staff related expenses </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1,718,275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stock compensation expenses (non-cash)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6,460,041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Other segment expense, net </w:t>
            </w:r>
            <w:r>
              <w:rPr>
                <w:rFonts w:ascii="Times New Roman" w:hAnsi="Times New Roman"/>
                <w:b/>
                <w:color w:val="000000"/>
                <w:sz w:val="13"/>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6,499,490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12,959,531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(12,959,531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Reconciling items: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(losses) gains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interest expense for the sale of future royalties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(4,562,223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(16,802,292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Salary, bonus, and fringe benefits are included in staff related expenses.</w:t>
      </w:r>
    </w:p>
    <w:p>
      <w:pPr>
        <w:pStyle w:val="TextBody"/>
        <w:bidi w:val="0"/>
        <w:jc w:val="left"/>
        <w:rPr>
          <w:rFonts w:ascii="Times New Roman" w:hAnsi="Times New Roman"/>
          <w:color w:val="000000"/>
          <w:sz w:val="20"/>
        </w:rPr>
      </w:pPr>
      <w:r>
        <w:rPr>
          <w:rFonts w:ascii="Times New Roman" w:hAnsi="Times New Roman"/>
          <w:color w:val="000000"/>
          <w:sz w:val="20"/>
        </w:rPr>
        <w:t>(2) Costs associated with the Company’s drug substance validation campaign are included in drug product material expenses.</w:t>
      </w:r>
    </w:p>
    <w:p>
      <w:pPr>
        <w:pStyle w:val="TextBody"/>
        <w:bidi w:val="0"/>
        <w:jc w:val="left"/>
        <w:rPr>
          <w:rFonts w:ascii="Times New Roman" w:hAnsi="Times New Roman"/>
          <w:color w:val="000000"/>
          <w:sz w:val="20"/>
        </w:rPr>
      </w:pPr>
      <w:r>
        <w:rPr>
          <w:rFonts w:ascii="Times New Roman" w:hAnsi="Times New Roman"/>
          <w:color w:val="000000"/>
          <w:sz w:val="20"/>
        </w:rPr>
        <w:t>(3) Insurance, consultant, audit, legal, and the C18 study costs are included in other segment expense, net.</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and are adopted by the Company as of the specified effective 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 ACCRUED EXPENSES AND OTHER LIABILITIES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Accrued expenses and other liabilities consist of the following: </w:t>
      </w:r>
    </w:p>
    <w:tbl>
      <w:tblPr>
        <w:tblW w:w="8151" w:type="dxa"/>
        <w:jc w:val="left"/>
        <w:tblInd w:w="0" w:type="dxa"/>
        <w:tblLayout w:type="fixed"/>
        <w:tblCellMar>
          <w:top w:w="28" w:type="dxa"/>
          <w:left w:w="28" w:type="dxa"/>
          <w:bottom w:w="28" w:type="dxa"/>
          <w:right w:w="28" w:type="dxa"/>
        </w:tblCellMar>
      </w:tblPr>
      <w:tblGrid>
        <w:gridCol w:w="5026"/>
        <w:gridCol w:w="211"/>
        <w:gridCol w:w="931"/>
        <w:gridCol w:w="146"/>
        <w:gridCol w:w="146"/>
        <w:gridCol w:w="277"/>
        <w:gridCol w:w="1223"/>
        <w:gridCol w:w="191"/>
      </w:tblGrid>
      <w:tr>
        <w:trPr/>
        <w:tc>
          <w:tcPr>
            <w:tcW w:w="5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 and other 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Vacation pay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1,632,059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 NET LOSS PER SHARE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but only to the extent that their inclusion is dilutive. Performance-based restricted stock units are excluded from the calculation of dilutive potential common shares until the performance conditions have been achieved on the basis of the assumption that the end of the reporting period was the end of the contingency period, if such issuable shares are 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in connection with a private placement, the Company issued and sold pre-funded warrants exercisable for an aggregate of 575,575 shares of common stock. The purchase price of the pre-funded warrants was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loss per share as of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loss per share for common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5"/>
        <w:gridCol w:w="211"/>
        <w:gridCol w:w="991"/>
        <w:gridCol w:w="166"/>
        <w:gridCol w:w="146"/>
        <w:gridCol w:w="211"/>
        <w:gridCol w:w="991"/>
        <w:gridCol w:w="166"/>
        <w:gridCol w:w="146"/>
        <w:gridCol w:w="211"/>
        <w:gridCol w:w="991"/>
        <w:gridCol w:w="166"/>
        <w:gridCol w:w="146"/>
        <w:gridCol w:w="211"/>
        <w:gridCol w:w="1096"/>
        <w:gridCol w:w="211"/>
      </w:tblGrid>
      <w:tr>
        <w:trPr/>
        <w:tc>
          <w:tcPr>
            <w:tcW w:w="4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(16,802,292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7,568,981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securities outstanding at June 30, 2025 and 2024 have been excluded from the calculation of weighted average shares outstanding as their effect on the calculation of loss per share is antidilutive:</w:t>
      </w:r>
    </w:p>
    <w:tbl>
      <w:tblPr>
        <w:tblW w:w="8751" w:type="dxa"/>
        <w:jc w:val="left"/>
        <w:tblInd w:w="0" w:type="dxa"/>
        <w:tblLayout w:type="fixed"/>
        <w:tblCellMar>
          <w:top w:w="28" w:type="dxa"/>
          <w:left w:w="28" w:type="dxa"/>
          <w:bottom w:w="28" w:type="dxa"/>
          <w:right w:w="28" w:type="dxa"/>
        </w:tblCellMar>
      </w:tblPr>
      <w:tblGrid>
        <w:gridCol w:w="3376"/>
        <w:gridCol w:w="146"/>
        <w:gridCol w:w="931"/>
        <w:gridCol w:w="146"/>
        <w:gridCol w:w="146"/>
        <w:gridCol w:w="146"/>
        <w:gridCol w:w="931"/>
        <w:gridCol w:w="146"/>
        <w:gridCol w:w="146"/>
        <w:gridCol w:w="146"/>
        <w:gridCol w:w="931"/>
        <w:gridCol w:w="146"/>
        <w:gridCol w:w="146"/>
        <w:gridCol w:w="146"/>
        <w:gridCol w:w="93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 SALE OF FUTURE ROYALTIES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previously co-developed seltorexant with Janssen for the treatment of insomnia disorder and adjunctive treatment of MDD. During 2020, the Company exercised its right to opt out of the co-development and license agreement (the “Janssen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Royalty Pharma has recourse against the Company relating to payments due from Janssen and therefore, the Company is deemed to have significant continuing involvement. The Company has applied the debt recognition guidance under ASC 470, </w:t>
      </w:r>
      <w:r>
        <w:rPr>
          <w:rFonts w:ascii="Times New Roman" w:hAnsi="Times New Roman"/>
          <w:i/>
          <w:color w:val="000000"/>
          <w:sz w:val="20"/>
        </w:rPr>
        <w:t>Debt</w:t>
      </w:r>
      <w:r>
        <w:rPr>
          <w:rFonts w:ascii="Times New Roman" w:hAnsi="Times New Roman"/>
          <w:color w:val="000000"/>
          <w:sz w:val="20"/>
        </w:rPr>
        <w:t>, and recorded the upfront payment of $60 million on the balance sheet as a liability related to the sale of future royalties (the “Royalty Obligation”) and will record any amortized interest expense and future milestone payments received from Royalty Pharma as well. No amounts received, including the initial upfront payment, amortized interest expense or potential milestone payments, are repayable to Royalty Pharma if Janssen discontinues the clinical development of seltorexant or ceases to pursue its commercialization at a future date for any reason. In accordance with ASC 470, the Company will account for any royalties received in the future as non-cash royalty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royalties are remitted from Janssen to Royalty Pharma, the balance of the Royalty Obligation will be effectively repaid over the expected life of the Janssen Agreement. The $60 million payment received from Royalty Pharma and any potential future milestone payments from Royalty Pharma are recorded as part of the Royalty Obligation. The difference between the total expected royalties receivable from Janssen and the upfront and milestone payments potentially receivable from Royalty Pharma is being amortized as non-cash interest expense over the estimated remaining life of the Janssen Agreement. To determine the amount of non-cash interest to be amortized, the Company is required to make assumptions for the total amount of future royalty payments to be received from Janssen. At execution, the Company’s estimate of this total non-cash interest expense resulted in an effective annual interest rate of approximately 10.5%.</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regularly evaluates the assumptions supporting future royalty estimates and, during the third quarter of 2024, noted that Janssen announced on clinicaltrials.gov a further Phase 3 study with seltorexant (42847922MDD3003) that has an estimated study completion date of November 30, 2027, which is significantly different from the assumption the Company used in its original estimates. As a result, the Company has made a significant revision to its estimates for the timing and amount of future royalty payments to be earned over the life of the Janssen Agreement and noted that the estimate of undiscounted royalty payments is now less than the original carrying value of the upfront payment received. Therefore, under the retrospective interest model, during the third quarter of 2024 the Company adjusted the Royalty Obligation to the initial upfront payment received of $60 million and recognized $26.6 million as a component of Other Income, representing the amount of amortized non-cash interest expense through June 30, 2024. In addition, the Company does not expect to recognize non-cash interest expense in the future related to the Royalty Obligation, as the effective annual interest rate is negative.</w:t>
      </w:r>
    </w:p>
    <w:p>
      <w:pPr>
        <w:pStyle w:val="TextBody"/>
        <w:bidi w:val="0"/>
        <w:jc w:val="left"/>
        <w:rPr>
          <w:rFonts w:ascii="Times New Roman" w:hAnsi="Times New Roman"/>
          <w:b/>
          <w:color w:val="000000"/>
          <w:sz w:val="20"/>
        </w:rPr>
      </w:pPr>
      <w:r>
        <w:rPr>
          <w:rFonts w:ascii="Times New Roman" w:hAnsi="Times New Roman"/>
          <w:b/>
          <w:color w:val="000000"/>
          <w:sz w:val="20"/>
        </w:rPr>
        <w:t>NOTE 6 — STOCKHOLDERS’ DEFICIT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Equity Offering Program</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six months ended June 30, 2025, no shares of the Company’s common stock were issued or sold under the Sales Agreement. As of June 30, 2025, an aggregate of $22.6 million was eligible for sale pursuant to the Sales Agreement under the Company’s effective registration statement on Form S-3 (File No. 333-267424).</w:t>
      </w:r>
    </w:p>
    <w:p>
      <w:pPr>
        <w:pStyle w:val="TextBody"/>
        <w:bidi w:val="0"/>
        <w:jc w:val="left"/>
        <w:rPr>
          <w:rFonts w:ascii="Times New Roman" w:hAnsi="Times New Roman"/>
          <w:b/>
          <w:color w:val="000000"/>
          <w:sz w:val="20"/>
        </w:rPr>
      </w:pPr>
      <w:r>
        <w:rPr>
          <w:rFonts w:ascii="Times New Roman" w:hAnsi="Times New Roman"/>
          <w:b/>
          <w:color w:val="000000"/>
          <w:sz w:val="20"/>
        </w:rPr>
        <w:t>NOTE 7 — STOCK AWARD PLAN AND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2013, the Company adopted the 2013 Equity Incentive Plan (as subsequently amended and restated, the “Plan”), which provides for the issuance of options, stock appreciation rights, stock awards and stock units. As of June 30, 2025, the total shares authorized for issuance under the Plan were 2,078,917.</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Awards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Stock option activity for employees and non-employees for the six months ended June 30, 2025 is as follows:</w:t>
      </w:r>
    </w:p>
    <w:tbl>
      <w:tblPr>
        <w:tblW w:w="7772" w:type="dxa"/>
        <w:jc w:val="left"/>
        <w:tblInd w:w="0" w:type="dxa"/>
        <w:tblLayout w:type="fixed"/>
        <w:tblCellMar>
          <w:top w:w="28" w:type="dxa"/>
          <w:left w:w="28" w:type="dxa"/>
          <w:bottom w:w="28" w:type="dxa"/>
          <w:right w:w="28" w:type="dxa"/>
        </w:tblCellMar>
      </w:tblPr>
      <w:tblGrid>
        <w:gridCol w:w="2461"/>
        <w:gridCol w:w="146"/>
        <w:gridCol w:w="146"/>
        <w:gridCol w:w="931"/>
        <w:gridCol w:w="166"/>
        <w:gridCol w:w="146"/>
        <w:gridCol w:w="302"/>
        <w:gridCol w:w="823"/>
        <w:gridCol w:w="146"/>
        <w:gridCol w:w="146"/>
        <w:gridCol w:w="285"/>
        <w:gridCol w:w="706"/>
        <w:gridCol w:w="146"/>
        <w:gridCol w:w="146"/>
        <w:gridCol w:w="334"/>
        <w:gridCol w:w="55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Issuable</w:t>
              <w:br/>
              <w:t>Pursuant to</w:t>
              <w:br/>
              <w:t>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Terms</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for future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grant-date fair value of stock options outstanding on June 30, 2025 was $6.11 per share. Total unrecognized compensation costs related to non-vested stock options at June 30, 2025 were approximately $2.2 million and are expected to be recognized within future operating results over a weighted-average period of 2.2 years. Generally, stock options are granted using exercise prices equal to the market price at the date of grant, vest over four years for employees and one year for directors and are exercisable over a maximum period of 10 years from their grant dates.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expected term of the employee-related options was estimated using the “simplified” method as defined by the SEC’s Staff Accounting Bulletin No. 107, </w:t>
      </w:r>
      <w:r>
        <w:rPr>
          <w:rFonts w:ascii="Times New Roman" w:hAnsi="Times New Roman"/>
          <w:i/>
          <w:color w:val="000000"/>
          <w:sz w:val="20"/>
        </w:rPr>
        <w:t>Share-Based Payment</w:t>
      </w:r>
      <w:r>
        <w:rPr>
          <w:rFonts w:ascii="Times New Roman" w:hAnsi="Times New Roman"/>
          <w:color w:val="000000"/>
          <w:sz w:val="20"/>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 of estimating the fair value of the options.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uses the Black-Scholes model to estimate the fair value of stock options granted. There were no stock options granted during the six months ended June 30, 2025 and 2024.</w:t>
      </w:r>
    </w:p>
    <w:p>
      <w:pPr>
        <w:pStyle w:val="TextBody"/>
        <w:bidi w:val="0"/>
        <w:jc w:val="left"/>
        <w:rPr>
          <w:rFonts w:ascii="Times New Roman" w:hAnsi="Times New Roman"/>
          <w:b/>
          <w:i/>
          <w:color w:val="000000"/>
          <w:sz w:val="20"/>
        </w:rPr>
      </w:pPr>
      <w:r>
        <w:rPr>
          <w:rFonts w:ascii="Times New Roman" w:hAnsi="Times New Roman"/>
          <w:b/>
          <w:i/>
          <w:color w:val="000000"/>
          <w:sz w:val="20"/>
        </w:rPr>
        <w:t>Performance-Based 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used the pre-modification stock options for determining the compensation cost related to the PRSUs as the vesting conditions remain uncertain for the outstanding PRSUs. All expense related to the non-vested pre-modification stock options was fully recognized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28, 2023, the Compensation Committee of the Company’s board of directors certified the achievement of a performance condition occurring upon FDA acceptance of the NDA for roluperidone. As a result, 50% of the shares of common stock underlying the Company’s PRSUs vested and the Company recognized approximately $0.2 million in non-cash compensation expense,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 The remaining PRSUs vest upon roluperidone receiving FDA marketing approval, provided that such approval occurs within five years after the August 6, 2021 grant date. As of June 30, 2025, 228,213 PRSUs have vested, 20,218 have been cancelled, and 228,209 remain outstanding.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stock-based compensation expense included in the Company’s consolidated statements of operations:</w:t>
      </w:r>
    </w:p>
    <w:tbl>
      <w:tblPr>
        <w:tblW w:w="7492" w:type="dxa"/>
        <w:jc w:val="left"/>
        <w:tblInd w:w="0" w:type="dxa"/>
        <w:tblLayout w:type="fixed"/>
        <w:tblCellMar>
          <w:top w:w="28" w:type="dxa"/>
          <w:left w:w="28" w:type="dxa"/>
          <w:bottom w:w="28" w:type="dxa"/>
          <w:right w:w="28" w:type="dxa"/>
        </w:tblCellMar>
      </w:tblPr>
      <w:tblGrid>
        <w:gridCol w:w="2311"/>
        <w:gridCol w:w="146"/>
        <w:gridCol w:w="211"/>
        <w:gridCol w:w="781"/>
        <w:gridCol w:w="146"/>
        <w:gridCol w:w="146"/>
        <w:gridCol w:w="211"/>
        <w:gridCol w:w="781"/>
        <w:gridCol w:w="146"/>
        <w:gridCol w:w="146"/>
        <w:gridCol w:w="211"/>
        <w:gridCol w:w="781"/>
        <w:gridCol w:w="146"/>
        <w:gridCol w:w="146"/>
        <w:gridCol w:w="211"/>
        <w:gridCol w:w="78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October 11, 2022, the Company entered into an office lease agreement with Regus to lease approximately 491 rentable square feet of office space located at 1500 District Avenue, Burlington, MA 01803. In January 2025, the Company renewed the month-to-month lease agreement commencing on February 1, 2025, with a monthly payment of $9,106. The Company has elected to not recognize the lease agreement on the balance sheet as the term of the agreement is 12 months or less.</w:t>
      </w:r>
    </w:p>
    <w:p>
      <w:pPr>
        <w:pStyle w:val="TextBody"/>
        <w:bidi w:val="0"/>
        <w:jc w:val="left"/>
        <w:rPr>
          <w:rFonts w:ascii="Times New Roman" w:hAnsi="Times New Roman"/>
          <w:b/>
          <w:color w:val="000000"/>
          <w:sz w:val="20"/>
        </w:rPr>
      </w:pPr>
      <w:r>
        <w:rPr>
          <w:rFonts w:ascii="Times New Roman" w:hAnsi="Times New Roman"/>
          <w:b/>
          <w:color w:val="000000"/>
          <w:sz w:val="20"/>
        </w:rPr>
        <w:t>NOTE 9 — 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4, 2025, tax legislation known as the One Big Beautiful Bill Act (“OBBBA”) was enacted in the United States. The Company is currently evaluating the impact of U.S. tax law changes introduced by OBBBA on the consolidated financial statements. Due to the timing of enactment, the Company will recognize any such impact in the Quarterly Report on Form 10-Q for the period ending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
      <w:bookmarkEnd w:id="9"/>
      <w:r>
        <w:rPr>
          <w:rFonts w:ascii="Times New Roman" w:hAnsi="Times New Roman"/>
          <w:b/>
          <w:color w:val="000000"/>
          <w:sz w:val="20"/>
        </w:rPr>
        <w:t xml:space="preserve">Item 2. </w:t>
      </w:r>
      <w:r>
        <w:rPr>
          <w:rFonts w:ascii="Times New Roman" w:hAnsi="Times New Roman"/>
          <w:b/>
          <w:i/>
          <w:color w:val="000000"/>
          <w:sz w:val="20"/>
        </w:rPr>
        <w:t>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2024 as filed with the Securities and Exchange Commission on February 25, 2025.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biopharmaceutical company focused on the development and commercialization of proprietary product candidates to treat patients suffering from central nervous system diseases. Leveraging our scientific insights and clinical experience, we have acquired or in-licensed compounds that we believe have innovative mechanisms of actions and therapeutic profiles that potentially address the unmet needs of patients with these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developing roluperidone for the treatment of negative symptoms in patients with schizophrenia and have exclusive rights to develop and commercialize MIN-301 for the treatment of Parkinson’s disease. In addition, we previously co-developed seltorexant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Phase 3 development of seltorexant and as a result,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2022, we submitted a New Drug Application (“NDA”) with the U.S. Food and Drug Administration (“FDA”) for our lead product candidate, roluperidone, for the treatment of negative symptoms in schizophrenia. On February 26, 2024, the FDA issued a Complete Response Letter (“CRL”) regarding our NDA for roluperidone. We have had multiple interactions with the FDA following receipt of the CRL for our NDA in February 2024 and the FDA has confirmed the requirement for an additional confirmatory clinical trial to address the deficiencies cited in the CRL and resubmit the NDA.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in the two previous studies (C03 and C07), the required confirmatory clinical trial would include patients diagnosed with schizophrenia who present with impairing negative symptoms and stable positive symptoms. Patients would be selected based on stable positive symptoms and impairing negative symptoms for the six months prior to entering the trial. We agreed with the FDA that best efforts will be made to secure 25-30% of patients from the United States (subject to competitive recruitment). The FDA has confirmed that roluperidone can be studied in monotherapy where patients would receive a double-blinded single daily 64 mg dose of roluperidone or placebo. The FDA has also confirmed that, the primary endpoint would be the change from Baseline in PANSS Marder negative symptoms factor score (“NSFS”) at 12 weeks of treatment with roluperidone compared to placebo. The FDA advised that, to support a monotherapy indication, it would be necessary to assess relapses on an observational basis for at least 52 weeks, in patients treated in monotherapy with roluperidone, placebo or antipsychotics. The FDA has stated that it would consider a resubmission of the NDA that included a double-blind, placebo- or active-controlled trial of roluperidone with a duration of at least 52 weeks.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trial’s potential sole key secondary endpoint would be the comparison of the change from Baseline in the Personal and Social Performance scale total score (“PSP”) to Week 12, which is a scale to assess patients’ social functioning. The trial will also potentially measure the change from Baseline in Clinical Global Impression of Severity (“CGI-S”), change from Baseline in NSFS, PSP, and CGI-S at earlier timepoints and safety &amp; tolerability.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has agreed that an adjunctive trial with antipsychotics would not be required for resubmission of the NDA if we could provide robust, controlled data demonstrating the efficacy and safety of long-term monotherapy with roluperidone in subjects with negative symptoms of schizophrenia.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activities associated with advancing our product candidates. As of June 30, 2025 and December 31, 2024, we had an accumulated deficit of $402.4 million and $395.4 million, respectively. For the six months ended June 30, 2025 and 2024, we recorded net losses of $7.0 million and $16.8 million,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Review of Strategic Alternatives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requirement for the confirmatory study and our current cash position, we are taking additional steps to reduce costs. We have also initiated a review process to explore strategic alternatives to maximize value for our stockholders. There can be no assurance that the exploration of strategic alternatives will result in any agreements or transactions, or as to the timing of any such agreements or transactions. We do not intend to discuss or disclose further developments regarding the exploration of strategic alternatives unless and until our board of directors has approved a definitive action or otherwise determined that further disclosure is appropriate or required by law.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Complete Response Letter (CRL)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26, 2024, the FDA issued a CRL to our NDA for roluperidone for the treatment of negative symptoms in patients with schizophrenia. In the CRL, the FDA cited the following clinical deficiencies: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one study (MIN-101C03) demonstrated statistical significance on the primary efficacy endpoint, it is insufficient on its own to establish substantial evidence of 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NDA submission lacks data on concomitant antipsychotic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NDA submission lacks data needed to establish that the change in negative symptoms of schizophrenia with roluperidone treatment was clinically meaningful.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submitted safety database included an inadequate number of subjects exposed to roluperidone at the proposed dose (64 mg) for at least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the observed effect on negative symptoms with roluperidone treatment corresponds to a clinically meaningful change, and to demonstrate the long-term safety of the proposed dose.</w:t>
      </w:r>
    </w:p>
    <w:p>
      <w:pPr>
        <w:pStyle w:val="TextBody"/>
        <w:bidi w:val="0"/>
        <w:jc w:val="left"/>
        <w:rPr>
          <w:rFonts w:ascii="Times New Roman" w:hAnsi="Times New Roman"/>
          <w:color w:val="000000"/>
          <w:sz w:val="20"/>
        </w:rPr>
      </w:pPr>
      <w:r>
        <w:rPr>
          <w:rFonts w:ascii="Times New Roman" w:hAnsi="Times New Roman"/>
          <w:color w:val="000000"/>
          <w:sz w:val="20"/>
        </w:rPr>
        <w:t>In addition to the clinical deficiencies described above, the FDA also provided comments on, among other items, clinical pharmacology, product quality, biopharmaceutics, and nonclinical issues.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Macroeconomic Considerations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of our operations have varied and may vary in the future based on the impact of changes in the domestic or global economy. Negative conditions in the general economy both in the United States and abroad, including conditions resulting from changes in inflation and fluctuations in interest rates, financial and credit market fluctuations, international trade relations and tariffs, pandemics, political turmoil, natural catastrophes and warfare in the United States or elsewhere, could negatively affect our business. It is not possible at this time to estimate the long-term impact that these and related events could have on our business, as the impact will depend on future developments, which are highly uncertain and cannot be predicted.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of our product candidates have been approved for commercialization and we have not received any revenue in connection with the sale or license of our product candidates.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Exchange (Losses)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exchange (losses) gains are comprised primarily of gains and (losses)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income consists of income earned on our cash equivalents and marketable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Non-Cash Interest Expense for the Sale of Future Royalties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Non-cash interest expense for the sale of future royalties consists of the non-cash interest expense associated with the Royalty Pharma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Three Months Ended June 30, 2025 versus June 30,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$1.3 million and $3.9 million for the three months ended June 30, 2025 and 2024, respectively, a decrease of approximately $2.6 million. The decrease in research and development expenses was primarily due to lower costs associated with our drug substance validation campaign and lower consultant fees. Non-cash stock compensation costs included in research and development expenses were $0.1 million for both the three months ended June 30, 2025 and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$2.1 million and $2.4 million for the three months ended June 30, 2025 and 2024, respectively, a decrease of approximately $0.3 million. The decrease in general and administrative expenses was primarily due to lower professional service fees. Non-cash stock compensation costs included in general and administrative expenses were $0.2 million for both the three months ended June 30, 2025 and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Exchange Losses</w:t>
      </w:r>
    </w:p>
    <w:p>
      <w:pPr>
        <w:pStyle w:val="TextBody"/>
        <w:bidi w:val="0"/>
        <w:spacing w:before="240" w:after="283"/>
        <w:jc w:val="left"/>
        <w:rPr>
          <w:rFonts w:ascii="Times New Roman" w:hAnsi="Times New Roman"/>
          <w:sz w:val="20"/>
        </w:rPr>
      </w:pPr>
      <w:r>
        <w:rPr>
          <w:rFonts w:ascii="Times New Roman" w:hAnsi="Times New Roman"/>
          <w:color w:val="000000"/>
          <w:sz w:val="20"/>
        </w:rPr>
        <w:t>Foreign exchange losses were $21 thousand and $5 thousand</w:t>
      </w:r>
      <w:r>
        <w:rPr>
          <w:rFonts w:ascii="Times New Roman" w:hAnsi="Times New Roman"/>
          <w:color w:val="FF0000"/>
          <w:sz w:val="20"/>
        </w:rPr>
        <w:t xml:space="preserve"> </w:t>
      </w:r>
      <w:r>
        <w:rPr>
          <w:rFonts w:ascii="Times New Roman" w:hAnsi="Times New Roman"/>
          <w:color w:val="000000"/>
          <w:sz w:val="20"/>
        </w:rPr>
        <w:t xml:space="preserve">for the three months ended June 30, 2025 and 2024, respectively, an increase of $16 thousand, primarily due to currency movements.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income was $137 thousand and $361 thousand for the three months ended June 30, 2025 and 2024, respectively, a decrease of approximately $224 thousand, primarily due to cash and cash equivalents balances and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Non-cash interest expense for the sale of future royalties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Non-cash interest expense for the sale of future royalties was zero and $2.3 million for the three months ended June 30, 2025 and 2024, respectively, a decrease of $2.3 million. The decrease in non-cash interest expense for the sale of future royalties was due to revising our estimates for the timing and amount of future royalty payments to be received under the royalty arrangement. During the third quarter of 2024, we adjusted the carrying amount of our liability related to the sale of future royalties to the initial payment of $60 million. This adjustment resulted in the recognition of $26.6 million in other income during the third quarter of 2024, representing the amount of non-cash interest expense amortized through June 30,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Six Months Ended June 30,2025 versus June 30,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$2.7 million and $8.0 million for the six months ended June 30, 2025 and 2024, respectively, a decrease of approximately $5.3 million. The decrease in research and development expenses was primarily due to lower costs associated with our drug substance validation campaign, costs for the C18 study, consultant fees, and lower compensation expenses. Non-cash stock compensation costs included in research and development expenses were $0.2 million and $0.3 million for the six months ended June 30, 2025 and 2024,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$4.6 million and $4.9 million for the six months ended June 30, 2025 and 2024, respectively, a decrease of approximately $0.3 million. The decrease in general and administrative expenses was primarily due to lower professional service fees. Non-cash stock compensation costs included in general and administrative expenses were $0.4 million and $0.5 million for the six months ended June 30, 2025 and 2024.</w:t>
      </w:r>
    </w:p>
    <w:p>
      <w:pPr>
        <w:pStyle w:val="TextBody"/>
        <w:bidi w:val="0"/>
        <w:spacing w:before="240" w:after="283"/>
        <w:jc w:val="left"/>
        <w:rPr>
          <w:rFonts w:ascii="Times New Roman" w:hAnsi="Times New Roman"/>
          <w:sz w:val="20"/>
        </w:rPr>
      </w:pPr>
      <w:r>
        <w:rPr>
          <w:rFonts w:ascii="Times New Roman" w:hAnsi="Times New Roman"/>
          <w:i/>
          <w:color w:val="000000"/>
          <w:sz w:val="20"/>
        </w:rPr>
        <w:t>Foreign Exchange (Losses) Gains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Foreign exchange losses were $29 thousand and foreign exchange gains were $1 thousand</w:t>
      </w:r>
      <w:r>
        <w:rPr>
          <w:rFonts w:ascii="Times New Roman" w:hAnsi="Times New Roman"/>
          <w:color w:val="FF0000"/>
          <w:sz w:val="20"/>
        </w:rPr>
        <w:t xml:space="preserve"> </w:t>
      </w:r>
      <w:r>
        <w:rPr>
          <w:rFonts w:ascii="Times New Roman" w:hAnsi="Times New Roman"/>
          <w:color w:val="000000"/>
          <w:sz w:val="20"/>
        </w:rPr>
        <w:t xml:space="preserve">for the six months ended June 30, 2025 and 2024, respectively, a decrease of $30 thousand, primarily due to currency movements.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income was $295 thousand and $719 thousand for the six months ended June 30, 2025 and 2024, respectively, a decrease of approximately $424 thousand, primarily due to cash and cash equivalents balances and interest rates.</w:t>
      </w:r>
    </w:p>
    <w:p>
      <w:pPr>
        <w:pStyle w:val="TextBody"/>
        <w:bidi w:val="0"/>
        <w:spacing w:before="240" w:after="283"/>
        <w:jc w:val="left"/>
        <w:rPr>
          <w:rFonts w:ascii="Times New Roman" w:hAnsi="Times New Roman"/>
          <w:sz w:val="20"/>
        </w:rPr>
      </w:pPr>
      <w:r>
        <w:rPr>
          <w:rFonts w:ascii="Times New Roman" w:hAnsi="Times New Roman"/>
          <w:i/>
          <w:color w:val="000000"/>
          <w:sz w:val="20"/>
        </w:rPr>
        <w:t>Non-cash interest expense for the sale of future royalties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Non-cash interest expense for the sale of future royalties was zero and $4.6 million for the six months ended June 30, 2025 and 2024, respectively, a decrease of $4.6 million. The decrease in non-cash interest expense for the sale of future royalties was due to revising our estimates for the timing and amount of future royalty payments to be received under the royalty arrangement. During the third quarter of 2024, we adjusted the carrying amount of our liability related to the sale of future royalties to the initial payment of $60 million. This adjustment resulted in the recognition of $26.6 million in other income during the third quarter of 2024, representing the amount of non-cash interest expense amortized through June 30,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As of June 30, 2025, we had an accumulated deficit of approximately $402.4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June 30, 2025, we had cash, cash equivalents, and restricted cash of $15.3 million. Given the cash, cash equivalents, and restricted cash balance as of June 30, 2025, along with the current projections of cash to be used for operations, we believe that our existing cash, cash equivalents, and restricted cash will not be sufficient to fund our operating expenses and capital requirements. However, management has the ability to mitigate this condition through cost reduction initiatives. Based on the implementation of these initiatives, we believe we will have sufficient liquidity to meet our obligations for at least twelve months from the date that our interim condensed financial statements are issued.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At-the-Market Equity Offering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no shares of our common stock were issued or sold under the Sales Agreement. As of June 30, 2025, an aggregate of $22.6 million was eligible for sale pursuant to the Sales Agreement under our effective registration statement on Form S-3 (File No. 333-267424).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Seltorexant Royalties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19, 2021, we sold our royalty interest in seltorexant to Royalty Pharma for an upfront payment of $60 million and up to an additional $95 million in potential future milestone payments, contingent upon the achievement of certain clinical, regulatory and commercial milestones for seltorexant by Janssen.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Uses of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geopolitical conflicts, such as the war in Ukraine and hostilities in the Middle East, and other factors. If we are unable to obtain additional financing, future operations would need to be scaled back or discontinued. The timing of future capital requirements depends upon many factors including the size and timing of future clinical trials, the timing and scope of any strategic partnering activity and the progress of other research and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tables below set forth our significant sources and uses of cash for the periods.</w:t>
      </w:r>
    </w:p>
    <w:p>
      <w:pPr>
        <w:pStyle w:val="TextBody"/>
        <w:bidi w:val="0"/>
        <w:jc w:val="left"/>
        <w:rPr/>
      </w:pPr>
      <w:r>
        <w:rPr/>
        <w:t> </w:t>
      </w:r>
    </w:p>
    <w:tbl>
      <w:tblPr>
        <w:tblW w:w="4180" w:type="dxa"/>
        <w:jc w:val="left"/>
        <w:tblInd w:w="0" w:type="dxa"/>
        <w:tblLayout w:type="fixed"/>
        <w:tblCellMar>
          <w:top w:w="28" w:type="dxa"/>
          <w:left w:w="28" w:type="dxa"/>
          <w:bottom w:w="28" w:type="dxa"/>
          <w:right w:w="28" w:type="dxa"/>
        </w:tblCellMar>
      </w:tblPr>
      <w:tblGrid>
        <w:gridCol w:w="1756"/>
        <w:gridCol w:w="146"/>
        <w:gridCol w:w="259"/>
        <w:gridCol w:w="518"/>
        <w:gridCol w:w="204"/>
        <w:gridCol w:w="179"/>
        <w:gridCol w:w="259"/>
        <w:gridCol w:w="648"/>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of approximately $6.1 million during the six months ended June 30, 2025 was primarily due to our net loss of $7.0 million and a $0.7 million decrease in accounts payable, partially offset by stock-based compensation expense of $0.6 million, a $0.6 million decrease in prepaid expenses, and a $0.4 million increase in 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of approximately $10.0 million during the six months ended June 30, 2024 was primarily due to our net loss of $16.8 million and a $1.0 million decrease in accounts payable, partially offset by non-cash interest expense for the sale of future royalties of $4.6 million, a $1.8 million increase in accrued expenses, stock-based compensation expense of $0.8 million, and a $0.6 million decrease in prepaid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Provided by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zero during the six months ended June 30, 2025 and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zero during the six months ended June 30, 2025 and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Annual Report on Form 10-K for the fiscal year ended December 31, 2024, our most critical accounting policies and estimates upon which our financial status depends were identified as those relating to research and development costs; goodwill; and the liability related to the sale of future royalties. We reviewed our policies and determined that those policies were our most critical accounting policies for the six months ended June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and are adopted by us as of the specified effective date. See Note 2 of our Annual Report on Form 10-K for the fiscal year ended December 31, 2024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in the Securities Exchange Act of 1934, as amended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0" w:name="item_3__quantitative_qualitative_disclos"/>
      <w:bookmarkEnd w:id="10"/>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i/>
          <w:color w:val="000000"/>
          <w:sz w:val="20"/>
        </w:rPr>
        <w:t>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Rule12b-2 of the Exchange Act and are not required to provide the information required under this item.</w:t>
      </w:r>
    </w:p>
    <w:p>
      <w:pPr>
        <w:pStyle w:val="TextBody"/>
        <w:bidi w:val="0"/>
        <w:jc w:val="left"/>
        <w:rPr/>
      </w:pPr>
      <w:r>
        <w:rPr/>
        <w:t> </w:t>
      </w:r>
    </w:p>
    <w:p>
      <w:pPr>
        <w:pStyle w:val="TextBody"/>
        <w:bidi w:val="0"/>
        <w:jc w:val="left"/>
        <w:rPr>
          <w:rFonts w:ascii="Times New Roman" w:hAnsi="Times New Roman"/>
          <w:sz w:val="20"/>
        </w:rPr>
      </w:pPr>
      <w:bookmarkStart w:id="11" w:name="item_4"/>
      <w:bookmarkEnd w:id="11"/>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i/>
          <w:color w:val="000000"/>
          <w:sz w:val="20"/>
        </w:rPr>
        <w:t>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(principal executive officer) and Chief Financial Officer (principal financial officer), evaluated the effectiveness of our disclosure controls and procedures as of June 30, 2025. Based on the evaluation of our disclosure controls and procedures as of June 30, 2025, our Chief Executive Officer and Chief Financial Officer concluded that, as of such date, our disclosure controls and procedures were effective at a reasonable assurance level.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internal control over financial reporting, as such term is defined in Rules 13a-15(f) and 15d-15(f) promulgated under the Exchange Act, during our latest fiscal quarter that would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
      <w:bookmarkEnd w:id="12"/>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3" w:name="item_1_legal"/>
      <w:bookmarkEnd w:id="1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sz w:val="20"/>
        </w:rPr>
      </w:pPr>
      <w:bookmarkStart w:id="14" w:name="item_1a_risk"/>
      <w:bookmarkEnd w:id="14"/>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2024, as filed with the Securities and Exchange Commission (“SEC”) on February 25, 2025. The risk factors set forth below are risk factors containing changes, which may be material, from the risk factors previously disclosed in Item 1A of our Annual Report on Form 10-K for the fiscal year ended December 31, 2024, as filed with the SEC.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We expect to continue to incur losses over the next several years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from product sales to date, and we may never generate product revenue or achieve profitability. As of June 30, 2025, we had an accumulated deficit of approximately $402.4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we submitted a New Drug Application (“NDA”) with the U.S. Food and Drug Administration (“FDA”) for our lead product candidate, roluperidone, for the treatment of negative symptoms in schizophrenia.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May 1, 2023, we announced that the FDA filed our NDA for roluperidone on April 27, 2023.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26, 2024, the FDA issued a Complete Response Letter (the “CRL”) to our NDA for roluperidone for the treatment of negative symptoms in schizophrenia. The CRL provided that the FDA had completed its review of the NDA and had determined that it could not approve the NDA in its present form. Specifically, the FDA cited the following clinical deficiencies: (i) although one study (MIN-101C03) demonstrated statistical significance on the primary efficacy endpoint, it is insufficient on its own to establish substantial evidence of effectiveness; (ii) the NDA submission lacks data on concomitant antipsychotic administration; (iii) the NDA submission lacks data needed to establish that the change in negative symptoms of schizophrenia with roluperidone treatment was clinically meaningful; and (iv) the submitted safety database included an inadequate number of subjects exposed to roluperidone at the proposed dose (64 mg) for at least 12 months. 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that observed effect on negative symptoms with roluperidone treatment corresponds to a clinically meaningful change, and to demonstrate the long-term safety of the proposed dose. See the section titled “Item 2. Management’s Discussion and Analysis of Financial Condition and Results of Operations—Complete Response Letter” for more information. While we have had multiple interactions with the FDA following receipt of the CRL for our NDA in February 2024 and the FDA has confirmed the requirement for an additional confirmatory clinical trial to address the deficiencies cited in the CRL and resubmit the NDA, there can be no assurances that we will obtain approval for roluperidone in a timely manner, on favorable terms, or at all. As a result, the regulatory approval process for roluperidone in the United States is highly uncertain. If we do not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of roluperidone in the United States, or if the approval is delayed, it would have a material adverse impact on our business. Even if we are able to obtain approval, the expense and time to do so could adversely impact our ability to successfully commercialize roluperidone or conduct our other business operations and our financial condition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and the historic operations of Sonkei and Mind-NRG have consumed substantial amounts of cash since inception. As of June 30, 2025, we had cash, cash equivalents, and restricted cash of $15.3 million. Given the cash, cash equivalents, and restricted cash balance as of June 30, 2025, along with the current projections of cash to be used for operations, we believe that our existing cash, cash equivalents, and restricted cash will not be sufficient to fund our operating expenses and capital requirements. However, management has the ability to mitigate this condition through cost reduction initiatives. Based on the implementation of these initiatives, we believe we will have sufficient liquidity to meet our obligations for at least twelve months from the date our interim condensed financial statements are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drug development can be costly, and the timing and outcomes of clinical trials are uncertain, including the confirmatory clinical trial required by the FDA for roluperidone. See the section titled “Item 2. Management’s Discussion and Analysis of Financial Condition and Results of Operations—Overview” for more information.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require additional capital in the short-term to continue advancing the development and regulatory approval process of roluperidone. We will also require additional capital in the long-term to advance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on the requisite timing or on reasonable terms, if at all, and our ability to raise additional capital may be adversely impacted by global economic conditions, geopolitical conflicts, such as the war in Ukraine and hostilities in the Middle East, and other factors. Our future funding requirements, both short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costs and results of pre-clinical studies and clinical trials for our product candidates and future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of any approved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additional businesses, products, product candidates and technologies;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our product candidates for which we may receive regulatory approval and that we determine to commercialize ourselves or in collaboration with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capital in sufficient amounts or on terms acceptable to us, we may have to delay, limit or terminate the development or commercialization of one or more of our product candidates or other operations, including exploring strategic alternatives and partnership opportunities and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successful in identifying and implementing any potential strategic alternatives in a timely manner or at all. Even if we successfully consummate any strategic transaction, or series of transactions, from our strategic assessment, we may fail to realize all or any of the anticipated benefits of any such transaction, or we may be exposed to other operational and financial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requirement by the FDA for the confirmatory study of roluperidone and our current cash position, we are taking additional steps to reduce costs. We have also initiated a review process to explore strategic alternatives to maximize value for our stockholders. Despite management devoting significant efforts to identify and evaluate potential strategic alternatives, there can be no assurance that this strategic review process will result in us pursuing any transaction or that we will be able to successfully consummate any particular strategic transaction on attractive terms, on a timely basis, or at all. The process of evaluating our strategic alternatives may be costly, time-consuming and complex, and we may incur significant legal, accounting and advisory fees and other expenses, some of which may be incurred regardless of whether we successfully enter into a transaction. Any such expenses will decrease the remaining cash available for use in our business. In addition, speculation regarding any developments related to the review of strategic alternatives and perceived uncertainties related to the future of us could cause our stock price to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successfully consummate any strategic transaction, or series of transactions, from our strategic assessment, our ability to realize the anticipated benefits of any potential strategic transaction will depend on a number of factors, including our ability to integrate with any future business partner, our ability to obtain value for portions of our business, if divested, and our ability to generate future stockholder value. The process may be disruptive to our business and the expected benefits may not be achieved within the anticipated time frame, or at all. The failure to meet the challenges involved and to realize the anticipated benefits of any potential transaction could adversely affect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a strategic transaction will be completed. If a strategic transaction is not completed, our board of directors may decide to pursue a dissolution and liquidation. In such an event, the amount of cash available for distribution to our stockholders will depend heavily on the timing of such decision and, with the passage of time, the amount of cash available for distribution will be reduced as we continue to fund our operations. In addition, if our board of directors were to approve and recommend, and our stockholders were to approve, if applicable,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price of our stock may be volatile, and you could lose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price of our common stock is likely to be highly volatile and subject to wide fluctuations in response to various factors, some of which we cannot control. As a result of this volatility, investors may not be able to sell their securities at a profit. The market price of our securities could be subject to wide fluctuations in response to a variety of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in our preclinical or clinical trials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including adverse regulatory decision, with respect to our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successfully develop or commercialize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perception of limited market sizes or pricing for any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in-license or acquire additional product candidates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maintain our existing strategic collaborations or enter into new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 or any inability to obtain additional funding;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our products, including changes in the structure of healthcare payment systems, including coverage and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stockholder litigation and litigation filed by us or filed against us pertaining to patent infringement or other violations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companies, including in connection with the war in Ukraine, which has resulted in decreased stock prices for many companies notwithstanding the lack of a fundamental change in their underlying business models or prospects. Biopharmaceutical companies in particular have experienced extreme price and volume fluctuations that have often been unrelated or disproportionate to the operating performance of these companies. Broad market and industry factors, including potentially worsening economic conditions, increased inflation, international trade relations and tariffs, and other adverse effects or developments, including political, regulatory and other market conditions, may negatively affect the market price of shares of our common stock, regardless of our actual operating performance. The market price of shares of our common stock may decline, and you may lose some or all of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common stock may be delisted from The Nasdaq Capital Market which could negatively impact the price of our common stock, liquidity and our ability to access the capital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availability of market quotations for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limited amount of analyst coverage,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Delisting from The Nasdaq Capital Market could also result in other negative consequences, including the potential loss of confidence by suppliers, customers and employees, the loss of institutional investor interest, fewer business development opportunities and potential liabilities arising from stockholder litigation or other disputes.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17, 2025, we were formally notified that the Nasdaq Hearings Panel (the “Panel”) of the Nasdaq Stock Market LLC (“Nasdaq”) determined that we regained compliance with Nasdaq Listing Rule 5550(b)(3) (the “Net Income Rule”), which requires listed companies to maintain a minimum of $500,000 of net income from continuing operations. Pursuant to Nasdaq Listing Rule 5815(d)(4)(A), we will be subject to a discretionary panel monitor for a period of one year from March 17, 2025. If, within that one-year monitoring period, we fail to maintain compliance with any Nasdaq continued listing requirement, the Listing Qualifications Staff (the “Staff”) of Nasdaq will issue a Delist Determination Letter, and we will have an opportunity to request a new hearing with the initial Panel or a newly convened Hearings Panel if the initial Panel is unavailable. Notwithstanding Nasdaq Listing Rule 5810(c)(2), we will not be permitted to provide the Staff with a plan of compliance with respect to any deficiency that arises during the one-year monitoring period, and the Staff will not be permitted to grant additional time for us to regain compliance with respect to any deficiency.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disclosed, on April 10, 2024, we received written notice from Nasdaq notifying us that for the last 31 consecutive business days, our minimum Market Value of Listed Securities was below the minimum of $35 million required for continued listing on The Nasdaq Capital Market pursuant to Nasdaq Listing Rule 5550(b)(2). In addition, on January 10, 2025, we received a notice from Nasdaq indicating that following our hearing before the Panel on December 10, 2024, the Panel granted our request for continued listing on Nasdaq through March 31, 2025, subject to our compliance with Nasdaq Listing Rule 5550(b)(1) (the “Equity Rule”), among other conditions. While we had initially planned to regain compliance with the Equity Rule, upon review of our Annual Report on Form 10-K for the year ended December 31, 2024, the Staff confirmed that we demonstrated compliance with the Net Income Rule. Accordingly, the Panel determined to continue the listing of our securities on Nasdaq and closed the matter.</w:t>
      </w:r>
    </w:p>
    <w:p>
      <w:pPr>
        <w:pStyle w:val="TextBody"/>
        <w:bidi w:val="0"/>
        <w:spacing w:before="240" w:after="283"/>
        <w:jc w:val="left"/>
        <w:rPr>
          <w:rFonts w:ascii="Times New Roman" w:hAnsi="Times New Roman"/>
          <w:sz w:val="20"/>
        </w:rPr>
      </w:pPr>
      <w:r>
        <w:rPr>
          <w:rFonts w:ascii="Times New Roman" w:hAnsi="Times New Roman"/>
          <w:color w:val="000000"/>
          <w:sz w:val="20"/>
        </w:rPr>
        <w:t>In particular, our share price may continue to decline for a number of reasons, including many that are beyond our control. See the risk factor captioned “</w:t>
      </w:r>
      <w:r>
        <w:rPr>
          <w:rFonts w:ascii="Times New Roman" w:hAnsi="Times New Roman"/>
          <w:i/>
          <w:color w:val="000000"/>
          <w:sz w:val="20"/>
        </w:rPr>
        <w:t>The market price of our stock may be volatile, and you could lose all or part of your investment,</w:t>
      </w:r>
      <w:r>
        <w:rPr>
          <w:rFonts w:ascii="Times New Roman" w:hAnsi="Times New Roman"/>
          <w:color w:val="000000"/>
          <w:sz w:val="20"/>
        </w:rPr>
        <w:t>” described elsewhere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we will be able to maintain compliance with Nasdaq’s listing standards or that we will be able to continue our listing on Nasdaq. 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enacted and future legislation may increase the difficulty and cost for us to commercialize our product candidates and affect the prices we may obtain.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regulatory approval of our product candidates, restrict or regulate post-approval activities and affect our ability to profitably sell any product candidate for which we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in March 2010, the Patient Protection and Affordable Care Act, as amended by the Health Care and Education Reconciliation Act of 2010 (collectively, “ACA”) broadened access to health insurance, reduced or constrained the growth of healthcare spending, enhanced remedies against healthcare fraud and abuse, add imposed new transparency requirements for healthcare and health insurance industries, imposed new taxes and fees on pharmaceutical manufacturers and imposed additional health policy reforms. Since the ACA’s enactment, there have been executive, judicial and Congressional challenges and amendments to certain aspects of the ACA.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additional healthcare reform measures of the second Trump administration will impact the ACA and our business.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OBBBA also narrows access to ACA marketplace exchange enrollment and declines to extend the ACA enhanced advanced premium tax credits, set to expire in 2025, which, among other provisions in the law, are anticipated to reduce the number of Americans with health insurance.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Congress is considering additional health reform measures. We expect that healthcare reform measures that may be adopted in the future may result in more rigorous coverage criteria and lower reimbursement and additional downward pressure on the price that may be charged for any of our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2021, Regulation No 2021/2282 on Health Technology Assessment, or HTA, amending Directive 2011/24/EU, was adopted in the EU. This Regulation, which entered into force in January 2022 and began to apply on January 12, 2025, through a phased implementation. The Regulation is intended to boost cooperation among EU Member States in assessing health technologies, including new medicinal products, and provides the basis for cooperation at EU level for joint clinical assessments in these areas. The Regulation permits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technologies, and making decisions on pricing and reimbursement. If we are unable to maintain favorable pricing and reimbursement status in EU Member States for drug candidates that we may successfully develop and for which we may obtain regulatory approval, any anticipated revenue from and growth prospects for those products in the EU could be negatively affected. In light of the fact that the United Kingdom has left the EU, Regulation No 2021/2282 on HTA does not apply in the United Kingdom. However, the UK Medicines and Healthcare products Regulation Agency is working with UK HTA bodies and other national organizations, such as the Scottish Medicines Consortium, the National Institute for Health and Care Excellence, and the All-Wales Medicines Strategy Group, to introduce new pathways supporting innovative approaches to the safe, timely and efficient development of medicinal products, including relaunching the Innovative Licensing and Access Pathway with more predicable timelines and closer involvement of the National Health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tax rulings could materially affect our financial position, results of operations, and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legislation referred to as the One Big Beautiful Bill Act (the “OBBBA”) enacted in 2025, the Inflation Reduction Act enacted in 2022 (the “IRA”) , the Coronavirus Aid, Relief, and Economic Security Act enacted in 2020, and the Tax Cuts and Jobs Act enacted in 2017 (the “Tax Act”) made many significant changes to the U.S. tax laws. For example, for tax years beginning after December 31, 2024, the OBBBA restores the tax deductibility of domestic research and development expenses in the year incurred, which expenses had been required under the Tax Act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capitalized and subsequently amortized over five years. The OBBBA did not change the tax treatment of expenses incurred in research and development activities conducted outside the United States, which expenses continue to be required to be capitalized and amortized over 15 years. The IRA includes provisions that impact the U.S. federal income taxation of corporations, including imposing a minimum tax on the book income of certain large corporations and an excise tax on certain corporate stock repurchases that would be imposed on the corporation repurchasing such stock. We are evaluating the potential impacts changes under the OBBBA may have on our business. Future guidance from the U.S. Internal Revenue Service and other tax authorities with respect to any such legislation may affect us, and certain aspects of such legislation could be repealed or modified in future legislation or sunset in future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tax position could be adversely impacted by changes in tax laws applicable to corporate multinationals which have been proposed, and, in some cases, enacted by various countries, and by other international tax developments including the implementation of the base erosion and profit shifting project led by the Organization for Economic Cooperation and Development and certain tax initiatives proposed by the European Commission. These changes and developments include changes to the existing framework in respect of income taxes, as well as the imposition of new types of non-income taxes (such as taxes based on a percentage of revenue) which could apply to our business. These types of changes to the taxation of our activities could increase our worldwide effective tax rate, increase the amount of taxes imposed on our business and our compliance costs, and harm our financial position. Such changes may also apply retroactively to our historical operations and result in taxes greater than the amounts estimated and recorded in our financial statements.</w:t>
      </w:r>
    </w:p>
    <w:p>
      <w:pPr>
        <w:pStyle w:val="TextBody"/>
        <w:bidi w:val="0"/>
        <w:spacing w:before="240" w:after="283"/>
        <w:jc w:val="left"/>
        <w:rPr>
          <w:rFonts w:ascii="Times New Roman" w:hAnsi="Times New Roman"/>
          <w:b/>
          <w:color w:val="000000"/>
          <w:sz w:val="20"/>
        </w:rPr>
      </w:pPr>
      <w:bookmarkStart w:id="15" w:name="item_2_unregistered"/>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
      <w:bookmarkEnd w:id="16"/>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tem_4_mine"/>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ther"/>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
      <w:bookmarkEnd w:id="19"/>
      <w:r>
        <w:rPr>
          <w:rFonts w:ascii="Times New Roman" w:hAnsi="Times New Roman"/>
          <w:b/>
          <w:color w:val="000000"/>
          <w:sz w:val="20"/>
        </w:rPr>
        <w:t>Item 6.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exhibits are incorporated by reference or filed as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5"/>
        <w:gridCol w:w="146"/>
        <w:gridCol w:w="9072"/>
        <w:gridCol w:w="192"/>
      </w:tblGrid>
      <w:tr>
        <w:trPr/>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 (incorporated by reference to Exhibit 3.1 to the Registrant’s registration statement on Form S-1/A (File No. 333-195169) filed with the SEC on June 10, 2014).</w:t>
              </w:r>
            </w:hyperlink>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(incorporated by reference to Exhibit 3.2 to the Registrant’s quarterly report on Form 10-Q (File No. 001-36517) filed with the SEC on November 4, 2019).</w:t>
              </w:r>
            </w:hyperlink>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Amended and Restated Certificate of Incorporation of Minerva Neurosciences, Inc., effective June 17, 2022 (incorporated by reference to Exhibit 3.1 to the Registration’s current report on Form 8-K (File No. 001-36517) filed with the SEC on June 17, 2022).</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hyperlink w:anchor="nerv-ex31_1.htm">
              <w:r>
                <w:rPr>
                  <w:rStyle w:val="InternetLink"/>
                  <w:rFonts w:ascii="Times New Roman" w:hAnsi="Times New Roman"/>
                  <w:color w:val="0000FF"/>
                  <w:sz w:val="20"/>
                  <w:u w:val="single"/>
                </w:rPr>
                <w:t>Certification of Chief Executive Officer (Principal Executive Officer) pursuant to Section 302 of Sarbanes-Oxley Act of 2002.</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hyperlink w:anchor="nerv-ex31_2.htm">
              <w:r>
                <w:rPr>
                  <w:rStyle w:val="InternetLink"/>
                  <w:rFonts w:ascii="Times New Roman" w:hAnsi="Times New Roman"/>
                  <w:color w:val="0000FF"/>
                  <w:sz w:val="20"/>
                  <w:u w:val="single"/>
                </w:rPr>
                <w:t>Certification of Chief Financial Officer (Principal Financial Officer) pursuant to Section 302 of Sarbanes-Oxley Act of 2002.</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32.1</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hyperlink w:anchor="nerv-ex32_1.htm">
              <w:r>
                <w:rPr>
                  <w:rStyle w:val="InternetLink"/>
                  <w:rFonts w:ascii="Times New Roman" w:hAnsi="Times New Roman"/>
                  <w:color w:val="0000FF"/>
                  <w:sz w:val="20"/>
                  <w:u w:val="single"/>
                </w:rPr>
                <w:t>Certification of Chief Executive Officer (Principal Executive Officer) and Chief Financial Officer (Principal Financial Officer) pursuant to Section 906 of Sarbanes-Oxley Act of 2002.</w:t>
              </w:r>
            </w:hyperlink>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with applicable taxonomy extension information contained in Exhibits 101.</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e"/>
      <w:bookmarkEnd w:id="20"/>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3296" w:type="dxa"/>
        <w:jc w:val="left"/>
        <w:tblInd w:w="0" w:type="dxa"/>
        <w:tblLayout w:type="fixed"/>
        <w:tblCellMar>
          <w:top w:w="28" w:type="dxa"/>
          <w:left w:w="28" w:type="dxa"/>
          <w:bottom w:w="28" w:type="dxa"/>
          <w:right w:w="28" w:type="dxa"/>
        </w:tblCellMar>
      </w:tblPr>
      <w:tblGrid>
        <w:gridCol w:w="161"/>
        <w:gridCol w:w="444"/>
        <w:gridCol w:w="2691"/>
      </w:tblGrid>
      <w:tr>
        <w:trPr/>
        <w:tc>
          <w:tcPr>
            <w:tcW w:w="16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MINERVA NEUROSCIENCES,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cMar>
              <w:top w:w="0" w:type="dxa"/>
              <w:left w:w="0" w:type="dxa"/>
              <w:bottom w:w="0" w:type="dxa"/>
              <w:right w:w="0" w:type="dxa"/>
            </w:tcMar>
            <w:vAlign w:val="center"/>
          </w:tcPr>
          <w:p>
            <w:pPr>
              <w:pStyle w:val="TableContents"/>
              <w:bidi w:val="0"/>
              <w:spacing w:before="0" w:after="283"/>
              <w:jc w:val="left"/>
              <w:rPr/>
            </w:pPr>
            <w:r>
              <w:rPr/>
              <w:t> </w:t>
            </w:r>
          </w:p>
        </w:tc>
        <w:tc>
          <w:tcPr>
            <w:tcW w:w="2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cMar>
              <w:top w:w="0" w:type="dxa"/>
              <w:left w:w="0" w:type="dxa"/>
              <w:bottom w:w="0" w:type="dxa"/>
              <w:right w:w="0" w:type="dxa"/>
            </w:tcMar>
            <w:vAlign w:val="center"/>
          </w:tcPr>
          <w:p>
            <w:pPr>
              <w:pStyle w:val="TableContents"/>
              <w:bidi w:val="0"/>
              <w:spacing w:before="0" w:after="283"/>
              <w:jc w:val="left"/>
              <w:rPr/>
            </w:pPr>
            <w:r>
              <w:rPr/>
              <w:t> </w:t>
            </w:r>
          </w:p>
        </w:tc>
        <w:tc>
          <w:tcPr>
            <w:tcW w:w="2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Frederick Ahlholm</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Frederick Ahlholm</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jc w:val="center"/>
              <w:rPr>
                <w:rFonts w:ascii="Times New Roman" w:hAnsi="Times New Roman"/>
                <w:color w:val="000000"/>
                <w:sz w:val="20"/>
              </w:rPr>
            </w:pPr>
            <w:r>
              <w:rPr>
                <w:rFonts w:ascii="Times New Roman" w:hAnsi="Times New Roman"/>
                <w:color w:val="000000"/>
                <w:sz w:val="20"/>
              </w:rPr>
              <w:t>(Principal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 behalf of the Registrant)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14,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bookmarkStart w:id="21" w:name="nerv-ex31_1.htm"/>
      <w:bookmarkStart w:id="22" w:name="ksnerv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Remy Luthringer,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10-Q of Minerva Neurosciences,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536" w:type="dxa"/>
        <w:jc w:val="left"/>
        <w:tblInd w:w="0" w:type="dxa"/>
        <w:tblLayout w:type="fixed"/>
        <w:tblCellMar>
          <w:top w:w="28" w:type="dxa"/>
          <w:left w:w="28" w:type="dxa"/>
          <w:bottom w:w="28" w:type="dxa"/>
          <w:right w:w="28" w:type="dxa"/>
        </w:tblCellMar>
      </w:tblPr>
      <w:tblGrid>
        <w:gridCol w:w="1951"/>
        <w:gridCol w:w="109"/>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Remy Luthringer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Remy Luthringer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Executive Chairman and</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nerv-ex31_2.htm"/>
      <w:bookmarkStart w:id="24" w:name="ksnerv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Frederick Ahlholm,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10-Q of Minerva Neurosciences,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476" w:type="dxa"/>
        <w:jc w:val="left"/>
        <w:tblInd w:w="0" w:type="dxa"/>
        <w:tblLayout w:type="fixed"/>
        <w:tblCellMar>
          <w:top w:w="28" w:type="dxa"/>
          <w:left w:w="28" w:type="dxa"/>
          <w:bottom w:w="28" w:type="dxa"/>
          <w:right w:w="28" w:type="dxa"/>
        </w:tblCellMar>
      </w:tblPr>
      <w:tblGrid>
        <w:gridCol w:w="1951"/>
        <w:gridCol w:w="109"/>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Frederick Ahlholm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Frederick Ahlholm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nerv-ex32_1.htm"/>
      <w:bookmarkStart w:id="26" w:name="ksnerv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STATEMENT PURSUANT TO 18 U.S.C. § 1350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Quarterly Report on Form 10-Q for the period ended June 30, 2025, to which this Certification is attached as Exhibit 32.1 (the “Quarterly Report”) fully complies with the requirements of Section 13(a) or Section 15(d) of the Exchange Act;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Quarterly Report fairly presents, in all material respects, the financial condition and results of operations of the Company.</w:t>
      </w:r>
    </w:p>
    <w:p>
      <w:pPr>
        <w:pStyle w:val="TextBody"/>
        <w:bidi w:val="0"/>
        <w:jc w:val="left"/>
        <w:rPr/>
      </w:pPr>
      <w:r>
        <w:rPr/>
        <w:t> </w:t>
      </w:r>
    </w:p>
    <w:tbl>
      <w:tblPr>
        <w:tblW w:w="4573" w:type="dxa"/>
        <w:jc w:val="left"/>
        <w:tblInd w:w="0" w:type="dxa"/>
        <w:tblLayout w:type="fixed"/>
        <w:tblCellMar>
          <w:top w:w="28" w:type="dxa"/>
          <w:left w:w="28" w:type="dxa"/>
          <w:bottom w:w="28" w:type="dxa"/>
          <w:right w:w="28" w:type="dxa"/>
        </w:tblCellMar>
      </w:tblPr>
      <w:tblGrid>
        <w:gridCol w:w="1951"/>
        <w:gridCol w:w="14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Remy Luthringer,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Remy Luthringer,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Chairman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Frederick Ahlholm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Frederick Ahlholm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598646/000104746914005459/a2219972zex-3_1.htm" TargetMode="External"/><Relationship Id="rId3" Type="http://schemas.openxmlformats.org/officeDocument/2006/relationships/hyperlink" Target="https://www.sec.gov/Archives/edgar/data/0001598646/000156459019039496/nerv-ex32_112.htm" TargetMode="External"/><Relationship Id="rId4" Type="http://schemas.openxmlformats.org/officeDocument/2006/relationships/hyperlink" Target="https://www.sec.gov/Archives/edgar/data/1598646/000119312522176540/d314076d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18054</Words>
  <Characters>100865</Characters>
  <CharactersWithSpaces>119032</CharactersWithSpaces>
  <Paragraphs>2403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