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jc w:val="center"/>
        <w:ind w:right="-99"/>
        <w:spacing w:after="0" w:line="224"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60960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2018</w:t>
      </w:r>
    </w:p>
    <w:p>
      <w:pPr>
        <w:spacing w:after="0" w:line="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62" w:lineRule="exact"/>
        <w:rPr>
          <w:sz w:val="24"/>
          <w:szCs w:val="24"/>
          <w:color w:val="auto"/>
        </w:rPr>
      </w:pPr>
    </w:p>
    <w:p>
      <w:pPr>
        <w:ind w:left="520" w:right="280" w:hanging="512"/>
        <w:spacing w:after="0" w:line="273" w:lineRule="auto"/>
        <w:tabs>
          <w:tab w:leader="none" w:pos="5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8"/>
          <w:szCs w:val="38"/>
          <w:b w:val="1"/>
          <w:bCs w:val="1"/>
          <w:color w:val="auto"/>
        </w:rPr>
        <w:t>Minerva Neurosciences, Inc.</w:t>
      </w:r>
    </w:p>
    <w:p>
      <w:pPr>
        <w:spacing w:after="0" w:line="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69215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440" w:type="dxa"/>
            <w:vAlign w:val="bottom"/>
          </w:tcPr>
          <w:p>
            <w:pPr>
              <w:jc w:val="center"/>
              <w:ind w:right="39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49"/>
        </w:trPr>
        <w:tc>
          <w:tcPr>
            <w:tcW w:w="6440" w:type="dxa"/>
            <w:vAlign w:val="bottom"/>
          </w:tcPr>
          <w:p>
            <w:pPr>
              <w:jc w:val="center"/>
              <w:ind w:right="3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40" w:type="dxa"/>
            <w:vAlign w:val="bottom"/>
          </w:tcPr>
          <w:p>
            <w:pPr>
              <w:jc w:val="center"/>
              <w:ind w:right="39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4"/>
        </w:trPr>
        <w:tc>
          <w:tcPr>
            <w:tcW w:w="6440" w:type="dxa"/>
            <w:vAlign w:val="bottom"/>
          </w:tcPr>
          <w:p>
            <w:pPr>
              <w:jc w:val="center"/>
              <w:ind w:right="3979"/>
              <w:spacing w:after="0"/>
              <w:rPr>
                <w:sz w:val="20"/>
                <w:szCs w:val="20"/>
                <w:color w:val="auto"/>
              </w:rPr>
            </w:pPr>
            <w:r>
              <w:rPr>
                <w:rFonts w:ascii="Times New Roman" w:cs="Times New Roman" w:eastAsia="Times New Roman" w:hAnsi="Times New Roman"/>
                <w:sz w:val="18"/>
                <w:szCs w:val="18"/>
                <w:b w:val="1"/>
                <w:bCs w:val="1"/>
                <w:color w:val="auto"/>
                <w:w w:val="99"/>
              </w:rPr>
              <w:t>1601 Trapelo Road, Suite 286</w:t>
            </w:r>
          </w:p>
        </w:tc>
        <w:tc>
          <w:tcPr>
            <w:tcW w:w="1120" w:type="dxa"/>
            <w:vAlign w:val="bottom"/>
          </w:tcPr>
          <w:p>
            <w:pPr>
              <w:spacing w:after="0"/>
              <w:rPr>
                <w:sz w:val="21"/>
                <w:szCs w:val="21"/>
                <w:color w:val="auto"/>
              </w:rPr>
            </w:pPr>
          </w:p>
        </w:tc>
      </w:tr>
      <w:tr>
        <w:trPr>
          <w:trHeight w:val="214"/>
        </w:trPr>
        <w:tc>
          <w:tcPr>
            <w:tcW w:w="6440" w:type="dxa"/>
            <w:vAlign w:val="bottom"/>
          </w:tcPr>
          <w:p>
            <w:pPr>
              <w:jc w:val="center"/>
              <w:ind w:right="397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1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6440" w:type="dxa"/>
            <w:vAlign w:val="bottom"/>
          </w:tcPr>
          <w:p>
            <w:pPr>
              <w:jc w:val="center"/>
              <w:ind w:right="3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4"/>
        </w:trPr>
        <w:tc>
          <w:tcPr>
            <w:tcW w:w="644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tc>
        <w:tc>
          <w:tcPr>
            <w:tcW w:w="11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55245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Common Stock, Par Value $0.0001 Per Share; Common Stock traded on the Nasdaq Global Market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ectPr>
          <w:pgSz w:w="11900" w:h="16838" w:orient="portrait"/>
          <w:cols w:equalWidth="0" w:num="1">
            <w:col w:w="11340"/>
          </w:cols>
          <w:pgMar w:left="240" w:top="520" w:right="319" w:bottom="1440" w:gutter="0" w:footer="0" w:header="0"/>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7680" w:space="140"/>
            <w:col w:w="320" w:space="80"/>
            <w:col w:w="140" w:space="160"/>
            <w:col w:w="240" w:space="80"/>
            <w:col w:w="2500"/>
          </w:cols>
          <w:pgMar w:left="240" w:top="520" w:right="31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4">
            <w:col w:w="7300" w:space="140"/>
            <w:col w:w="320" w:space="80"/>
            <w:col w:w="140" w:space="160"/>
            <w:col w:w="3200"/>
          </w:cols>
          <w:pgMar w:left="240" w:top="520" w:right="31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8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44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8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8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0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0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34" w:lineRule="exact"/>
        <w:rPr>
          <w:sz w:val="24"/>
          <w:szCs w:val="24"/>
          <w:color w:val="auto"/>
        </w:rPr>
      </w:pPr>
    </w:p>
    <w:p>
      <w:pPr>
        <w:ind w:right="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aggregate value of the Company’s Common Stock held by non-affiliates of the Company was approximately $271.1 million as of June 29, 2018, when the last reported sales price was $8.25 per share.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7, 2019 was 39,025,471.</w:t>
      </w:r>
    </w:p>
    <w:p>
      <w:pPr>
        <w:spacing w:after="0" w:line="6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68" w:lineRule="exact"/>
        <w:rPr>
          <w:sz w:val="24"/>
          <w:szCs w:val="24"/>
          <w:color w:val="auto"/>
        </w:rPr>
      </w:pPr>
    </w:p>
    <w:p>
      <w:pPr>
        <w:jc w:val="both"/>
        <w:ind w:right="220"/>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2019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263525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20" w:right="31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80" w:type="dxa"/>
            <w:vAlign w:val="bottom"/>
            <w:gridSpan w:val="10"/>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MINERVA NEUROSCIENCES,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0" w:type="dxa"/>
            <w:vAlign w:val="bottom"/>
            <w:gridSpan w:val="8"/>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gridSpan w:val="6"/>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80" w:type="dxa"/>
            <w:vAlign w:val="bottom"/>
            <w:gridSpan w:val="5"/>
          </w:tcPr>
          <w:p>
            <w:pPr>
              <w:spacing w:after="0"/>
              <w:rPr>
                <w:sz w:val="17"/>
                <w:szCs w:val="17"/>
                <w:color w:val="auto"/>
              </w:rPr>
            </w:pP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Risk Factors</w:t>
              </w:r>
            </w:hyperlink>
          </w:p>
        </w:tc>
        <w:tc>
          <w:tcPr>
            <w:tcW w:w="882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Unresolved Staff Comments</w:t>
              </w:r>
            </w:hyperlink>
          </w:p>
        </w:tc>
        <w:tc>
          <w:tcPr>
            <w:tcW w:w="768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53">
              <w:r>
                <w:rPr>
                  <w:rFonts w:ascii="Times New Roman" w:cs="Times New Roman" w:eastAsia="Times New Roman" w:hAnsi="Times New Roman"/>
                  <w:sz w:val="18"/>
                  <w:szCs w:val="18"/>
                  <w:color w:val="0000EE"/>
                  <w:w w:val="95"/>
                </w:rPr>
                <w:t>Properties</w:t>
              </w:r>
            </w:hyperlink>
          </w:p>
        </w:tc>
        <w:tc>
          <w:tcPr>
            <w:tcW w:w="900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Mine Safety Disclosures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400" w:type="dxa"/>
            <w:vAlign w:val="bottom"/>
            <w:gridSpan w:val="4"/>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28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Financial Statements and Supplementary Data</w:t>
              </w:r>
            </w:hyperlink>
          </w:p>
        </w:tc>
        <w:tc>
          <w:tcPr>
            <w:tcW w:w="640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2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340" w:type="dxa"/>
            <w:vAlign w:val="bottom"/>
            <w:gridSpan w:val="2"/>
          </w:tcPr>
          <w:p>
            <w:pPr>
              <w:spacing w:after="0"/>
              <w:rPr>
                <w:sz w:val="17"/>
                <w:szCs w:val="17"/>
                <w:color w:val="auto"/>
              </w:rPr>
            </w:pP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Directors, Executive Officers and Corporate Governance</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86">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64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9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86">
              <w:r>
                <w:rPr>
                  <w:rFonts w:ascii="Times New Roman" w:cs="Times New Roman" w:eastAsia="Times New Roman" w:hAnsi="Times New Roman"/>
                  <w:sz w:val="18"/>
                  <w:szCs w:val="18"/>
                  <w:color w:val="0000EE"/>
                  <w:w w:val="99"/>
                </w:rPr>
                <w:t>Certain Relationships and Related Person Transactions and Director Independence</w:t>
              </w:r>
            </w:hyperlink>
          </w:p>
        </w:tc>
        <w:tc>
          <w:tcPr>
            <w:tcW w:w="1340" w:type="dxa"/>
            <w:vAlign w:val="bottom"/>
            <w:tcBorders>
              <w:top w:val="single" w:sz="8" w:color="0000EE"/>
            </w:tcBorders>
            <w:gridSpan w:val="3"/>
          </w:tcPr>
          <w:p>
            <w:pPr>
              <w:spacing w:after="0"/>
              <w:rPr>
                <w:sz w:val="17"/>
                <w:szCs w:val="17"/>
                <w:color w:val="auto"/>
              </w:rPr>
            </w:pPr>
          </w:p>
        </w:tc>
        <w:tc>
          <w:tcPr>
            <w:tcW w:w="244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6">
              <w:r>
                <w:rPr>
                  <w:rFonts w:ascii="Times New Roman" w:cs="Times New Roman" w:eastAsia="Times New Roman" w:hAnsi="Times New Roman"/>
                  <w:sz w:val="18"/>
                  <w:szCs w:val="18"/>
                  <w:color w:val="0000EE"/>
                </w:rPr>
                <w:t>Principal Accountant Fees and Services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2"/>
              </w:rPr>
              <w:t>PART IV.</w:t>
            </w:r>
          </w:p>
        </w:tc>
        <w:tc>
          <w:tcPr>
            <w:tcW w:w="360" w:type="dxa"/>
            <w:vAlign w:val="bottom"/>
            <w:gridSpan w:val="3"/>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Exhibits and Financial Statement Schedules</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Exhibit Index</w:t>
            </w:r>
          </w:p>
        </w:tc>
        <w:tc>
          <w:tcPr>
            <w:tcW w:w="1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720" w:type="dxa"/>
            <w:vAlign w:val="bottom"/>
            <w:gridSpan w:val="2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Form 10-K Summary</w:t>
              </w:r>
            </w:hyperlink>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340" w:type="dxa"/>
            <w:vAlign w:val="bottom"/>
            <w:gridSpan w:val="2"/>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spacing w:after="0" w:line="267" w:lineRule="auto"/>
        <w:rPr>
          <w:sz w:val="20"/>
          <w:szCs w:val="20"/>
          <w:color w:val="auto"/>
        </w:rPr>
      </w:pPr>
      <w:r>
        <w:rPr>
          <w:rFonts w:ascii="Times New Roman" w:cs="Times New Roman" w:eastAsia="Times New Roman" w:hAnsi="Times New Roman"/>
          <w:sz w:val="17"/>
          <w:szCs w:val="17"/>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 Form 10-K 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 I, Item IA, “Risk Factors.</w:t>
      </w:r>
      <w:r>
        <w:rPr>
          <w:rFonts w:ascii="Times New Roman" w:cs="Times New Roman" w:eastAsia="Times New Roman" w:hAnsi="Times New Roman"/>
          <w:sz w:val="21"/>
          <w:szCs w:val="21"/>
          <w:i w:val="1"/>
          <w:iCs w:val="1"/>
          <w:color w:val="auto"/>
        </w:rPr>
        <w:t>”</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or Janssen, for the treatment of insomnia disorder and adjunctive treatment of Major Depressive Disorder, or aMDD;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 According to Datamonitor, an independent market research firm, in 2018 approximately 2.9 million people suffered from schizophrenia, 27.9 million suffered from MDD and 2.0 million suffered from Parkinson’s disease in the United States (“U.S.”), Japan and the five major European Union (“EU”) markets of France, Germany, Italy, Spain and the United Kingdom. Insomnia as a symptom affects up to 50% of the general population, while insomnia with significant daytime consequences is estimated to affect 7% to 13% of the population worldwide and is recognized as a major public health issue.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212" w:lineRule="exact"/>
        <w:rPr>
          <w:sz w:val="20"/>
          <w:szCs w:val="20"/>
          <w:color w:val="auto"/>
        </w:rPr>
      </w:pPr>
    </w:p>
    <w:p>
      <w:pPr>
        <w:ind w:left="1040" w:right="20" w:hanging="519"/>
        <w:spacing w:after="0" w:line="263"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Identify, acquire and develop differentiated products with innovative mechanisms of action based on biological and clinical insights into the unmet needs of patients;</w:t>
      </w:r>
    </w:p>
    <w:p>
      <w:pPr>
        <w:ind w:left="1040" w:right="200" w:hanging="519"/>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Leverage the randomized, double-blind, placebo-controlled data from completed trials to advance the clinical development of our product candidates in multiple regulatory jurisdictions;</w:t>
      </w:r>
    </w:p>
    <w:p>
      <w:pPr>
        <w:ind w:left="1040" w:right="220" w:hanging="519"/>
        <w:spacing w:after="0" w:line="255"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Prepare for the commercialization of our lead product, roluperidone, which will potentially be the first product approved to treat negative symptoms in patients with schizophrenia and, in the longer term as a potential treatment for other neuro-degenerative brain disorders in which negative symptoms represent a significant debilitating, unmet need;</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 w:name="page4"/>
    <w:bookmarkEnd w:id="3"/>
    <w:p>
      <w:pPr>
        <w:ind w:left="1040" w:hanging="519"/>
        <w:spacing w:after="0" w:line="263"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w:t>
      </w:r>
    </w:p>
    <w:p>
      <w:pPr>
        <w:ind w:left="1040" w:right="68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2013, Cyrenaic Pharmaceuticals, Inc., or Cyrenaic, and Sonkei Pharmaceuticals, Inc., or Sonkei, merged, and the combined company was renamed Minerva Neurosciences, Inc. Cyrenaic had been incorporated in 2007 and had exclusively licensed roluperidone and other compounds with a similar structure and intended purpose from Mitsubishi Tanabe Pharma Corporation, or MTPC. Sonkei had been incorporated in 2008 and had exclusively licensed MIN-117 from MTPC. We saw the merger as an opportunity to better serve underserved patient populations through combining a portfolio of promising product candidates targeting multiple CNS diseases. As a result of the merger, we have the rights to develop and commercialize roluperidone and MIN-117 globally, excluding most of Asia, where MIPC has retained commercialization rights.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further expanded our product candidate portfolio in February 2014 by acquiring the shares of Mind-NRG Sarl, or Mind-NRG, which had exclusive rights to develop and commercialize MIN-301 globally. In addition, in February 2014 we entered into a co-development and license agreement with Janssen, one of the Janssen Pharmaceutical Companies of Johnson &amp; Johnson. Pursuant to this agreement, subsequently amended in June 2017, we are co-developing seltorexant and have the right to commercialize this compound in the European Union, Switzerland, Liechtenstein, Iceland and Norway, or the Minerva Territory, subject to royalty payments to Janssen, with Janssen having commercialization rights outside of the Minerva Territory, subject to royalty payments to us.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Pipeline of Advanced Clinical-Stage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174625</wp:posOffset>
            </wp:positionV>
            <wp:extent cx="6165850" cy="4648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5850"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Roluperidone is a compound that has been shown to block serotonin receptors and sigma receptors, two receptors in the brain that are involved in the regulation of mood, cognition, sleep and anxiety. We are developing roluperidone to treat patients with schizophrenia. Roluperidone has been designed to block a specific subtype of serotonin receptor called 5-HT</w:t>
      </w:r>
      <w:r>
        <w:rPr>
          <w:rFonts w:ascii="Times New Roman" w:cs="Times New Roman" w:eastAsia="Times New Roman" w:hAnsi="Times New Roman"/>
          <w:sz w:val="15"/>
          <w:szCs w:val="15"/>
          <w:color w:val="auto"/>
        </w:rPr>
        <w:t>2A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15"/>
          <w:szCs w:val="15"/>
          <w:color w:val="auto"/>
        </w:rPr>
        <w:t>2A</w:t>
      </w:r>
      <w:r>
        <w:rPr>
          <w:rFonts w:ascii="Times New Roman" w:cs="Times New Roman" w:eastAsia="Times New Roman" w:hAnsi="Times New Roman"/>
          <w:sz w:val="18"/>
          <w:szCs w:val="18"/>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Times New Roman" w:cs="Times New Roman" w:eastAsia="Times New Roman" w:hAnsi="Times New Roman"/>
          <w:sz w:val="15"/>
          <w:szCs w:val="15"/>
          <w:color w:val="auto"/>
        </w:rPr>
        <w:t>2A</w:t>
      </w:r>
      <w:r>
        <w:rPr>
          <w:rFonts w:ascii="Times New Roman" w:cs="Times New Roman" w:eastAsia="Times New Roman" w:hAnsi="Times New Roman"/>
          <w:sz w:val="18"/>
          <w:szCs w:val="18"/>
          <w:color w:val="auto"/>
        </w:rPr>
        <w:t xml:space="preserve"> promotes slow wave sleep, a sleep stage often disrupted in patients with schizophrenia. Roluperidone has also been designed to block a specific subtype of sigma receptor called sigma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which is involved in movement control, psychotic symptom control and learning and memory. Blocking sigma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also increases calcium levels in neurons in the brain, which can improve memory. Recent pre-clinical findings provide evidence of the effect of roluperidone on Brain-Derived Neurotrophic Factor (“BDNF”), which has been associated with neurogenesis, neuroplasticity, neuroprotection, synapse regulation, learning and memory.</w:t>
      </w:r>
    </w:p>
    <w:p>
      <w:pPr>
        <w:spacing w:after="0" w:line="18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believe the scientifically supported and innovative mechanisms of action of roluperidone may potentially address the unmet needs of schizophrenic patients, which include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t>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 Beyond schizophrenia, we believe roluperidone may possess therapeutic utility in brain disorders where negative symptoms are a significant unmet need and a core feature of the disease associated with a range of poor clinical outcomes.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Clinical Trial</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or mg, and 64 mg of roluperidone in adult patients with negative symptoms of schizophrenia. The 12-week study will be followed by a 40-week, open-label extension period during which patients on drug will continue receiving their original dose and patients on placebo will receive either 32 mg or 64 mg of roluperidone.</w:t>
      </w:r>
    </w:p>
    <w:p>
      <w:pPr>
        <w:spacing w:after="0" w:line="18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approximately 500 patients we expect to enroll in this trial at clinical sites in the U.S. and Europe will be initially randomized equally to receive one of the two doses of roluperidone or placebo for 12 weeks. Thereafter, all patients will continue treatment with roluperidone for the 40-week extension period if they elect to enter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completion of enrollment during the first half of 2019 and top-line results from the 12-week, double-blind period in mid-2019.</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primary endpoint of this trial will be improvement in negative symptoms in patients treated with roluperidone compared to placebo as measured by the change in the Positive and Negative Syndrome Scale, or PANSS, Marder negative symptoms factor score, or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or CGI-S, score and safety and tolerability.</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a wash-out period of a few days before receiving study drug. These parameters were applied in screening the population treated in the Phase 2b trial.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Chemistry, Manufacturing and Controls program</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chemistry, manufacturing and controls (“CMC”) scale-up program for roluperidone is ongoing to ensure consistency between the drug batches to be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Dose Escalation Study</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being used in the ongoing Phase 3 trial.</w:t>
      </w:r>
    </w:p>
    <w:p>
      <w:pPr>
        <w:spacing w:after="0" w:line="17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primary objectives of the study included the evaluation of the pharmacokinetics, dose-proportionality and the effect of plasma concentrations of roluperidone and its main metabolites on pharmacodynamic parameters using electrocardiogram (“ECG”) Fridericia-corrected QT interval (“QTcF”), a measurement of cardiac function. Secondary objectives included evaluation of safety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 w:name="page7"/>
    <w:bookmarkEnd w:id="6"/>
    <w:p>
      <w:pPr>
        <w:ind w:right="520"/>
        <w:spacing w:after="0" w:line="282" w:lineRule="auto"/>
        <w:rPr>
          <w:sz w:val="20"/>
          <w:szCs w:val="20"/>
          <w:color w:val="auto"/>
        </w:rPr>
      </w:pPr>
      <w:r>
        <w:rPr>
          <w:rFonts w:ascii="Times New Roman" w:cs="Times New Roman" w:eastAsia="Times New Roman" w:hAnsi="Times New Roman"/>
          <w:sz w:val="18"/>
          <w:szCs w:val="18"/>
          <w:color w:val="auto"/>
        </w:rPr>
        <w:t>tolerability. An additional objective was to provide an estimate of the supra-therapeutic dose to be used in the thorough QT study planned as part of the NDA.</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from this trial demonstrated the following:</w:t>
      </w:r>
    </w:p>
    <w:p>
      <w:pPr>
        <w:spacing w:after="0" w:line="252"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pharmacokinetics of roluperidone and its metabolites were dose proportional.</w:t>
      </w:r>
    </w:p>
    <w:p>
      <w:pPr>
        <w:spacing w:after="0" w:line="19" w:lineRule="exact"/>
        <w:rPr>
          <w:rFonts w:ascii="Times New Roman" w:cs="Times New Roman" w:eastAsia="Times New Roman" w:hAnsi="Times New Roman"/>
          <w:sz w:val="20"/>
          <w:szCs w:val="20"/>
          <w:color w:val="auto"/>
        </w:rPr>
      </w:pPr>
    </w:p>
    <w:p>
      <w:pPr>
        <w:ind w:left="1040" w:hanging="519"/>
        <w:spacing w:after="0" w:line="223"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QTcF duration &gt; 480 milliseconds (“msec”) or increases &gt; 60 msec compared to baseline values were observed in any subject.</w:t>
      </w:r>
    </w:p>
    <w:p>
      <w:pPr>
        <w:spacing w:after="0" w:line="15" w:lineRule="exact"/>
        <w:rPr>
          <w:rFonts w:ascii="Times New Roman" w:cs="Times New Roman" w:eastAsia="Times New Roman" w:hAnsi="Times New Roman"/>
          <w:sz w:val="20"/>
          <w:szCs w:val="20"/>
          <w:color w:val="auto"/>
        </w:rPr>
      </w:pPr>
    </w:p>
    <w:p>
      <w:pPr>
        <w:ind w:left="1040" w:right="280" w:hanging="519"/>
        <w:spacing w:after="0" w:line="236"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160 mg was the only roluperidone dose to show an adjusted QTcF mean increase from baseline of 10.7 msec. All other doses showed means below 10 msec that ranged from -1.3 to 5 msec.</w:t>
      </w:r>
    </w:p>
    <w:p>
      <w:pPr>
        <w:ind w:left="1040" w:hanging="519"/>
        <w:spacing w:after="0" w:line="225"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significant change in repolarization was observed.</w:t>
      </w:r>
    </w:p>
    <w:p>
      <w:pPr>
        <w:spacing w:after="0" w:line="15" w:lineRule="exact"/>
        <w:rPr>
          <w:rFonts w:ascii="Times New Roman" w:cs="Times New Roman" w:eastAsia="Times New Roman" w:hAnsi="Times New Roman"/>
          <w:sz w:val="20"/>
          <w:szCs w:val="20"/>
          <w:color w:val="auto"/>
        </w:rPr>
      </w:pPr>
    </w:p>
    <w:p>
      <w:pPr>
        <w:ind w:left="1040" w:right="40" w:hanging="519"/>
        <w:spacing w:after="0" w:line="236"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Two subjects (11%) in the placebo group and nine subjects (13%) in the roluperidone group reported adverse events that were mild to moderate in severity and resolved without sequelae.</w:t>
      </w:r>
    </w:p>
    <w:p>
      <w:pPr>
        <w:ind w:left="1040" w:right="880" w:hanging="519"/>
        <w:spacing w:after="0" w:line="237"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Doses up to 160 mg or 2.5 multiples of the highest dose being tested in the ongoing Phase 3 trial had no effect on any cardiac safety parameters.</w:t>
      </w:r>
    </w:p>
    <w:p>
      <w:pPr>
        <w:ind w:left="1040" w:hanging="519"/>
        <w:spacing w:after="0" w:line="225"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Slight but not clinically relevant increases in heart rate were observed in the placebo group and some of the roluperidone doses.</w:t>
      </w:r>
    </w:p>
    <w:p>
      <w:pPr>
        <w:spacing w:after="0" w:line="15" w:lineRule="exact"/>
        <w:rPr>
          <w:rFonts w:ascii="Times New Roman" w:cs="Times New Roman" w:eastAsia="Times New Roman" w:hAnsi="Times New Roman"/>
          <w:sz w:val="20"/>
          <w:szCs w:val="20"/>
          <w:color w:val="auto"/>
        </w:rPr>
      </w:pPr>
    </w:p>
    <w:p>
      <w:pPr>
        <w:ind w:left="1040" w:hanging="519"/>
        <w:spacing w:after="0" w:line="223" w:lineRule="auto"/>
        <w:tabs>
          <w:tab w:leader="none" w:pos="10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No serious adverse events were reported.</w:t>
      </w:r>
    </w:p>
    <w:p>
      <w:pPr>
        <w:spacing w:after="0" w:line="2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these findings suggest an expanded therapeutic window and a significantly improved safety margin for roluperidone. They provide further evidence that the formulation being used in the Phase 3 trial has a significantly reduced maximum concentration (“Cmax”) of the BFB-520 metabolite when compared to the formulation used in the Phase 2b trial, thereby reducing the potential for transient QTc increases at the doses currently tested in the Phase 3 trial. Furthermore, we believe these data suggest the potential for future testing of roluperidone in schizophrenic patients with an exacerbation of psychosis at higher doses than those being used in the Phase 3 trial.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Brain-Derived Neurotrophic Factor (“BDNF”) Findings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completed a pre-clinical study that provides evidence of the effect of roluperidone on BDNF. BDNF is the most widely distributed member of neurotrophins in the brain and has been associated with neurogenesis, neuroplasticity, neuroprotection, synapse regulation, learning and memory. Its involvement in schizophrenia has also been described. In this study, after three days of administration, roluperidone was observed to significantly increase the release of BDNF in cultured brain hippocampal neurons in a dose-dependent manner. We believe these findings, along with clinical results, may suggest the potential of roluperidone to change the overall course of schizophrenia.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Journal of Clinical Psychiatry Publication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Journal of Clinical Psychiatry has published online results demonstrating cognitive improvements in patients with schizophrenia treated with roluperidone (Cognitive Effects on MIN-101 in Patients with Schizophrenia and Negative Symptoms: Results from a Randomized Controlled Trial). The results also demonstrated that cognitive improvements correlate with previously reported improvements in negative symptoms. This is the third peer-reviewed publication of Phase 2b data with roluperidone.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developing MIN-117 to treat patients suffering from moderate to severe MDD with anxiety. Patients suffering from MDD experience feelings of sadness, loss of interest or pleasure in activities, changes in sleep such as insomnia, fatigue and diminished ability to concentrate that interfere with their ability to carry out and enjoy once-pleasurable activities. While suicide is the leading cause of death in those with MDD, other factors, such as changes in immune function and susceptibility to disease, can also lead to early mortality.</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MIN-117 has the potential to address limitations of existing therapies, such as slow onset of action and poor safety and tolerability, without many of the typical side effects associated with currently approved therapies. The pharmacological effects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spacing w:after="0" w:line="261" w:lineRule="auto"/>
        <w:rPr>
          <w:sz w:val="20"/>
          <w:szCs w:val="20"/>
          <w:color w:val="auto"/>
        </w:rPr>
      </w:pPr>
      <w:r>
        <w:rPr>
          <w:rFonts w:ascii="Times New Roman" w:cs="Times New Roman" w:eastAsia="Times New Roman" w:hAnsi="Times New Roman"/>
          <w:sz w:val="18"/>
          <w:szCs w:val="18"/>
          <w:color w:val="auto"/>
        </w:rPr>
        <w:t>MIN-117 are related to serotonin and dopamine, two neurotransmitters in the brain. MIN-117 is meant to block a specific subtype of serotonin receptor called 5-HT</w:t>
      </w:r>
      <w:r>
        <w:rPr>
          <w:rFonts w:ascii="Times New Roman" w:cs="Times New Roman" w:eastAsia="Times New Roman" w:hAnsi="Times New Roman"/>
          <w:sz w:val="15"/>
          <w:szCs w:val="15"/>
          <w:color w:val="auto"/>
        </w:rPr>
        <w:t>1A</w:t>
      </w:r>
      <w:r>
        <w:rPr>
          <w:rFonts w:ascii="Times New Roman" w:cs="Times New Roman" w:eastAsia="Times New Roman" w:hAnsi="Times New Roman"/>
          <w:sz w:val="18"/>
          <w:szCs w:val="18"/>
          <w:color w:val="auto"/>
        </w:rPr>
        <w:t>. When 5-HT</w:t>
      </w:r>
      <w:r>
        <w:rPr>
          <w:rFonts w:ascii="Times New Roman" w:cs="Times New Roman" w:eastAsia="Times New Roman" w:hAnsi="Times New Roman"/>
          <w:sz w:val="15"/>
          <w:szCs w:val="15"/>
          <w:color w:val="auto"/>
        </w:rPr>
        <w:t>1A</w:t>
      </w:r>
      <w:r>
        <w:rPr>
          <w:rFonts w:ascii="Times New Roman" w:cs="Times New Roman" w:eastAsia="Times New Roman" w:hAnsi="Times New Roman"/>
          <w:sz w:val="18"/>
          <w:szCs w:val="18"/>
          <w:color w:val="auto"/>
        </w:rPr>
        <w:t xml:space="preserve"> is blocked, anxiety and mood can be regulated. In addition, MIN-117 is meant to prevent the reuptake of serotonin and dopamine, which increases the amount of serotonin and dopamine in the brain, which is tied to an improvement in mood in individuals suffering from MDD. MIN-117 is also meant to modulate the levels of Alpha-1a and 1b, which further modulates serotonin and dopamine.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upon clinical and non-clinical studies completed to date, we believe MIN-117 may demonstrate a safety profile comparable to placebo without many of the typical side effects of current MDD treatments, including cognitive impairment, sexual dysfunction, sleep disorders and weight gain. As part of our license agreement with MTPC, we may develop, sell, and import products based on the MIN-117 compound globally, excluding most of Asia.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2b Trial</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initiated a Phase 2b trial in MDD in the U.S. and Europe on April 9, 2018. The primary objective of the trial is to evaluate the efficacy of two fixed doses of MIN-117, 5.0 mg and 2.5 mg daily,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using the Clinical Global Impression of Severity Scale (“CGI-S”) and Clinical Global Impression of Improvement Scale (“CGI-I”); and (3) safety over six weeks of treatment.</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study is recruiting adults with a diagnosis of moderate or severe MDD with anxious distress and without psychotic features. Based upon previous clinical observations, we believe that patients with MDD who also have symptoms of anxiety may benefit from treatment with MIN-117.</w:t>
      </w:r>
    </w:p>
    <w:p>
      <w:pPr>
        <w:spacing w:after="0" w:line="16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Approximately 324 patients are expected to be enrolled in the U.S. and Europe. Patients will be randomized to one of three arms, including placebo and the two dosage arms, in a 2:1:1 ratio, resulting in approximately 162 patients in the placebo group and 81 patients in each of the two MIN-117 treatment groups. The study design includes a screening phase of up to three weeks, a six-week double-blind treatment phase and a two-week post-study follow-up period. Top line results are expected in the first half of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Patent Application Related to Pain</w:t>
      </w:r>
    </w:p>
    <w:p>
      <w:pPr>
        <w:spacing w:after="0" w:line="22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We have filed a U.S. patent application for MIN-117 to treat pain. Pre-clinical rat models submitted in the patent application included peripheral motoneuropathy, inflammatory pain and chemotherapy-induced peripheral neuropathic pain. Findings in these models showed that MIN-117 restored approximately 60 percent of the nociceptive pain threshold after peripheral motoneuropathy or inflammatory pain and significantly reduced, in a dose-dependent manner, chemotherapy-induced peripheral neuropathic pain.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results suggest that MIN-117 may be a candidate for study in the treatment of diseases with chronic pain symptoms and may have the potential to address the urgent need for non-opioid therapeutic options for the treatment of pain. Furthermore, the currently available treatments for chronic pain are often not satisfactory and may be associated with adverse reactions, tolerance, dependence and reductions in the quality of life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 (MIN-202)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Seltorexant is an innovative selective orexin 2 receptor antagonist we are co-developing with Janssen for the treatment of insomnia and aMDD.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brain, the orexin system is involved in the control of several key functions, including metabolism and wakefulness. Seltorexant seeks to inhibit the activity of the neurons that promote wakefulness by selectively blocking the orexin 2 receptor. Rather than making an individual sleepier as is the case with many commercially available therapies that mediate their effect via the Gamma-Aminobutyric Acid (“GABA”) neurotransmitter pathway, blocking the orexin 2 receptor reduces the level of the neurotransmitters that signal the brain to maintain vigilance and wakefulness, which can be helpful for patients with insomnia.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8" w:name="page9"/>
    <w:bookmarkEnd w:id="8"/>
    <w:p>
      <w:pPr>
        <w:ind w:right="120"/>
        <w:spacing w:after="0" w:line="282" w:lineRule="auto"/>
        <w:rPr>
          <w:sz w:val="20"/>
          <w:szCs w:val="20"/>
          <w:color w:val="auto"/>
        </w:rPr>
      </w:pPr>
      <w:r>
        <w:rPr>
          <w:rFonts w:ascii="Times New Roman" w:cs="Times New Roman" w:eastAsia="Times New Roman" w:hAnsi="Times New Roman"/>
          <w:sz w:val="18"/>
          <w:szCs w:val="18"/>
          <w:color w:val="auto"/>
        </w:rPr>
        <w:t>We are co-developing seltorexant with Janssen and own the exclusive rights to develop and commercialize the compound in the Minerva Territory subject to royalty payments to Janssen and we have the right to receive royalties on any sales outside the Minerva Territory.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Co-Development and License Agreement with Janssen</w:t>
      </w:r>
    </w:p>
    <w:p>
      <w:pPr>
        <w:spacing w:after="0" w:line="2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June 2017, we entered into an amendment (the “Amendment”) to the co-development and license agreement with Janssen dated February 13, 2014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We retain all of our rights to seltorexant, including commercialization of the molecule for the treatment of insomnia and aMDD, which include an exclusive license in the Minerva Territory, with royalties payable by us to Janssen on seltorexant sales outside of the insomnia indication. 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us until completion of the Phase 2b development milestone. This milestone is referred to as “Decision Point 4” and is expected to occur in the second half of 2019.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our balance sheet at December 31, 2018 and December 31, 2017. In connection with the Amendment, we repurchased all of the approximately 3.9 million shares of our common stock previously owned by Johnson &amp; Johnson Innovation-JJDC Inc. at a per share price of $0.0001, for an aggregate purchase price of approximately $389.</w:t>
      </w:r>
    </w:p>
    <w:p>
      <w:pPr>
        <w:spacing w:after="0" w:line="19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the Amendment, we assumed strategic control of matters relating to the clinical development of seltorexant for insomnia and have no further financial obligations until after Decision Point 4. After Decision Point 4, both we and Janssen have the right to opt-out of the Agreement.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opt-out, we collect a royalty on worldwide sales of seltorexant in the single digits with no further obligations to Janssen. If Janssen opts-out, the Minerva Territory would be expanded to include North America and we would pay Janssen royalties on sales of seltorexant outside of the insomnia indication in the single digits.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both parties elect to continue past Decision Point 4 into Phase 3, we would be obligated to fund the clinical trials related to insomnia, receive up to $40 million in milestone payments from Janssen, and be responsible for 40% of all costs incurred in the Phase 3 aMDD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2b Trials in MDD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Phase 2b trial of seltorexant as adjunctive therapy to antidepressants is ongoing in adult patients with MDD who have responded inadequately to antidepressant therapy (the “2001 Trial”). The primary objectives of this multi-center, double-blind, randomized, parallel group, placebo-controlled, adaptive-dose finding study are to assess the dose-response relationship and antidepressant effects of up to three doses of seltorexant (10, 20, and 40 mg) and to assess the safety and tolerability of seltorexant compared to placebo. The trial consists of three phases: a screening phase lasting up to four weeks, a six-week double-blind treatment phase and a two-week post-treatment follow-up phase. We plan to enroll approximately 280 patients in the U.S., Europe, Russia and Japan.</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Phase 2b clinical trial comparing seltorexant versus quetiapine as adjunctive therapy is ongoing in patients with MDD who have responded inadequately to antidepressant therapy (the “2002 Trial”).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 The trial consists of three phases: a screening phase lasting up to four weeks, a six-month double-blind treatment phase and a two-week follow-up phase. Approximately 100 patients 18 to 64 years of age are planned to be randomized in the U.S. to receive either flexibly dosed seltorexant, 20 mg or 40 mg, or flexibly dosed quetiapine XR, 150 mg or 300 mg. Subjects will continue to take their baseline antidepressant therapy of either a selective serotonin reuptake inhibitor (“SSRI”) or a serotonin-norepinephrine reuptake inhibitor (“SNRI”) at the same dose throughout the screening, double-blind and follow-up phases.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9" w:name="page10"/>
    <w:bookmarkEnd w:id="9"/>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Enrollment in the 2002 trial was temporarily suspended during the first quarter of 2018 due to a drug packaging issue. This issue has been resolved, and enrollment was restarted in the second quarter of 2018. We have completed preclinical fertility studies in female rats to assess the potential relevance to exposing women of child bearing potential to seltorexant and have requested regulatory clearance to lift the ban on enrolling these women.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top-line results from the 2001 Trial in MDD in the second quarter of 2019 and top-line results from the 2002 Trial in MDD in mid-2019.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2b Trial in Insomnia Disorder</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Phase 2b clinical trial of seltorexant is ongoing in patients with insomnia disorder (the “2005 Trial”). This multicenter, double-blind, randomized, parallel-group, active- and placebo-controlled dose finding study is designed to assess the efficacy and safety of seltorexant in both adult and elderly subjects with insomnia disorder. The primary objective of this trial is to assess the dose-response of three doses of seltorexant (5, 10 and 20 mg daily) compared to placebo on sleep onset as measured by the latency to persistent sleep (“LPS”) using polysomnography (“PSG”). The key secondary objective is to assess the dose-response of these three doses compared to placebo on wake after sleep onset (“WASO”) over the first six hours using PSG. In addition, the effects of seltorexant on sleep and cognition will be compared to those effects of zolpidem to determine potential differences between the compounds.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of approximately 360 patients 18 to 85 years of age are expected to be randomized in this study at clinical sites in the U.S., EU, and Japan.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top-line results from the 2005 Trial in mid-2019.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developing MIN-301, a soluble recombinant form of the Neuregulin-1b1, or NRG-1b1, protein, for the treatment of Parkinson’s disease and potentially for other neurodegenerative disorders. We believe MIN-301 has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reverse the damage caused by Parkinson’s disease.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has the potential to address these unmet needs of patients and, if approved, may be used as an early-stage monotherapy as well as a complementary therapy to existing treatments.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Development</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or IMPD, filing, with a Phase 1 study expected to commence thereafter.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License Agreement with MTPC</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entered into a license agreement with MTPC dated as of August 30, 2007, as amended, or the Roluperidone License Agreement. Under the terms of the Roluperidone License Agreement, we acquired an exclusive license to the lead compound known as CYR-101 (subsequently renamed MIN-101 and roluperidone), and other compounds with a similar structure and intended purpose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0" w:name="page11"/>
    <w:bookmarkEnd w:id="10"/>
    <w:p>
      <w:pPr>
        <w:ind w:right="20"/>
        <w:spacing w:after="0" w:line="258" w:lineRule="auto"/>
        <w:rPr>
          <w:sz w:val="20"/>
          <w:szCs w:val="20"/>
          <w:color w:val="auto"/>
        </w:rPr>
      </w:pPr>
      <w:r>
        <w:rPr>
          <w:rFonts w:ascii="Times New Roman" w:cs="Times New Roman" w:eastAsia="Times New Roman" w:hAnsi="Times New Roman"/>
          <w:sz w:val="18"/>
          <w:szCs w:val="18"/>
          <w:color w:val="auto"/>
        </w:rPr>
        <w:t>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has a term of the later of 12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roluperidone in each country in our territory.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MIN-117 License Agreement with MTPC</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Sonkei entered into a license agreement with MTPC dated September 1, 2008, as amended, or the MIN-117 License Agreement. Under the terms of the MIN-117 License Agreement, we acquired an exclusive license to the lead compound known as SON-117 (subsequently renamed MIN-117) and other data included within the valid claims of certain patents licensed to us under the MIN-117 License Agreement. Sonkei paid MTPC an initial license fee of $0.5 million. The license is for world-wide rights other than certain countries in Asia, including China, Japan, India and South Korea. We will pay a tiered royalty for net sales of product by it or any of its affiliates or sublicensees containing the licensed compound ranging from the high single digits to the low teens depending on net sales of products under the MIN-117 License Agreement. Through the date of the agreement, as amended, we were required to make payments up to $57.5 million upon the achievement of certain commercial milestones.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January 2014, we renegotiated the structure of the license for MIN-117 such that we are required to make certain milestone payments upon the achievement of certain commercial milestones up to $47.5 million. In addition, in the event that we sell the rights to the license, MTPC will be entitled to a percentage of milestone payments in the low teens and a percentage of royalties received by us in the low double digits. This license agreement has a term of the later of 10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MIN-117 in each country in our territory. In April 2015, we amended the diligence milestone obligation under the license agreement for MIN-117 to extend the deadline from April 30, 2015 to June 30, 2015 to begin enrollment in a Phase 2a or Phase 2b study with MIN-117 in patients suffering major mood disorders. As consideration for the two-month extension, we paid MTPC, and recorded an expense for, $80,000 in the year ended December 31, 2015. We met the enrollment milestone obligation in June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 Co-Development and License Agreement with Janssen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13, 2014, we signed a co-development and license agreement (the “Agreement”) with Janssen, which became effective upon completion of our initial public offering and the payment of a $22.0 million license fee. Under the Agreement, Janssen, the licensor, granted us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 In addition, upon regulatory approval in the Minerva Territory (and earlier if certain default events occur), we will have rights to manufacture seltorexant, also known as JNJ-42847922. We have granted to the licensor an exclusive license, with the right to sublicense, under all patent rights and know-how controlled by us related to seltorexant to sell seltorexant outside the Minerva Territory. In consideration of the licenses granted on July 7, 2014, we made a license fee payment of $22.0 million, which was included as a component of research and development expense in 2014.</w:t>
      </w:r>
    </w:p>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Agreement contains certain provisions, which include our ability to opt-out of the Agreement upon completion of certain milestones. If we elect to participate in the development program through to the potential commercial approval of seltorexant we will pay a quarterly royalty percentage to the licensor in the high single digits on aggregate net sales for seltorexant products sold by us, our affiliates and sublicensees in the Minerva Territory. The licensor will pay a quarterly royalty percentage to us in the high single digits on aggregate net sales for seltorexant products sold by the licensor outside the Minerva Territory.</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account for the Agreement as a joint risk-sharing collaboration in accordance with ASC 808, “Collaborative Arrangements”. Payments between us and the licensor with respect to each party’s share of seltorexant development costs that have been incurred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joint development plan are recorded within research and development expenses or general and administrative expenses, as applicable, in the accompanying consolidated statements of operations due to the joint risk-sharing nature of the activities. We have included zero in accrued collaborative expenses as of December 31, 2018 and December 31, 2017, related to the Agreement. In the 12 months ended December 31, 2018 and 2017, we paid zero and $2.5 million, respectively, related to development activities under the Agreement.</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6, 2016, we and Janssen agreed that “Decision Point 2” had been reached as defined under the Agreement. As neither party exercised their right to withdraw from the Agreement, we paid Janssen $3.5 million and have incurred direct expenses of $0.3 million related to development activities under the current phase of development. During the 12 months ended December 31, 2018 and 2017, we recorded expenses of zero and $11.2 million, respectively, for certain development activities in accordance with the terms of the Agreement.</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2017, we entered into an amendment (“the Amendment”) to the co-development and license agreement with Janssen dated February 13, 2014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We retain all of our rights to seltorexant, including commercialization of the molecule for the treatment of insomnia and as an adjunctive therapy for MDD, which include an exclusive license in the Minerva Territory, with royalties payable by us to Janssen on seltorexant sales outside of the insomnia indication. 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us until completion of the Phase 2b development milestone. This milestone is referred to as “Decision Point 4” and is expected to occur in the second half of 2019.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our balance sheet at December 31, 2018 and December 31, 2017. In connection with the Amendment, we repurchased all of the approximately 3.9 million shares of our common stock previously owned by Johnson &amp; Johnson Innovation-JJDC Inc. at a per share price of $0.0001, for an aggregate purchase price of approximately $389.</w:t>
      </w:r>
    </w:p>
    <w:p>
      <w:pPr>
        <w:spacing w:after="0" w:line="19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a result of the Amendment, we assumed strategic control of matters relating to the clinical development of seltorexant for insomnia and have no further financial obligations until after Decision Point 4. After Decision Point 4, both we and Janssen have the right to opt-out of the Agreement.</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opt-out, we collect a royalty on worldwide sales of seltorexant in the single digits with no further obligations to Janssen. If Janssen opts-out, the Minerva Territory would be expanded to include North America and we would pay Janssen royalties on sales of seltorexant outside of the insomnia indication in the single digits.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both parties elect to continue past Decision Point 4 into Phase 3, we would be obligated to fund the clinical trials related to insomnia, receive up to $40 million in milestone payments from Janssen, and be responsible for 40% of all costs incurred in the Phase 3 MDD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 Competition in the Pharmaceutical Market for the Treatment of Schizophrenia</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Johnson &amp; Johnson’s Haldol (haloperidol), or second-generation “atypical antipsychotics,” such as Novartis’ Clozaril (clozapine), Johnson &amp; Johnson’s Risperdal (risperidone), AstraZeneca’s Seroquel (quetiapine), Eli Lilly’s Zyprexa (olanzapine) and Bristol-Myers Squibb’s Abilify (aripiprazole).</w:t>
      </w:r>
    </w:p>
    <w:p>
      <w:pPr>
        <w:spacing w:after="0" w:line="18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ind w:right="20"/>
        <w:spacing w:after="0" w:line="254" w:lineRule="auto"/>
        <w:rPr>
          <w:sz w:val="20"/>
          <w:szCs w:val="20"/>
          <w:color w:val="auto"/>
        </w:rPr>
      </w:pPr>
      <w:r>
        <w:rPr>
          <w:rFonts w:ascii="Times New Roman" w:cs="Times New Roman" w:eastAsia="Times New Roman" w:hAnsi="Times New Roman"/>
          <w:sz w:val="18"/>
          <w:szCs w:val="18"/>
          <w:color w:val="auto"/>
        </w:rPr>
        <w:t>Given the focus of currently approved drug therapies for positive symptoms and their side effect profiles, we believe these therapies are unlikely to be directly competitive with roluperidone, which is intended to target primarily negative symptoms and cognitive impairment.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 On September 22, 2017, Allergan announced it had received a Refusal to File letter from the FDA regarding their antipsychotic product, Vraylar. The FDA, according to Allergan’s press-release, determined that the supplemental NDA (“sNDA”) for the treatment of negative symptoms was not sufficiently complete to permit a substantive review. Allergan has stated that the company is in the process of planning a meeting with the FDA, to respond to the issues, and to seek clarification of what information will be required.</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Specific compounds under late-stage development that include negative symptoms as a target include Acadia Pharmaceuticals’ Pimavanserin, a selective serotonin 5HT</w:t>
      </w:r>
      <w:r>
        <w:rPr>
          <w:rFonts w:ascii="Times New Roman" w:cs="Times New Roman" w:eastAsia="Times New Roman" w:hAnsi="Times New Roman"/>
          <w:sz w:val="15"/>
          <w:szCs w:val="15"/>
          <w:color w:val="auto"/>
        </w:rPr>
        <w:t>2a</w:t>
      </w:r>
      <w:r>
        <w:rPr>
          <w:rFonts w:ascii="Times New Roman" w:cs="Times New Roman" w:eastAsia="Times New Roman" w:hAnsi="Times New Roman"/>
          <w:sz w:val="18"/>
          <w:szCs w:val="18"/>
          <w:color w:val="auto"/>
        </w:rPr>
        <w:t xml:space="preserve"> inverse agonist (“SSIA”) that is approved for the treatment of hallucinations and delusions associated with Parkinson’s disease psychosis. In January 2019, Lundbeck indicated they would begin proof of concept studies for Lu AF11167, which has a treatment for persistent negative symptoms in schizophrenia. Other products in clinical development whose targets include negative symptoms (although not necessarily defined as a primary outcome of their clinical trials) are Roche’s RO6889450, Takeda’s TAK-831, SyneuRx’s NaBen, and Avanir Pharmaceuticals’ AVP-786.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MIN-117: Competition in the Pharmaceutical Market for the Treatment of MDD</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pharmaceutical market for the treatment of MDD is largely comprised of SSRIs, SNRIs and atypical antipsychotics. By the time of MIN-117’s estimated launch, if approved by the FDA, a number of these marketed antidepressants will be generic, and would be key competitors to MIN-117. These products include Forest’s Lexapro/Cipralex (escitalopram), Pfizer’s Zoloft (sertraline), GlaxoSmithKline’s Paxil/Seroxat (paroxetine), Eli Lilly’s Prozac (fluoxetine), Forest’s Viibryd (vilazodone), Pfizer’s Effexor (venlafaxine), Pfizer’s Pristiq (desvenlafaxine), Eli Lilly’s Cymbalta (duloxetine), AstraZeneca’s Seroquel (quetiapine) and Bristol-Myers Squibb’s Abilify (aripiprazole).</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Both SSRIs and SNRIs have significant limitations. SSRIs may lead to varying levels of weight gain and the impairment in cognitive and sexual functions. In some cases, SNRIs have a worse safety and tolerability profile compared to SSRIs, in particular with respect to cardiovascular side effects. In addition, SSRIs and SNRIs are effective in only a part of the MDD patient population. Over one-third of patients fail to respond to two or more successive lines of antidepressant therapy.</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Patients with treatment-resistant depression (TRD) often require treatment with several antidepressants, such as an SSRI or SNRI, combined with an “adjunct” therapy such as an antipsychotic or mood stabilizer. These antipsychotic compounds, such as AstraZeneca’s Seroquel (quetiapine) and Bristol-Myers Squibb’s Abilify (aripiprazole), and mood stabilizers, such as Janssen Pharmaceuticals’ Topamax (topiramate), cause some slight improvements in efficacy but often have unacceptable side effects, including motor symptoms, sedation, lack of concentration, and weight gain.</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MIN-117 may have a faster onset of action, fewer side effects than existing treatments, and could benefit non- or partial-responders, but a number of products in development could also compete with MIN-117. Lundbeck’s Vortioxetine (Brintellix), an SSRI with additional 5-HT receptor modulation activity, has been developed as a monotherapy and was recently approved by the FDA for use as a second-line therapy. Brintellix has been shown to have fewer side effects, in particular less impact on cognition, than existing therapies, though it does not show improved efficacy on depressive symptoms In addition, Janssen’s esketamine and Allergan’s rapastinel (formerly Naurex GLYX-13) both target the NMDA receptor and are expected to have a faster onset of therapeutic effect as compared to currently available therapies.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 Competition in the Pharmaceutical Market for the Treatment of Insomnia</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Most of the pharmaceuticals on the market for insomnia target neurotransmitter pathways involved in depressing the brain activity, such as the histamine and GABA pathways, to induce a decrease in vigilance and attention, leading to sedation and sleep induction. The leading molecule among the current third generation of GABAergic drugs is Sanofi’s zolpidem, often marketed under the name Ambien, and is available in generic form. However, zolpidem requires careful utilization to avoid tolerance and drug abuse and extensive sleep studies have demonstrated that zolpidem does not restore physiological sleep and does not allow restorative sleep, which prevents good daytime performance.</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Unlike existing therapies, seltorexant, if approved, is expected to inhibit wakefulness-promoting neurotransmitters, rather than activating sleep-promoting neurotransmitters. In August 2014, Merck &amp; Co.’s dual orexin receptor antagonist, suvorexant, was approved by the FDA and is currently marketed under the name Belsomra®. We believe that Belsomra may be the only new insomnia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ind w:right="180"/>
        <w:spacing w:after="0" w:line="266" w:lineRule="auto"/>
        <w:rPr>
          <w:sz w:val="20"/>
          <w:szCs w:val="20"/>
          <w:color w:val="auto"/>
        </w:rPr>
      </w:pPr>
      <w:r>
        <w:rPr>
          <w:rFonts w:ascii="Times New Roman" w:cs="Times New Roman" w:eastAsia="Times New Roman" w:hAnsi="Times New Roman"/>
          <w:sz w:val="18"/>
          <w:szCs w:val="18"/>
          <w:color w:val="auto"/>
        </w:rPr>
        <w:t>pharmaceutical product to launch significantly in advance of seltorexant’s launch. If approved, we believe seltorexant, which is a single orexin receptor antagonist that targets orexin 2 pathways only and has a different pharmacokinetic profile from Belsomra, may have equal or superior efficacy, less residual sedation and impaired daytime functioning, and superior preservation of appropriate levels of rapid eye movement sleep as compared to Belsomra.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 Competition in the Pharmaceutical Market for the Treatment of Parkinson’s Disease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Parkinson’s disease are still in the pre-clinical stage.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portfolios for our product candidates, which we own or are exclusively licensed to us, are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Roluperidone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our agreement with MTPC, we have an exclusive license to U.S. Patent No. 7,166,617, which claims the roluperidone compound, as well as to corresponding patents in the following countries: Australia, Canada, Europe (Albania, Austria, Belgium, Republic of Cyprus, Denmark, Finland, France, Germany, Greece, Ireland, Italy, Latvia, Liechtenstein, Lithuania, Luxembourg, Macedonia, Monaco, Netherlands, Portugal, Romania, Slovenia, Spain, Sweden, Switzerland, Turkey, and United Kingdom), Israel, New Zealand, and Russia. The U.S. patent is scheduled to expire no earlier than May 17, 2021, and a patent term extension of up to 5 years may be available. The foreign patents are scheduled to expire no earlier than February 26,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own two granted U.S. patents and pending applications in the U.S., Australia, Brazil, Canada, Chile, Colombia, Eurasia, Europe, Israel, Mexico, New Zealand, Peru, Ukraine, and South Africa, which claim modified-release formulations of roluperidone. The granted U.S. patents, as well as any other U.S. or foreign patents that may grant from these applications, will expire no earlier than November 30, 2035.</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2018, we filed a U.S. and PCT applications which claim gastro-resistant, controlled release dosage formulations of roluperidone. The terms of any future granted patents in this patent family would expire no earlier than June 21, 2038.</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own two granted patents in Russia, single patents in the U.S. and Europe (Austria, Belgium, Denmark, Finland, France, Germany, Greece, Ireland, Italy, Luxembourg, Netherlands, Norway, Poland, Portugal, Spain, Sweden, Switzerland, Turkey, and United Kingdom), and several pending applications in two patent families that are directed to methods of use of roluperidone to treat negative and other symptoms of schizophrenia, sleep disorders, depression, and other sigma-2 disorders or conditions. Applications from these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4" w:name="page15"/>
    <w:bookmarkEnd w:id="14"/>
    <w:p>
      <w:pPr>
        <w:ind w:right="320"/>
        <w:spacing w:after="0" w:line="282" w:lineRule="auto"/>
        <w:rPr>
          <w:sz w:val="20"/>
          <w:szCs w:val="20"/>
          <w:color w:val="auto"/>
        </w:rPr>
      </w:pPr>
      <w:r>
        <w:rPr>
          <w:rFonts w:ascii="Times New Roman" w:cs="Times New Roman" w:eastAsia="Times New Roman" w:hAnsi="Times New Roman"/>
          <w:sz w:val="18"/>
          <w:szCs w:val="18"/>
          <w:color w:val="auto"/>
        </w:rPr>
        <w:t>families are also currently pending in the United States, Brazil, Canada, Europe, and Russia. The term of the granted U.S. patent is scheduled to expire on January 17, 2033. The foreign patents, as well as any future patents granting in these families, are scheduled to expire no earlier than July 20, 2031.</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Under our agreement with MTPC, we have an exclusive license to U.S. Patent No. 6,720,320, which claims the MIN-117 compound, as well as to corresponding patents in Canada and Europe (Germany, France, Italy, Netherlands, Spain and United Kingdom). The U.S. patent expires no earlier than August 13, 2020, and a patent term extension of up to 5 years may be available. The foreign patents are scheduled to expire no earlier than May 22,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Compositions and Methods of Use</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a granted patent in Australia and several pending applications directed to compositions comprising a low dose of MIN-117 and their use for treating depression, sleep disorders, and improving cognitive impairment in patients with depression. Applications in this family are also pending in the United States, Europe, Australia, Brazil, Canada, Chile, Colombia, Israel, Mexico, New Zealand, Peru, Russia, and South Africa. Patents that grant from these applications will expire no earlier than January 24, 2034. A patent term extension of up to five years may be available in the United States.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own U.S. and EP patent applications directed to the use of MIN-117 to treat anxiety disorders. Any patents granting from these applications would expire no earlier than May 23, 2037.</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2018, we filed a provisional application in the U.S. directed to methods of treating pain comprising the administration of MIN-117.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Seltorexant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our agreement with Janssen, we are an exclusive licensee of European Patent EP2491038, which claims the seltorexant compound and was validated in 39 European countries. The terms of these patents will expire no earlier than October 21, 2030.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Use</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also have rights to a PCT application filed in 2017, which is directed to the use of seltorexant to treat depression. National phase applications based upon this PCT application were filed in 2018, and the terms of any patents issuing from these applications will expire no earlier than March 9, 2037.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own a patent family that is directed to the use of MIN-301 for treating neurologic and psychiatric diseases, including Parkinson’s disease. This patent family includes patents granted in Australia, Canada, Europe (Austria, Belgium, Denmark, France, Germany, Greece, Ireland, Italy, Netherlands, Norway, Portugal, Spain, Sweden, Switzerland, Turkey and United Kingdom), Japan, Mexico and Russia. Applications are pending in the United States, China, and Hong Kong. The terms of any existing and future granted patents in this family will expire no earlier than November 17, 2028. A patent term extension of up to five years may be available in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and Marketing Exclusivity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patent protection, our product candidates may also be eligible for data and marketing exclusivity protection in the U.S., EU and certain other countries. If this protection is available, no competitor may use the data in our marketing application to obtain marketing approval of a generic product during the exclusivity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5" w:name="page16"/>
    <w:bookmarkEnd w:id="15"/>
    <w:p>
      <w:pPr>
        <w:ind w:right="80"/>
        <w:spacing w:after="0" w:line="261" w:lineRule="auto"/>
        <w:rPr>
          <w:sz w:val="20"/>
          <w:szCs w:val="20"/>
          <w:color w:val="auto"/>
        </w:rPr>
      </w:pPr>
      <w:r>
        <w:rPr>
          <w:rFonts w:ascii="Times New Roman" w:cs="Times New Roman" w:eastAsia="Times New Roman" w:hAnsi="Times New Roman"/>
          <w:sz w:val="18"/>
          <w:szCs w:val="18"/>
          <w:color w:val="auto"/>
        </w:rPr>
        <w:t>For small molecules, such as roluperidone, seltorexant and MIN-117, the data and marketing exclusivity period is generally five years in the U.S. and ten years in the EU, measured from the FDA and EU approval dates, respectively. If MIN-301 is approved as a biologic product, it may be eligible for a data and marketing exclusivity period of twelve years in the U.S. and ten years in the EU. The data and marketing exclusivity periods in the U.S. and EU may be extended by 6 months of pediatric exclusivity if a qualifying pediatric study is performed.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began to expand our internal capabilities related to commercial planning, strategic product development and product marketing in late 2017. Except for most of Asia, we have global commercialization rights for two of our product candidates, roluperidone and MIN-117, and European Union commercialization rights for seltorexant. We have worldwide rights for MIN-301. We believe that it will be possible for us to access European and, in the case of roluperidone, MIN-117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marketing approval.</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to receiving marketing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and Marketing Authorization in the European Union</w:t>
      </w:r>
    </w:p>
    <w:p>
      <w:pPr>
        <w:spacing w:after="0" w:line="2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Europe, a clinical trial application, or CTA, must currently be submitted to the competent national regulatory authority and to independent ethics committees in each country in which we intend to conduct clinical trials. Once the CTA is approved in accordance with that country’s requirements, clinical trial development may proceed in that country. Under the new Regulation on Clinical Trials, which is expected to take effect in 2019,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In all cases, the clinical trials must be conducted in accordance with good clinical practices and other applicable regulatory requirements and medicines used in clinical trials must be manufactured in accordance with good manufacturing practices. A clinical trial may only be undertaken subject to certain conditions. The relevant ethics committee must give its opinion, before a clinical trial commences, on any issue requested. Clinical trials information must be entered into a European database. There are strict requirements in relation to the labeling and packaging of our product candidates, the verification of compliance with the provisions on good clinical and manufacturing practice and the notification of adverse events and serious adverse reactions.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European Union regulatory systems, a company may not market a medicinal product without marketing authorization.</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four procedures for submitting a Marketing Authorization Application, or MAA, in the EU: (i) the national procedure, (ii) the mutual recognition procedure, or MRP; (iii) the decentralized, or DCP and (iv) the centralized procedure, or CP. The submission strategy for a given product will depend on the nature of the product, the target indication(s), the history of the product, and the marketing plan. The centralized procedure is compulsory for certain medicinal products which are produced by biotechnology processes, advanced therapy medicinal products and orphans. Besides the products falling under the mandatory scope, the centralized procedure is also open for medicinal products that constitute a significant therapeutic, scientific or technical innovation i.e. new active substances or other medicinal products that constitute a significant therapeutic, scientific or technical innovation.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ind w:right="80"/>
        <w:spacing w:after="0" w:line="254" w:lineRule="auto"/>
        <w:rPr>
          <w:sz w:val="20"/>
          <w:szCs w:val="20"/>
          <w:color w:val="auto"/>
        </w:rPr>
      </w:pPr>
      <w:r>
        <w:rPr>
          <w:rFonts w:ascii="Times New Roman" w:cs="Times New Roman" w:eastAsia="Times New Roman" w:hAnsi="Times New Roman"/>
          <w:sz w:val="18"/>
          <w:szCs w:val="18"/>
          <w:color w:val="auto"/>
        </w:rPr>
        <w:t>The centralized procedure leads to approval of the product in all 28 EU member states and in Norway, Iceland and Liechtenstein, collectively referred to herein as the EEA. Submission of one MAA thus leads to one assessment process and one authorization that allows access to the market of the entire EEA. The process of the centralized procedure is triggered when the applicant submits an MAA to the EMA. The letter of intent also initiates the assignment of the Rapporteur and Co-Rapporteur, who are the two appointed members of the Committee for Human Medicinal Products, or CHMP, representing two EU member states. Under the centralized procedure, the maximum timeframe for the evaluation of an MAA by the EMA is 210 days. This excludes so-called clock stops, during which additional written or oral information is to be provided by the applicant in response to questions asked by the Committee for Human Medicinal Products, or CHMP. At the end of the review period, the CHMP provides an opinion to the European Commission. If this is opinion favorable, the Commission may then adopt a decision to grant a marketing authorization. In exceptional cases, the CHMP might perform an accelerated review of an MAA in no more than 150 days. This is usually when the product is of major interest from the point of view of public health and, in particular, from the viewpoint of therapeutic innovation.</w:t>
      </w:r>
    </w:p>
    <w:p>
      <w:pPr>
        <w:spacing w:after="0" w:line="1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using the MRP or DCP, the applicant must select which and how many EU member states in which to seek approval. In the case of an MRP, the applicant must initially receive national approval in one EU member state. This will be the so-called reference member state, or RMS, for the MRP. Then, the applicant seeks approval for the product in other EU member states, the so-called concerned member states, or CMS, in a second step: the mutual recognition process. For the DCP, the applicant will approach all chosen member states at the same time. To do so, the applicant will identify the RMS that will assess the submitted MAA and provide the other selected member states with the conclusions und results of the assessment.</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European Union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 innovator company enjoys a period of “data exclusivity” during which their pre-clinical and clinical trials data may not be referenced in the regulatory filings of another company (typically a generic company) for the same drug substance.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Data exclusivity in Europe is 8 years from the date of first authorization in Europe with an additional period of 2 years of “market exclusivity.” This is the period of time during which a generic company may not market an equivalent generic version of the originator’s pharmaceutical product. An additional 1 year may be obtained where the innovator company is granted a marketing authorization within the above 8-year period for a significant new indication for the relevant medicinal product.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Pediatric Regulation provides that an application for a new marketing authorization must include the results of all trials performed and details of all information collected in compliance with an agreed pediatric investigation plan, or PIP, unless a deferral or waiver applies on the basis that pediatric use is not relevant - also the requirement can be deferred by agreement.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When the application for marketing authorization is made, the competent authority responsible for granting a marketing authorization must verify whether the application complies with the relevant requirements, including compliance with the agreed PIP. Assuming it does, the marketing authorization may be granted and the relevant results are included in the summary of product characteristics, or SmPC, for the product, along with a statement indicating compliance with the agreed PIP. The applicant then receives the six month extension to the SPC. It is not necessary for the product actually to be indicated for use in the pediatric population (for example, if the results show that that would not be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Approval Process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products are subject to extensive regulation by the FDA. The Federal Food, Drug, and Cosmetic Act, or the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or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8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a qualified investigator. Clinical trials must be conducted in compliance with federal regulations, good clinical practices, or GCP, which include the ethical principles that all research subjects provide their informed consent in writing for their participation in any clinical trial, and that all trials be approved and monitored on an ongoing basis by an institutional review board, or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or NIH, for public dissemination on their clinicaltrials.gov website.</w:t>
      </w:r>
    </w:p>
    <w:p>
      <w:pPr>
        <w:spacing w:after="0" w:line="19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is subject to the Current Good Manufacturing Practices, or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may suspend or terminate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black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FDA review and approval.</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announced and unannounced inspections by the FDA and these state agencies for compliance with cGMP and other regulatory requirements. Changes to the manufacturing process are strictly regulated and may require prior FDA approval or notification before being implemented. FDA regulations also require investigation and correction of any deviations from cGMP and impose reporting and documentation requirements upon the sponsor and any third-party manufacturers that the sponsor may decide to use.</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trials or clinical trials to assess new safety risks; or imposition of distribution or other restrictions under a REMS program. Other potential consequences include, among other things:</w:t>
      </w:r>
    </w:p>
    <w:p>
      <w:pPr>
        <w:spacing w:after="0" w:line="180"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Letters, Warning Letters or holds on post-approval clinical trials;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administrative civil or criminal penalties, including fines and imprisonment.</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agencies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w:t>
      </w:r>
    </w:p>
    <w:p>
      <w:pPr>
        <w:spacing w:after="0" w:line="18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among others, related to product and tracking and tracing.</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the European Union, holders of a marketing authorization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All new European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t>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 Applicable state anti-kickback and false claims laws may be broader in scope than federal law and may apply regardless of payor, in addition to items and services reimbursed under Medicaid and other state programs.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also be subject to state laws governing the privacy and security of health information in certain circumstances, many of which differ from each other in significant ways and often are not preempted by the Health Insurance and Portability and Accountability Act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84"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260"/>
        <w:spacing w:after="0" w:line="282" w:lineRule="auto"/>
        <w:rPr>
          <w:sz w:val="20"/>
          <w:szCs w:val="20"/>
          <w:color w:val="auto"/>
        </w:rPr>
      </w:pPr>
      <w:r>
        <w:rPr>
          <w:rFonts w:ascii="Times New Roman" w:cs="Times New Roman" w:eastAsia="Times New Roman" w:hAnsi="Times New Roman"/>
          <w:sz w:val="18"/>
          <w:szCs w:val="18"/>
          <w:color w:val="auto"/>
        </w:rPr>
        <w:t>cannot provide any assurances that we will be able to obtain and maintain governmental or private third-party coverage or adequate reimbursement for our product candidates in whole or in part.</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22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6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major legislative initiatives, including the Patient Protection and Affordable Care Act of 2010, as amended by the Health Care and Education Reconciliation Act of 2010, or collectively,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judicial and congressional challenges to the ACA,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While Congress has not passed comprehensive repeal legislation, two bills affecting the implementation of certain taxes under the ACA have been signed into law, including the repeal, effective January 1, 2019, of the tax-based shared responsibility payment imposed by the ACA on certain individuals who fail to maintain qualifying health coverage for all or part of a year that is commonly referred to as the “individual mandate” and delays in the implementation of the so-called “Cadillac” tax on certain high cost employer-sponsored insurance plans, the annual fee imposed on certain health insurance providers based on market share, and the medical device excise tax on imposed on certain non-exempt medical devices. Further, the Bipartisan Budget Act of 2018, or the BBA,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adjustment program in response to the outcome of federal district court litigation regarding the method CMS uses to determine this risk adjustment. Congress could still consider other legislation to repeal or repeal and replace all or portions of the ACA. Additionally, on December 14, 2018, a Texas U.S. District Court Judge ruled that the 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Foreign Corrupt Practices Act</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withdrawal of the United Kingdom from the European Union is expected to take effect either on the effective date of the withdrawal agreement to be negotiated by the parties or, in the absence of agreement, two years after the United Kingdom provided the notice of withdrawal pursuant to the Treaty on European Union, or on March 29, 2019.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immediately following Brexit, it is expected that the United Kingdom’s regulatory regime will remain aligned to European regulations. It remains to be seen how, if at all, Brexit will impact regulatory requirements for product candidates and products in the United Kingdom. In the longer term, Brexit could materially impact the future regulatory regime which applies to products and the approval of product candidates in the United Kingdom.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2018, we had 13 full-time employees. In addition, we are or have engaged with a number of consultants and companies, including Pharma Partnering in Research &amp; Strategy SAS, or PPRS, that provide expertise in the key functions involved with the development of our products. None of our employees is subject to a collective bargaining agreement and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current reports on Form 8-K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6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23" w:name="page24"/>
    <w:bookmarkEnd w:id="23"/>
    <w:p>
      <w:pPr>
        <w:ind w:right="140"/>
        <w:spacing w:after="0" w:line="282" w:lineRule="auto"/>
        <w:rPr>
          <w:sz w:val="20"/>
          <w:szCs w:val="20"/>
          <w:color w:val="auto"/>
        </w:rPr>
      </w:pPr>
      <w:r>
        <w:rPr>
          <w:rFonts w:ascii="Times New Roman" w:cs="Times New Roman" w:eastAsia="Times New Roman" w:hAnsi="Times New Roman"/>
          <w:sz w:val="18"/>
          <w:szCs w:val="18"/>
          <w:color w:val="auto"/>
        </w:rPr>
        <w:t>We are not profitable and have incurred losses in each period since our inception in 2007. For the year ended December 31, 2018, and 2017, we reported net losses of $50.2 million and $31.5 million, respectively. As of December 31, 2018, we had an accumulated deficit of $214.6 million.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2018, we had cash, cash equivalents, restricted cash, and marketable securities of $88.1 million. We believe that our existing cash, cash equivalents, restricted cash, and marketable securities will be sufficient to meet our cash commitments for at least the next 12 months after the date that the year-end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2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40" w:right="800" w:hanging="519"/>
        <w:spacing w:after="0" w:line="265" w:lineRule="auto"/>
        <w:tabs>
          <w:tab w:leader="none" w:pos="10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ind w:left="1040" w:right="460" w:hanging="519"/>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40" w:right="140" w:hanging="519"/>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recently passed comprehensive tax reform bill could adversely affect our business and financial condition.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December 22, 2017, President Trump signed into law new legislation that significantly revises the Internal Revenue Code of 1986, as amended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existing NOL carryforwards may be limited as a result of issuance of equity securities.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2018, we had approximately $53.9 million of Federal NOL carryforwards. These Federal NOL carryforwards will begin to expire at various dates beginning in 2027, if not utilized. Under the newly enacted Federal income tax law, Federal NOLs incurred in 2018 and in future years may be carried forward indefinitely, but the deductibility of such Federal NOLs is limited. We plan to use our operating losses to offset any potential future taxable income generated from operations or collaborations. To the extent we generate taxable income, we plan to use our existing NOL carryforwards and future losses to offset income that would otherwise be taxable. If substantial changes in ownership have occurred, there could be annual limitations on the amount of carryforwards that can be realized in future periods. We have not performed a detailed analysis to determine whether an ownership change occurred upon consummation of the merger between us and Sonkei, upon the acquisition of Mind-NRG or our initial public offering, the concurrent private placements or our subsequent public offerings. However, as a result of these transactions, it is likely that an ownership change has occurred. Therefore, it is likely that some or all of our existing NOL carryforwards would be limited by the provisions of Section 382 of the Code. Further, state NOL carryforwards may be similarly limited. We had approximately $48.3 million of state net operating carryforwards at December 31, 2018. It is also possible that future changes in ownership, including as a result of subsequent sales of securities by us or our stockholders, could similarly limit our ability to utilize NOL carryforwards. It is possible that all of our existing NOL carryforwards have been or will be disallowed.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or NDA, or Biologics License Application, or BLA, requires a payment of a significant user fee upon submission. The filing of marketing applications for our product candidates may be delayed due to our lack of financial resources to pay such user fee.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5" w:name="page26"/>
    <w:bookmarkEnd w:id="25"/>
    <w:p>
      <w:pPr>
        <w:ind w:right="20"/>
        <w:spacing w:after="0" w:line="256"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hanging="519"/>
        <w:spacing w:after="0" w:line="254"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spacing w:after="0" w:line="3" w:lineRule="exact"/>
        <w:rPr>
          <w:rFonts w:ascii="Times New Roman" w:cs="Times New Roman" w:eastAsia="Times New Roman" w:hAnsi="Times New Roman"/>
          <w:sz w:val="18"/>
          <w:szCs w:val="18"/>
          <w:color w:val="auto"/>
        </w:rPr>
      </w:pPr>
    </w:p>
    <w:p>
      <w:pPr>
        <w:ind w:left="1040" w:right="440" w:hanging="519"/>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FDA or other regulatory authorities that a product candidate is safe and effective for its proposed indication.</w:t>
      </w:r>
    </w:p>
    <w:p>
      <w:pPr>
        <w:ind w:left="1040" w:right="360" w:hanging="519"/>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FDA or other regulatory authorities for approval.</w:t>
      </w: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our interpretation of data from pre-clinical studies or clinical trials.</w:t>
      </w:r>
    </w:p>
    <w:p>
      <w:pPr>
        <w:spacing w:after="0" w:line="9" w:lineRule="exact"/>
        <w:rPr>
          <w:rFonts w:ascii="Times New Roman" w:cs="Times New Roman" w:eastAsia="Times New Roman" w:hAnsi="Times New Roman"/>
          <w:sz w:val="18"/>
          <w:szCs w:val="18"/>
          <w:color w:val="auto"/>
        </w:rPr>
      </w:pPr>
    </w:p>
    <w:p>
      <w:pPr>
        <w:ind w:left="1040" w:right="420" w:hanging="519"/>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ind w:left="1040" w:right="100" w:hanging="519"/>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fail to approve the manufacturing processes or facilities of third-party manufacturers with which we contract for clinical and commercial supplies.</w:t>
      </w:r>
    </w:p>
    <w:p>
      <w:pPr>
        <w:ind w:left="1040" w:right="40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EMA, FDA or other regulatory authorities may significantly change in a manner rendering our clinical data insufficient for approval.</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5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plan to conduct our clinical trials outside the United States. Although the FDA may accept data from clinical trials conducted outside the United States, acceptance of this data would be subject to certain conditions imposed by the FDA. For example, the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8"/>
          <w:szCs w:val="18"/>
          <w:color w:val="auto"/>
        </w:rPr>
        <w:t>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225" w:lineRule="exact"/>
        <w:rPr>
          <w:sz w:val="20"/>
          <w:szCs w:val="20"/>
          <w:color w:val="auto"/>
        </w:rPr>
      </w:pPr>
    </w:p>
    <w:p>
      <w:pPr>
        <w:ind w:left="1040" w:right="720" w:hanging="519"/>
        <w:spacing w:after="0" w:line="261"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ind w:left="1040" w:right="18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40" w:right="90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40" w:right="300" w:hanging="519"/>
        <w:spacing w:after="0" w:line="265" w:lineRule="auto"/>
        <w:tabs>
          <w:tab w:leader="none" w:pos="10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9" w:lineRule="exact"/>
        <w:rPr>
          <w:rFonts w:ascii="Times New Roman" w:cs="Times New Roman" w:eastAsia="Times New Roman" w:hAnsi="Times New Roman"/>
          <w:sz w:val="18"/>
          <w:szCs w:val="18"/>
          <w:color w:val="auto"/>
        </w:rPr>
      </w:pPr>
    </w:p>
    <w:p>
      <w:pPr>
        <w:ind w:left="1040" w:right="16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or ethics committee approval to conduct a trial at a prospective site, or complying with conditions imposed by IRBs or ethics committees;</w:t>
      </w:r>
    </w:p>
    <w:p>
      <w:pPr>
        <w:ind w:left="1040" w:right="18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4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two of our product candidates, roluperidone and MIN-117;</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by the European Union national regulatory authorities, the FDA or IRBs or ethics committees.</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176"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40" w:right="80" w:hanging="519"/>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EMA, FDA or other comparable foreign regulatory authorities that ultimately result in the imposition of a clinical hold;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2, which makes it difficult to assess our ability to develop and commercialize our product candidates.</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2,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225"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9" w:lineRule="exact"/>
        <w:rPr>
          <w:rFonts w:ascii="Times New Roman" w:cs="Times New Roman" w:eastAsia="Times New Roman" w:hAnsi="Times New Roman"/>
          <w:sz w:val="18"/>
          <w:szCs w:val="18"/>
          <w:color w:val="auto"/>
        </w:rPr>
      </w:pPr>
    </w:p>
    <w:p>
      <w:pPr>
        <w:ind w:left="1040" w:right="420" w:hanging="519"/>
        <w:spacing w:after="0" w:line="261"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and MIN-117 due to the mental health of the subjects that we will need to enroll, related diagnoses and drop-out rates.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although we believe our Phase 2b trial with roluperidone met its primary endpoint as we observed the statistically significant benefit of roluperidone over placebo in improving negative symptoms in patients with schizophrenia, we must conduct a Phase 3 trial with roluperidone, which may fail to demonstrate safety and efficacy. Our Phase 2a trial with MIN-117, while we observed a reduction in depressive symptoms, was designed to detect a signal of efficacy and not to demonstrate statistically significant differences between MIN-117 and placebo. Further clinical trials with MIN-117 will need to be statistically powered to demonstrate such differences.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roluperidone and MIN-117 may cause adverse events, including, but not limited to, dizziness, vital sign changes, central nervous system events, cardiac events, including prolongation of the QT/QTc interval,</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and gastrointestinal events. Most product candidates that commence clinical trials are never approved by the applicable regulatory authorities.</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candidates, roluperidone and MIN-117, we are seeking to develop treatments for schizophrenia and MDD, which adds a layer of complexity to our clinical trials and may delay regulatory approval. We do not fully understand the cause and pathophysiology of schizophrenia and MDD, and our results will rely on subjective subject feedback,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roluperidone. As a result, we may forego or delay pursuit of opportunities with other product candidates, including MIN-117, seltorexant and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marketing approval to commercialize a product candidate or the approval may be for a more narrow indication than we expect.</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ind w:right="140"/>
        <w:spacing w:after="0" w:line="266" w:lineRule="auto"/>
        <w:rPr>
          <w:sz w:val="20"/>
          <w:szCs w:val="20"/>
          <w:color w:val="auto"/>
        </w:rPr>
      </w:pPr>
      <w:r>
        <w:rPr>
          <w:rFonts w:ascii="Times New Roman" w:cs="Times New Roman" w:eastAsia="Times New Roman" w:hAnsi="Times New Roman"/>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76" w:lineRule="exact"/>
        <w:rPr>
          <w:sz w:val="20"/>
          <w:szCs w:val="20"/>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such product;</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40" w:right="140" w:hanging="519"/>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comparable foreign regulatory bodies may issue safety alerts, Dear Healthcare Provider letters, press releases or other communications containing warnings about such product;</w:t>
      </w:r>
    </w:p>
    <w:p>
      <w:pPr>
        <w:ind w:left="1040" w:right="100" w:hanging="519"/>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186"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9" w:lineRule="exact"/>
        <w:rPr>
          <w:rFonts w:ascii="Times New Roman" w:cs="Times New Roman" w:eastAsia="Times New Roman" w:hAnsi="Times New Roman"/>
          <w:sz w:val="18"/>
          <w:szCs w:val="18"/>
          <w:color w:val="auto"/>
        </w:rPr>
      </w:pPr>
    </w:p>
    <w:p>
      <w:pPr>
        <w:ind w:left="1040" w:right="40" w:hanging="519"/>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ongoing clinical studies;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9" w:lineRule="exact"/>
        <w:rPr>
          <w:rFonts w:ascii="Times New Roman" w:cs="Times New Roman" w:eastAsia="Times New Roman" w:hAnsi="Times New Roman"/>
          <w:sz w:val="18"/>
          <w:szCs w:val="18"/>
          <w:color w:val="auto"/>
        </w:rPr>
      </w:pPr>
    </w:p>
    <w:p>
      <w:pPr>
        <w:ind w:left="1040" w:right="240" w:hanging="519"/>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ind w:right="20"/>
        <w:spacing w:after="0" w:line="258" w:lineRule="auto"/>
        <w:rPr>
          <w:sz w:val="20"/>
          <w:szCs w:val="20"/>
          <w:color w:val="auto"/>
        </w:rPr>
      </w:pPr>
      <w:r>
        <w:rPr>
          <w:rFonts w:ascii="Times New Roman" w:cs="Times New Roman" w:eastAsia="Times New Roman" w:hAnsi="Times New Roman"/>
          <w:sz w:val="18"/>
          <w:szCs w:val="18"/>
          <w:color w:val="auto"/>
        </w:rPr>
        <w:t>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8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insomnia,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other than seltorexant, in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2" w:name="page33"/>
    <w:bookmarkEnd w:id="32"/>
    <w:p>
      <w:pPr>
        <w:ind w:right="180"/>
        <w:spacing w:after="0" w:line="282" w:lineRule="auto"/>
        <w:rPr>
          <w:sz w:val="20"/>
          <w:szCs w:val="20"/>
          <w:color w:val="auto"/>
        </w:rPr>
      </w:pPr>
      <w:r>
        <w:rPr>
          <w:rFonts w:ascii="Times New Roman" w:cs="Times New Roman" w:eastAsia="Times New Roman" w:hAnsi="Times New Roman"/>
          <w:sz w:val="18"/>
          <w:szCs w:val="18"/>
          <w:color w:val="auto"/>
        </w:rPr>
        <w:t>develop drugs that are more effective, more convenient, more widely used, less costly and/or have a better safety profile than our products, and competitors may also be more successful than us in manufacturing and marketing their products.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88"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40" w:right="160" w:hanging="519"/>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3" w:name="page34"/>
    <w:bookmarkEnd w:id="33"/>
    <w:p>
      <w:pPr>
        <w:ind w:right="120"/>
        <w:spacing w:after="0" w:line="282" w:lineRule="auto"/>
        <w:rPr>
          <w:sz w:val="20"/>
          <w:szCs w:val="20"/>
          <w:color w:val="auto"/>
        </w:rPr>
      </w:pPr>
      <w:r>
        <w:rPr>
          <w:rFonts w:ascii="Times New Roman" w:cs="Times New Roman" w:eastAsia="Times New Roman" w:hAnsi="Times New Roman"/>
          <w:sz w:val="18"/>
          <w:szCs w:val="18"/>
          <w:color w:val="auto"/>
        </w:rPr>
        <w:t>capabilities or make arrangements with third parties to perform these services. We may not be successful in doing so on commercially reasonable terms or at all.</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180"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40" w:right="20" w:hanging="519"/>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40" w:right="320" w:hanging="519"/>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58"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ind w:right="80"/>
        <w:spacing w:after="0" w:line="255" w:lineRule="auto"/>
        <w:rPr>
          <w:sz w:val="20"/>
          <w:szCs w:val="20"/>
          <w:color w:val="auto"/>
        </w:rPr>
      </w:pPr>
      <w:r>
        <w:rPr>
          <w:rFonts w:ascii="Times New Roman" w:cs="Times New Roman" w:eastAsia="Times New Roman" w:hAnsi="Times New Roman"/>
          <w:sz w:val="18"/>
          <w:szCs w:val="18"/>
          <w:color w:val="auto"/>
        </w:rPr>
        <w:t>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some of the proposed measures will require authorization through additional legislation to become effective, U.S. Congress and the Trump administration have indicated that they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ind w:right="80"/>
        <w:spacing w:after="0" w:line="266" w:lineRule="auto"/>
        <w:rPr>
          <w:sz w:val="20"/>
          <w:szCs w:val="20"/>
          <w:color w:val="auto"/>
        </w:rPr>
      </w:pPr>
      <w:r>
        <w:rPr>
          <w:rFonts w:ascii="Times New Roman" w:cs="Times New Roman" w:eastAsia="Times New Roman" w:hAnsi="Times New Roman"/>
          <w:sz w:val="18"/>
          <w:szCs w:val="18"/>
          <w:color w:val="auto"/>
        </w:rPr>
        <w:t>encourage importation from other countries and bulk purchasing.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example, in March 2010, President Obama signed into law the Patient Protection and Affordable Care Act, as amended by the Health Care and Education Reconciliation Act of 2010, or, collectively, the ACA, a law intended to, among other things,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Since the ACA’s enactment, there have been judicial and Congressional challenges to certain aspects of the ACA, and we expect there will be additional challenges and amendments to the ACA in the future. For example, the Tax Cuts and Jobs Act of 2017, or the Tax Act,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Since the enactment of the Tax Act, there have been additional amendments to certain provisions of the ACA, and we expect the current Trump administration and Congress will likely continue to seek to modify, repeal or otherwise invalidate the entirety, or certain provisions of the ACA. Additionally, on December 14, 2018, a Texas U.S. District Court Judge ruled that the 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40" w:right="140" w:hanging="519"/>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9" w:lineRule="exact"/>
        <w:rPr>
          <w:rFonts w:ascii="Times New Roman" w:cs="Times New Roman" w:eastAsia="Times New Roman" w:hAnsi="Times New Roman"/>
          <w:sz w:val="18"/>
          <w:szCs w:val="18"/>
          <w:color w:val="auto"/>
        </w:rPr>
      </w:pPr>
    </w:p>
    <w:p>
      <w:pPr>
        <w:ind w:left="1040" w:right="320" w:hanging="519"/>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2018, we had 13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76"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40" w:right="220" w:hanging="519"/>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27"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party to a loan and security agreement that contains operating and financial covenants that may restrict our business and financing activities.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16, 2015, we entered into a Loan and Security Agreement with Oxford Finance LLC and Silicon Valley Bank, providing for term loans to us in an aggregate principal amount of up to $15 million (the “Term Loans”), in two tranches of $10 million and $5 million, respectively. We borrowed the first tranche in January 2015. In June 2016, we irrevocably elected not to borrow the additional $5 million available under the Term Loans. Borrowings under this loan and security agreement are secured by substantially all of our assets, excluding certain intellectual property rights. The loan and security agreement restricts our ability, among other things, to:</w:t>
      </w:r>
    </w:p>
    <w:p>
      <w:pPr>
        <w:spacing w:after="0" w:line="184" w:lineRule="exact"/>
        <w:rPr>
          <w:sz w:val="20"/>
          <w:szCs w:val="20"/>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our business or property, subject to limited exceptions;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to our business or management;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resulting in significant changes to the voting control of our stock;</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changes to our organizational structure;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other entities or acquire other entities;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create encumbrances on our assets;</w:t>
      </w:r>
    </w:p>
    <w:p>
      <w:pPr>
        <w:spacing w:after="0" w:line="9" w:lineRule="exact"/>
        <w:rPr>
          <w:rFonts w:ascii="Times New Roman" w:cs="Times New Roman" w:eastAsia="Times New Roman" w:hAnsi="Times New Roman"/>
          <w:sz w:val="18"/>
          <w:szCs w:val="18"/>
          <w:color w:val="auto"/>
        </w:rPr>
      </w:pPr>
    </w:p>
    <w:p>
      <w:pPr>
        <w:ind w:left="1040" w:right="220" w:hanging="519"/>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other than dividends paid solely in shares of our common stock, or make distributions on and, in certain cases, repurchase our stock;</w:t>
      </w: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our affiliates;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subordinated indebtedness; or</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0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we are required under our loan agreement to comply with various affirmative operating covenants. The operating covenants and restrictions and obligations in our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8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available to repay our debt obligations when they become due and payable, either as when such obligations become due, when they mature, or in the event of a default, we may not be able to obtain additional debt or equity financing on favorable terms, if at all, which may negatively impact our business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Loans matured on August 1, 2018 and we made a final repayment in the amount of $510 thousand on such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180"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ind w:left="1040" w:right="460" w:hanging="519"/>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185" w:lineRule="exact"/>
        <w:rPr>
          <w:sz w:val="20"/>
          <w:szCs w:val="20"/>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right="180"/>
        <w:spacing w:after="0" w:line="282" w:lineRule="auto"/>
        <w:rPr>
          <w:sz w:val="20"/>
          <w:szCs w:val="20"/>
          <w:color w:val="auto"/>
        </w:rPr>
      </w:pPr>
      <w:r>
        <w:rPr>
          <w:rFonts w:ascii="Times New Roman" w:cs="Times New Roman" w:eastAsia="Times New Roman" w:hAnsi="Times New Roman"/>
          <w:sz w:val="18"/>
          <w:szCs w:val="18"/>
          <w:color w:val="auto"/>
        </w:rPr>
        <w:t>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Further, in our first annual report required to be filed with the SEC following the date we are no longer an “emerging growth company,” as defined in the JOBS Act, our independent registered public accounting firm will be required to attest to the effectiveness of our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8"/>
          <w:szCs w:val="18"/>
          <w:color w:val="auto"/>
        </w:rPr>
        <w:t>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224" w:lineRule="exact"/>
        <w:rPr>
          <w:sz w:val="20"/>
          <w:szCs w:val="20"/>
          <w:color w:val="auto"/>
        </w:rPr>
      </w:pPr>
    </w:p>
    <w:p>
      <w:pPr>
        <w:ind w:left="1040" w:right="60" w:hanging="519"/>
        <w:spacing w:after="0" w:line="254"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Times New Roman" w:cs="Times New Roman" w:eastAsia="Times New Roman" w:hAnsi="Times New Roman"/>
          <w:sz w:val="18"/>
          <w:szCs w:val="18"/>
          <w:color w:val="auto"/>
        </w:rPr>
      </w:pPr>
    </w:p>
    <w:p>
      <w:pPr>
        <w:ind w:left="1040" w:hanging="519"/>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Times New Roman" w:cs="Times New Roman" w:eastAsia="Times New Roman" w:hAnsi="Times New Roman"/>
          <w:sz w:val="18"/>
          <w:szCs w:val="18"/>
          <w:color w:val="auto"/>
        </w:rPr>
      </w:pPr>
    </w:p>
    <w:p>
      <w:pPr>
        <w:ind w:left="1040" w:right="340" w:hanging="519"/>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ind w:left="1040" w:right="80" w:hanging="519"/>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Times New Roman" w:cs="Times New Roman" w:eastAsia="Times New Roman" w:hAnsi="Times New Roman"/>
          <w:sz w:val="18"/>
          <w:szCs w:val="18"/>
          <w:color w:val="auto"/>
        </w:rPr>
      </w:pPr>
    </w:p>
    <w:p>
      <w:pPr>
        <w:ind w:left="1040" w:right="220" w:hanging="519"/>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Times New Roman" w:cs="Times New Roman" w:eastAsia="Times New Roman" w:hAnsi="Times New Roman"/>
          <w:sz w:val="18"/>
          <w:szCs w:val="18"/>
          <w:color w:val="auto"/>
        </w:rPr>
      </w:pPr>
    </w:p>
    <w:p>
      <w:pPr>
        <w:ind w:left="1040" w:right="140" w:hanging="519"/>
        <w:spacing w:after="0" w:line="271" w:lineRule="auto"/>
        <w:tabs>
          <w:tab w:leader="none" w:pos="1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1" w:name="page42"/>
    <w:bookmarkEnd w:id="41"/>
    <w:p>
      <w:pPr>
        <w:ind w:left="1040" w:right="120"/>
        <w:spacing w:after="0" w:line="261" w:lineRule="auto"/>
        <w:rPr>
          <w:sz w:val="20"/>
          <w:szCs w:val="20"/>
          <w:color w:val="auto"/>
        </w:rPr>
      </w:pPr>
      <w:r>
        <w:rPr>
          <w:rFonts w:ascii="Times New Roman" w:cs="Times New Roman" w:eastAsia="Times New Roman" w:hAnsi="Times New Roman"/>
          <w:sz w:val="18"/>
          <w:szCs w:val="18"/>
          <w:color w:val="auto"/>
        </w:rPr>
        <w:t>covering up by any trick or device a material fact or making any materially false statements in connection with the delivery of, or payment for, healthcare benefits, items or services relating to healthcare matters.</w:t>
      </w:r>
    </w:p>
    <w:p>
      <w:pPr>
        <w:ind w:left="1040" w:right="200" w:hanging="519"/>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2" w:lineRule="exact"/>
        <w:rPr>
          <w:rFonts w:ascii="Times New Roman" w:cs="Times New Roman" w:eastAsia="Times New Roman" w:hAnsi="Times New Roman"/>
          <w:sz w:val="18"/>
          <w:szCs w:val="18"/>
          <w:color w:val="auto"/>
        </w:rPr>
      </w:pPr>
    </w:p>
    <w:p>
      <w:pPr>
        <w:ind w:left="1040" w:right="380" w:hanging="519"/>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1040" w:right="640" w:hanging="519"/>
        <w:spacing w:after="0" w:line="250"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1040" w:right="220" w:hanging="519"/>
        <w:spacing w:after="0" w:line="265" w:lineRule="auto"/>
        <w:tabs>
          <w:tab w:leader="none" w:pos="10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4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8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right="440"/>
        <w:spacing w:after="0" w:line="282" w:lineRule="auto"/>
        <w:rPr>
          <w:sz w:val="20"/>
          <w:szCs w:val="20"/>
          <w:color w:val="auto"/>
        </w:rPr>
      </w:pPr>
      <w:r>
        <w:rPr>
          <w:rFonts w:ascii="Times New Roman" w:cs="Times New Roman" w:eastAsia="Times New Roman" w:hAnsi="Times New Roman"/>
          <w:sz w:val="18"/>
          <w:szCs w:val="18"/>
          <w:color w:val="auto"/>
        </w:rPr>
        <w:t>violate the FCPA, even if they occur wholly outside the United States, can result in criminal and civil fines, imprisonment, disgorgement, oversight, and debarment from government contracts.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October 2015, the Court of Justice of the European Union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(“EEA”) and the U.S. to ensure that all data transfers to us comply with EU data protection laws. In February 2016, the EU Commission announced that it had reached agreement with the U.S. replacement regime to the Safe Harbor Framework.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 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 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8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3" w:name="page44"/>
    <w:bookmarkEnd w:id="43"/>
    <w:p>
      <w:pPr>
        <w:ind w:right="360"/>
        <w:spacing w:after="0" w:line="266" w:lineRule="auto"/>
        <w:rPr>
          <w:sz w:val="20"/>
          <w:szCs w:val="20"/>
          <w:color w:val="auto"/>
        </w:rPr>
      </w:pPr>
      <w:r>
        <w:rPr>
          <w:rFonts w:ascii="Times New Roman" w:cs="Times New Roman" w:eastAsia="Times New Roman" w:hAnsi="Times New Roman"/>
          <w:sz w:val="18"/>
          <w:szCs w:val="18"/>
          <w:color w:val="auto"/>
        </w:rPr>
        <w:t>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2"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right="50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8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collaborations with Mitsubishi Tanabe Pharma Corporation, or MTPC, and Janssen Pharmaceutica NV and could be seriously harmed if our license agreements with MTPC and Janssen were terminated.</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exclusively license roluperidone and MIN-117 from MTPC, with the rights to develop, sell and import roluperidone and MIN-117 globally, excluding most of Asia.</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co-development and license agreement with Janssen provides us with European Union commercialization rights for seltorexant and the right to royalties on any sales of seltorexant outside of the European Union. We have assumed strategic control for matters related to the clinical development of seltorexant in insomnia and all financial responsibility for Phase 3 development costs for seltorexant in this indication and will only realize revenues from seltorexant if it is approved and if our license agreement with Janssen is not terminated by Janssen. Janssen may terminate our license agreement following a material breach by us or certain insolvency events, including if we are unable to fund our portion of the development costs. As a result, we may never realize any revenues from the commercialization of seltorexant, even if approved. In addition, at certain development milestones, including the completion of a single dose Phase 1 clinical trial of seltorexant in patients with MDD, Janssen has the right to opt out of its obligation to fund further development, and we may be unable to fund such development without Janssen’s financial support.</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 if we receive revenues on European Union sales or royalties on sales outside of the European Union under the Janssen license agreement, we may not receive revenues that equal or exceed the amount we are obligated to invest in seltorexant’s clinical development under the agreement. As a result, the license agreement for seltorexant may never result in any profits to us and may have a material adverse effect on us or our business prospects.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5" w:name="page46"/>
    <w:bookmarkEnd w:id="45"/>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collaborating with Janssen on the development of seltorexant. We may also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6" w:name="page47"/>
    <w:bookmarkEnd w:id="46"/>
    <w:p>
      <w:pPr>
        <w:ind w:right="20"/>
        <w:spacing w:after="0" w:line="253" w:lineRule="auto"/>
        <w:rPr>
          <w:sz w:val="20"/>
          <w:szCs w:val="20"/>
          <w:color w:val="auto"/>
        </w:rPr>
      </w:pPr>
      <w:r>
        <w:rPr>
          <w:rFonts w:ascii="Times New Roman" w:cs="Times New Roman" w:eastAsia="Times New Roman" w:hAnsi="Times New Roman"/>
          <w:sz w:val="18"/>
          <w:szCs w:val="18"/>
          <w:color w:val="auto"/>
        </w:rPr>
        <w:t>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roluperidone, respectively, are expected to expire as soon as 2021. In addition, our in-licensed U.S. and European patents relating to pharmaceutical compositions and uses of MIN-117 to treat depression are expected to expire as soon as 2020.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6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7" w:name="page48"/>
    <w:bookmarkEnd w:id="47"/>
    <w:p>
      <w:pPr>
        <w:ind w:right="420"/>
        <w:spacing w:after="0" w:line="256" w:lineRule="auto"/>
        <w:rPr>
          <w:sz w:val="20"/>
          <w:szCs w:val="20"/>
          <w:color w:val="auto"/>
        </w:rPr>
      </w:pPr>
      <w:r>
        <w:rPr>
          <w:rFonts w:ascii="Times New Roman" w:cs="Times New Roman" w:eastAsia="Times New Roman" w:hAnsi="Times New Roman"/>
          <w:sz w:val="18"/>
          <w:szCs w:val="18"/>
          <w:color w:val="auto"/>
        </w:rPr>
        <w:t>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0"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1040" w:right="80" w:hanging="519"/>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40" w:right="180" w:hanging="519"/>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40" w:right="160" w:hanging="519"/>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40" w:right="540" w:hanging="519"/>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40" w:right="760" w:hanging="519"/>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w:t>
      </w:r>
    </w:p>
    <w:p>
      <w:pPr>
        <w:spacing w:after="0" w:line="1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49" w:right="319" w:bottom="1440" w:gutter="0" w:footer="0" w:header="0"/>
        </w:sectPr>
      </w:pPr>
    </w:p>
    <w:bookmarkStart w:id="49" w:name="page50"/>
    <w:bookmarkEnd w:id="49"/>
    <w:p>
      <w:pPr>
        <w:ind w:right="600"/>
        <w:spacing w:after="0" w:line="282" w:lineRule="auto"/>
        <w:rPr>
          <w:sz w:val="20"/>
          <w:szCs w:val="20"/>
          <w:color w:val="auto"/>
        </w:rPr>
      </w:pPr>
      <w:r>
        <w:rPr>
          <w:rFonts w:ascii="Times New Roman" w:cs="Times New Roman" w:eastAsia="Times New Roman" w:hAnsi="Times New Roman"/>
          <w:sz w:val="18"/>
          <w:szCs w:val="18"/>
          <w:color w:val="auto"/>
        </w:rPr>
        <w:t>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62" w:lineRule="exact"/>
        <w:rPr>
          <w:sz w:val="20"/>
          <w:szCs w:val="20"/>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1040" w:right="820" w:hanging="519"/>
        <w:spacing w:after="0" w:line="250"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coverage and reimbursement;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50" w:name="page51"/>
    <w:bookmarkEnd w:id="5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capital stock and their respective affiliates beneficially own approximately 47% of our voting stock as of December 31, 2018.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we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up to 9,031,333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year in which we completed our initial public offering, although circumstances could cause us to lose that status earlier, including if the market value of our common stock held by non-affiliates exceeds $700.0 million as of any June 30 before that time or if we have total annual gross revenue of $1.0 billion or more during any fiscal year before that time, in which cases we would no longer be an emerging growth company as of the following December 31 or, if we issue more than $1.0 billion in non-convertible debt during any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51" w:name="page52"/>
    <w:bookmarkEnd w:id="51"/>
    <w:p>
      <w:pPr>
        <w:ind w:right="160"/>
        <w:spacing w:after="0" w:line="266" w:lineRule="auto"/>
        <w:rPr>
          <w:sz w:val="20"/>
          <w:szCs w:val="20"/>
          <w:color w:val="auto"/>
        </w:rPr>
      </w:pPr>
      <w:r>
        <w:rPr>
          <w:rFonts w:ascii="Times New Roman" w:cs="Times New Roman" w:eastAsia="Times New Roman" w:hAnsi="Times New Roman"/>
          <w:sz w:val="18"/>
          <w:szCs w:val="18"/>
          <w:color w:val="auto"/>
        </w:rPr>
        <w:t>three year period before that time, we would cease to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40" w:right="260" w:hanging="519"/>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1040" w:right="100" w:hanging="519"/>
        <w:spacing w:after="0" w:line="250"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40" w:right="20" w:hanging="519"/>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right="240"/>
        <w:spacing w:after="0" w:line="266" w:lineRule="auto"/>
        <w:rPr>
          <w:sz w:val="20"/>
          <w:szCs w:val="20"/>
          <w:color w:val="auto"/>
        </w:rPr>
      </w:pPr>
      <w:r>
        <w:rPr>
          <w:rFonts w:ascii="Times New Roman" w:cs="Times New Roman" w:eastAsia="Times New Roman" w:hAnsi="Times New Roman"/>
          <w:sz w:val="18"/>
          <w:szCs w:val="18"/>
          <w:color w:val="auto"/>
        </w:rPr>
        <w:t>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3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1601 Trapelo Road, Suite 286, Waltham, Massachusetts 02451. We lease this facility, which consists of approximately 5,923 square feet of office space, and the term of our Sublease expires on July 27, 2021. We believe that our existing facility is sufficient for our current needs for the foreseeable future.</w:t>
      </w:r>
    </w:p>
    <w:p>
      <w:pPr>
        <w:spacing w:after="0" w:line="3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53" w:name="page54"/>
    <w:bookmarkEnd w:id="5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traded on the Nasdaq Global Market under the symbol “NERV” since our initial public offering on July 1, 2014.</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March 7, 2019, there were approximately 140 holders of record of our common stock. We believe that the number of beneficial owners of our common stock at that date was substantially greater.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plan information required by this Item is incorporated by reference to the information in Part III, Item 12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we did not issue or sell any unregistered securities not previously disclosed in a Quarterly Report on Form 10-Q or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securities during the quarter ended December 31, 2018.</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54" w:name="page55"/>
    <w:bookmarkEnd w:id="5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product portfolio and potential indications include: roluperidone for the treatment of schizophrenia; seltorexant (also known as MIN-202 or JNJ-42847922), which we are co-developing with Janssen Pharmaceutica NV, or Janssen, for the treatment of insomnia disorder and Major Depressive Disorder, or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November 2013, Cyrenaic Pharmaceuticals, Inc., or Cyrenaic, and Sonkei Pharmaceuticals, Inc., or Sonkei, merged, and the combined company was renamed Minerva Neurosciences, Inc. Cyrenaic had been incorporated in 2007 and had exclusively licensed roluperidone from Mitsubishi Tanabe Pharma Corporation, or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roluperidone and MIN-117 globally, excluding most of Asia.</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further expanded our product candidate portfolio in February 2014 by acquiring the shares of Mind-NRG SA, or Mind-NRG, which had exclusive rights to develop and commercialize MIN-301. In addition, in February 2014 we entered into a co-development and license agreement with Janssen, one of the Janssen Pharmaceutical Companies of Johnson &amp; Johnson, for the co-development of seltorexant. We entered into an amendment to this agreement in June 2017 that took effect on August 29, 2017. Under the amended agreement, we gained global strategic control of the development of seltorexant to treat insomnia, and Janssen waived its right to royalties on seltorexant insomnia sales in the Minerva territory, which includes the European Union, Switzerland, Liechtenstein, Iceland and Norway (the “Minerva Territory”). We retain our rights to seltorexant as adjunctive therapy for MDD, which include an exclusive license in the Minerva Territory with royalties payable by us to Janssen, and royalties on sales payable by Janssen to Minerva elsewhere worldwide. (See Seltorexant – Amendment to Co-Development and License Agreement below.)</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consists of costs incurred in connection with the development of our product 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 direct costs relating to each of our product candidates are summarized as follows (in thousands):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7"/>
        </w:trPr>
        <w:tc>
          <w:tcPr>
            <w:tcW w:w="20" w:type="dxa"/>
            <w:vAlign w:val="bottom"/>
          </w:tcPr>
          <w:p>
            <w:pPr>
              <w:spacing w:after="0"/>
              <w:rPr>
                <w:sz w:val="20"/>
                <w:szCs w:val="20"/>
                <w:color w:val="auto"/>
              </w:rPr>
            </w:pPr>
          </w:p>
        </w:tc>
        <w:tc>
          <w:tcPr>
            <w:tcW w:w="6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xml:space="preserve">2018 </w:t>
            </w:r>
            <w:r>
              <w:rPr>
                <w:rFonts w:ascii="Times New Roman" w:cs="Times New Roman" w:eastAsia="Times New Roman" w:hAnsi="Times New Roman"/>
                <w:sz w:val="12"/>
                <w:szCs w:val="12"/>
                <w:b w:val="1"/>
                <w:bCs w:val="1"/>
                <w:color w:val="auto"/>
              </w:rPr>
              <w:t>(1)</w:t>
            </w:r>
          </w:p>
        </w:tc>
        <w:tc>
          <w:tcPr>
            <w:tcW w:w="2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 xml:space="preserve">2017 </w:t>
            </w:r>
            <w:r>
              <w:rPr>
                <w:rFonts w:ascii="Times New Roman" w:cs="Times New Roman" w:eastAsia="Times New Roman" w:hAnsi="Times New Roman"/>
                <w:sz w:val="12"/>
                <w:szCs w:val="12"/>
                <w:b w:val="1"/>
                <w:bCs w:val="1"/>
                <w:color w:val="auto"/>
              </w:rPr>
              <w:t>(1)</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Roluperidone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MIN-117</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Seltorexant</w:t>
            </w: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MIN-301</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900" w:right="480" w:hanging="514"/>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for the years ended December 31, 2018 and 2017 excludes non cash stock-based compensation expense of $2.257 million and $1.966 million, respectively.</w:t>
      </w:r>
    </w:p>
    <w:p>
      <w:pPr>
        <w:ind w:left="900" w:right="140" w:hanging="514"/>
        <w:spacing w:after="0" w:line="25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$11.2 million represents accrued and unpaid expenses incurred during 2017 under the collaboration agreement with Janssen. These accrued expenses were forgiven upon the effective date of the Amendment to the Co-Development and License Agreement with Janssen, have no cash impact on us and have been included under Deferred Revenue on our balance sheet at December 31, 2018 and 2017.</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on November 30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costs for functions in executive, finance, legal, auditing 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expenses related to operating as a publicly-traded company, including increased audit and legal fees, costs of compliance with securities, corporate governance and other regulations, investor relations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6" w:name="page57"/>
    <w:bookmarkEnd w:id="56"/>
    <w:p>
      <w:pPr>
        <w:ind w:right="140"/>
        <w:spacing w:after="0" w:line="282" w:lineRule="auto"/>
        <w:rPr>
          <w:sz w:val="20"/>
          <w:szCs w:val="20"/>
          <w:color w:val="auto"/>
        </w:rPr>
      </w:pPr>
      <w:r>
        <w:rPr>
          <w:rFonts w:ascii="Times New Roman" w:cs="Times New Roman" w:eastAsia="Times New Roman" w:hAnsi="Times New Roman"/>
          <w:sz w:val="18"/>
          <w:szCs w:val="18"/>
          <w:color w:val="auto"/>
        </w:rPr>
        <w:t>expenses and higher insurance premiums. In addition, we expect to incur additional costs as we hire personnel and enhance our infrastructure to support the anticipated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(Losses) Gains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Foreign exchange (losses) gains are comprised primarily of losses and gains of foreign currency transactions related to 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incurred under our current outstanding loan with Oxford Finance LLC, or Oxford, and Silicon Valley Bank, or SVB.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2018 and 2017, interest expense was related primarily to our loan with Oxford and SVB.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and Tax Carryforwards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2018, we had approximately $53.9 million of federal net operating loss carryforwards. These federal net operating loss carryforwards will begin to expire at various dates beginning in 2027, if not utilized. As of December 31, 2018, we had approximately $48.3 million of state net operating loss carryforwards. During the year ended December 31, 2018, no state operating loss carryforwards had expired.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22, 2017, the President signed into law the tax legislation commonly known as the Tax Cuts and Jobs Act. As part of the legislation, net operating losses created after December 31, 2017 will have an indefinite carryforward period. Additionally, these future net operating losses will be limited to 80% of taxable income for any future period in which they might be used. The legislation does not alter the amount or ability to utilize net operating losses created prior to December 31, 2017.</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legislative change regarding the carryforward period of net operating losses impacts our indefinite lived deferred tax liabilities related to our in-process research and development, or IPR&amp;D intangibles. Prior to the change in tax law, our net operating losses could not be used to offset deferred tax liabilities resulting from taxable temporary differences with an indefinite life. After the legislative change, federal net operating loss incurred after December 31, 2017 will have an indefinite life. As a result, our deductible temporary differences will reverse and create unlimited lived deferred tax assets which may be available to offset indefinite lived deferred tax liabilities. Accordingly, we have recognized a tax benefit for the period ending December 31, 2017 to reflect this reversal pattern.</w:t>
      </w:r>
    </w:p>
    <w:p>
      <w:pPr>
        <w:spacing w:after="0" w:line="188"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The Internal Revenue Code, or IRC, limits the amounts of net operating loss carryforwards that a company may use in any one year in the event of certain cumulative changes in ownership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as described in Section 382 of the IRC. We have not performed a detailed analysis to determine whether an ownership change occurred upon consummation of the merger between us and Sonkei or the acquisition of Mind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NRG. However, as a result of these transactions, our initial public offering and the shares issued to Johnson &amp; Johnson Innovation-JJDC Inc. and shareholders of Mind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NRG as part of the private placements consummated concurrently with our initial public offering, it is likely that an ownership change would occur or has occurred. Such an ownership change could also be triggered by subsequent sales of securities by us or our stockholders. Such a change in ownership would limit the utilization of our net operating losses. As a result, we may not be able to take full advantage of these tax carryforwards for federal tax purposes.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December 31, 2017 (in thousands):</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20" w:type="dxa"/>
            <w:vAlign w:val="bottom"/>
          </w:tcPr>
          <w:p>
            <w:pPr>
              <w:spacing w:after="0"/>
              <w:rPr>
                <w:sz w:val="15"/>
                <w:szCs w:val="15"/>
                <w:color w:val="auto"/>
              </w:rPr>
            </w:pPr>
          </w:p>
        </w:tc>
        <w:tc>
          <w:tcPr>
            <w:tcW w:w="4280" w:type="dxa"/>
            <w:vAlign w:val="bottom"/>
            <w:tcBorders>
              <w:bottom w:val="single" w:sz="8" w:color="CFF0FC"/>
            </w:tcBorders>
          </w:tcPr>
          <w:p>
            <w:pPr>
              <w:spacing w:after="0"/>
              <w:rPr>
                <w:sz w:val="15"/>
                <w:szCs w:val="15"/>
                <w:color w:val="auto"/>
              </w:rPr>
            </w:pPr>
          </w:p>
        </w:tc>
        <w:tc>
          <w:tcPr>
            <w:tcW w:w="19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34,889</w:t>
            </w:r>
          </w:p>
        </w:tc>
        <w:tc>
          <w:tcPr>
            <w:tcW w:w="1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9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80" w:type="dxa"/>
            <w:vAlign w:val="bottom"/>
            <w:shd w:val="clear" w:color="auto" w:fill="CFF0FC"/>
          </w:tcPr>
          <w:p>
            <w:pPr>
              <w:spacing w:after="0"/>
              <w:rPr>
                <w:sz w:val="19"/>
                <w:szCs w:val="19"/>
                <w:color w:val="auto"/>
              </w:rPr>
            </w:pPr>
          </w:p>
        </w:tc>
      </w:tr>
      <w:tr>
        <w:trPr>
          <w:trHeight w:val="45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2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(9,376)</w:t>
            </w:r>
          </w:p>
        </w:tc>
      </w:tr>
      <w:tr>
        <w:trPr>
          <w:trHeight w:val="223"/>
        </w:trPr>
        <w:tc>
          <w:tcPr>
            <w:tcW w:w="2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Total Research and development expenses were $34.9 million for the year ended December 31, 2018 compared to $30.3 million for the same period in 2017, an increase of $4.6 million. The increase in research and development expenses primarily reflects higher development expenses for the Phase 3 clinical trial of roluperidone and the Phase 2b clinical trial of MIN-117. These amounts were partially offset by lower development expenses for the seltorexant program due to the Amendment to our Co-Development and License Agreement with Janssen.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were $16.8 million for the year ended December 31, 2018 compared to $10.9 million for the same period in 2017, an increase of approximately $5.9 million. This increase in general and administrative expenses was primarily due to an increase in non-cash stock-based compensation expenses and salary costs from increased staffing to support our pre-commercial activities.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Foreign exchange losses were $5 thousand for the year ended December 31, 2018 compared to a loss of $57 thousand for the same period in 2017, a decreased loss of $52 thousand. The loss was primarily due to clinical activities denominated in Euros.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was $1.7 million for the year ended December 31, 2018 compared to $0.9 million for the same period in 2017, an increase of $0.8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investment income on cash equivalents and marketable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$0.1 million for the year ended December 31, 2018 compared to $0.6 million for the same period in 2017, a decrease of $0.5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repayment of principal in 2018.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Benefit for income taxes was zero and $9.4 million for the years ended December 31, 2018 and 2017, respectively. On December 22, 2017, the United States enacted tax reform legislation commonly known as the Tax Cuts and Jobs Act (the “Act”), resulting in significant modifications to existing law. In the year ended December 31, 2017, these tax reforms resulted in a benefit of $9.4 million related to future implications of indefinite lived deferred tax positions.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in April 2007 and, as of December 31, 2018, we had an accumulated deficit of approximately $214.6 million. We anticipate that we will continue to incur net losses for the foreseeable future as we continue the development and potential commercialization of our product candidates and to support our operations as a public company. At December 31, 2018, we had approximately $88.1 million in cash, cash equivalents, restricted cash, and marketable securities. We believe that our existing cash, cash equivalents, restricted cash, and marketable securities will be sufficient to meet our cash commitments for at least the next 12 months after the date that the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 We have the ability to adjust our operating plan spending levels based on the timing of future clinical trials which will be predicated upon adequate funding to complete the trials.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Co-Development and License Agreement with Janssen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9" w:name="page60"/>
    <w:bookmarkEnd w:id="59"/>
    <w:p>
      <w:pPr>
        <w:ind w:right="60"/>
        <w:spacing w:after="0" w:line="218" w:lineRule="exact"/>
        <w:rPr>
          <w:sz w:val="20"/>
          <w:szCs w:val="20"/>
          <w:color w:val="auto"/>
        </w:rPr>
      </w:pPr>
      <w:r>
        <w:rPr>
          <w:rFonts w:ascii="Times New Roman" w:cs="Times New Roman" w:eastAsia="Times New Roman" w:hAnsi="Times New Roman"/>
          <w:sz w:val="18"/>
          <w:szCs w:val="18"/>
          <w:color w:val="auto"/>
        </w:rPr>
        <w:t>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Under our $10.0 million Term A Loan (see Note 5), we have made principal repayments of approximately $10.0 million and made a final repayment of all outstanding borrowings on August 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 set forth below.</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780" w:type="dxa"/>
            <w:vAlign w:val="bottom"/>
            <w:gridSpan w:val="2"/>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5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0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$41.9 million during the year ended December 31, 2018 was primarily due to our net loss of $50.2 million, an increase in prepaid expenses of $0.6 million and amortization of investments of $0.1 million, partially offset by stock-based compensation expense of $8.2 million, an increase in accounts payable of $0.4 million and an increase in accrued expenses $0.4 million.</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of approximately $3.1 million during the year ended December 31, 2017 was primarily due to a $41.2 million increase in deferred revenue related to the Amendment, stock-based compensation expense of $5.0 million, a $0.6 million increase in accrued expense and amortization of debt discount of $0.2 million, partially offset by our net loss of $31.5 million, a decrease of $9.4 million in deferred taxes, a decrease in accrued collaborative expense of $2.5 million, and an increase in prepaid expenses of $0.3 million and amortization of investments of $0.2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approximately $69.5 million during the year ended December 31, 2018 was primarily due to the maturity and redemption of marketable securities of $110.2 million, partially offset by the purchase of marketable securities of $40.7 million.</w:t>
      </w:r>
    </w:p>
    <w:p>
      <w:pPr>
        <w:spacing w:after="0" w:line="162" w:lineRule="exact"/>
        <w:rPr>
          <w:sz w:val="20"/>
          <w:szCs w:val="20"/>
          <w:color w:val="auto"/>
        </w:rPr>
      </w:pPr>
    </w:p>
    <w:p>
      <w:pPr>
        <w:jc w:val="both"/>
        <w:ind w:right="7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approximately $107.2 million during the year ended December 31, 2017 was primarily due to the purchase of marketable securities of $134.5 million and the purchase of equipment of $0.1 million, partially offset by the maturity and redemption of marketable securities of $27.4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$3.4 million during the year ended December 31, 2018 was due to principal repayments and payment of an end of term fee under the Term A Loans of $4.0 million, partially offset by the proceeds from the exercise of common stock options of $0.6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$47.2 million during the year ended December 31, 2017 was primarily due to gross proceeds from the July 2017 public stock offering of $44.6 million less costs of $3.0 million, proceeds from the exercise of common stock warrants of $9.4 million, and proceeds from the exercise of common stock options of $1.1 million, partially offset by the principal repayments under the Term A Loans of $4.9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recognize compensation expenses relating to stock-based payment transactions in operating results using a fair-value measurement method, in accordance with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ASC 718 requires all stock-based payments to employees, including grants of employee stock options, to be recognized in operating results as compensation expense based on fair value over the requisite service period of the awards. We determine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is equal to the closing price of our common stock on the date of grant.</w:t>
      </w:r>
    </w:p>
    <w:p>
      <w:pPr>
        <w:spacing w:after="0" w:line="18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 xml:space="preserve">The most critical assumptions used in the Black Scholes option-pricing model are the expected life of options and the expected volatility. The expected life of options granted to employees is estimated using the “simplified” method as defined by the Securities and Exchange Commission’s Staff Accounting Bulletin No. 107,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The expected life of options granted to non-employees is the contractual term of the option. The expected volatility for all options is determined by examining the historical volatilities for industry peer companies, as we did not have sufficient trading history for its common stock.</w:t>
      </w:r>
    </w:p>
    <w:p>
      <w:pPr>
        <w:spacing w:after="0" w:line="1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Grants to non-employees are accounted for in accordance with ASC 505-50 Equity — Based Payments to Non-Employees. The date of expense recognition for grants to non-employees is the earlier of the date at which a commitment for performance by the counterparty to earn the equity instrument is reached or the date at which the counterparty’s performance is complete. We determine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61" w:name="page62"/>
    <w:bookmarkEnd w:id="61"/>
    <w:p>
      <w:pPr>
        <w:ind w:right="100"/>
        <w:spacing w:after="0" w:line="261" w:lineRule="auto"/>
        <w:rPr>
          <w:sz w:val="20"/>
          <w:szCs w:val="20"/>
          <w:color w:val="auto"/>
        </w:rPr>
      </w:pPr>
      <w:r>
        <w:rPr>
          <w:rFonts w:ascii="Times New Roman" w:cs="Times New Roman" w:eastAsia="Times New Roman" w:hAnsi="Times New Roman"/>
          <w:sz w:val="18"/>
          <w:szCs w:val="18"/>
          <w:color w:val="auto"/>
        </w:rPr>
        <w:t>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or IPR&amp;D, assets represent capitalized incomplete research projects that we acquired through business combinations. Such assets are initially measured at their acquisition date fair values. The initial fair value of the research projects is recorded as intangible assets on the balance sheet, rather than expensed, regardless of whether these assets have an alternative future use.</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then remaining useful life of the intangible asset and begin amortization. We test our indefinite-lived intangibles, IPR&amp;D assets, for impairment annually on November 30 and more frequently if events or changes in circumstances indicate that it is more likely than not that the asset is impaired. In estimating the fair value of IPR&amp;D, an income approach was used with a discounted cash flow analysis. Many assumptions and estimates are included in this analysis including revenue and expense projections, probability of success factors, expected product launch date and a weighted average cost of capital of 20.0%.</w:t>
      </w:r>
    </w:p>
    <w:p>
      <w:pPr>
        <w:spacing w:after="0" w:line="185"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Potential triggering events that could indicate whether an impairment to the IPR&amp;D may have occurred include: clinical trial results where the compound under investigation did not meet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criteria or clinical endpoints, failure to obtain regulatory approval, the inability to fund future clinical trials, failure to obtain patent protection, adverse changes in the regulatory environment, the approval of competing therapies or compounds, adverse changes in applicable laws or regulations and a variety of other circumstances. The impairment of IPR&amp;D could have a material adverse impact on our financial condition. In order to determine whether an impairment has occurred, management must evaluate the events and incorporate multiple assumptions including: costs associated with continuing the development program, competing therapies or compounds, potential market size, estimated future cash flows and other factors.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 We test our IPR&amp;D for impairment as of November 30. There was no impairment of IPR&amp;D for the years ended December 31, 2018 or 2017.</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test our goodwill for impairment as of November 30. There was no impairment of goodwill for the years ended December 31, 2018 or 2017.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2018 or 2017.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emerging growth public companies. We are in the process of evaluating the benefits of relying on other exemptions and reduced reporting requirements provided by the JOBS Act. Subject to certain conditions set forth in the JOBS Act, as an “emerging growth company,”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as amended,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earliest of (i) the last day of the fiscal year in which we have total annual gross revenues of $1 billion or more; (ii) the last day of our fiscal year following the fifth anniversary of the date of the completion of our initial public offering; (iii) the date on which we have issued more than $1 billion in nonconvertible debt during the previous 3 years; or (iv) the date on which we are deemed to be a large accelerated filer under the rules of the Securities and Exchange Commission.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FASB and are adopted by us as of the specified effective date. Unless otherwise disclosed in the notes to the financial statements appearing elsewhere in this Form 10-K, we believe that the impact of other recently issued, but not yet adopted, accounting pronouncements will not have a material impact on the financial position, results of operations or cash flows, or do not apply to our operations.</w:t>
      </w:r>
    </w:p>
    <w:p>
      <w:pPr>
        <w:spacing w:after="0" w:line="30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9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365"/>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10860" w:type="dxa"/>
            <w:vAlign w:val="bottom"/>
            <w:gridSpan w:val="8"/>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Report of Independent Registered Public Accounting Firm</w:t>
              </w:r>
            </w:hyperlink>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7"/>
              </w:rPr>
              <w:t>F-1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Consolidated Balance Sheets as of December 31, 2018 and 2017</w:t>
              </w:r>
            </w:hyperlink>
          </w:p>
        </w:tc>
        <w:tc>
          <w:tcPr>
            <w:tcW w:w="6200" w:type="dxa"/>
            <w:vAlign w:val="bottom"/>
            <w:gridSpan w:val="4"/>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F-2</w:t>
            </w:r>
          </w:p>
        </w:tc>
      </w:tr>
      <w:tr>
        <w:trPr>
          <w:trHeight w:val="196"/>
        </w:trPr>
        <w:tc>
          <w:tcPr>
            <w:tcW w:w="10860" w:type="dxa"/>
            <w:vAlign w:val="bottom"/>
            <w:gridSpan w:val="8"/>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Consolidated Statements of Operations for the Years Ended December 31, 2018 and 2017</w:t>
              </w:r>
            </w:hyperlink>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Consolidated Statements of Stockholders’ Equity for the Years Ended December 31, 2018 and 2017</w:t>
              </w:r>
            </w:hyperlink>
          </w:p>
        </w:tc>
        <w:tc>
          <w:tcPr>
            <w:tcW w:w="366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6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Consolidated Statements of Cash Flows for the Years Ended December 31, 2018 and 2017</w:t>
              </w:r>
            </w:hyperlink>
          </w:p>
        </w:tc>
        <w:tc>
          <w:tcPr>
            <w:tcW w:w="4340" w:type="dxa"/>
            <w:vAlign w:val="bottom"/>
            <w:gridSpan w:val="2"/>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3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Notes to Consolidated Financial Statements</w:t>
              </w:r>
            </w:hyperlink>
          </w:p>
        </w:tc>
        <w:tc>
          <w:tcPr>
            <w:tcW w:w="7700" w:type="dxa"/>
            <w:vAlign w:val="bottom"/>
            <w:gridSpan w:val="6"/>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Minerva Neurosciences, Inc. and subsidiaries (the “Company”) as of December 31, 2018 and 2017, the related consolidated statements of operations, shareholders’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0" w:type="dxa"/>
            <w:vAlign w:val="bottom"/>
            <w:tcBorders>
              <w:bottom w:val="single" w:sz="8" w:color="CFF0FC"/>
            </w:tcBorders>
          </w:tcPr>
          <w:p>
            <w:pPr>
              <w:spacing w:after="0"/>
              <w:rPr>
                <w:sz w:val="15"/>
                <w:szCs w:val="15"/>
                <w:color w:val="auto"/>
              </w:rPr>
            </w:pPr>
          </w:p>
        </w:tc>
        <w:tc>
          <w:tcPr>
            <w:tcW w:w="8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50,234,871</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26,051,821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102,109,419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1,921,050</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1,299,184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90,018,360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129,540,424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5,022,982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139,136,045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183,698,558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3,962,664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1,809,532</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4,057,488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41,175,600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41,175,600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48,871,276</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52,101,114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$.0001 par value; 100,000,000 shares authorized; none issued</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 outstanding as of December 31, 2018 and 2017, respectively</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38,937,971 and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38,749,343 shares issued and outstanding as of December 31, 2018 and</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2017, respectively</w:t>
            </w: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304,813,603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295,975,010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(214,552,728)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(164,381,441)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90,264,769</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131,597,444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139,136,045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183,698,558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Borders>
              <w:bottom w:val="single" w:sz="8" w:color="CFF0FC"/>
            </w:tcBorders>
          </w:tcPr>
          <w:p>
            <w:pPr>
              <w:spacing w:after="0"/>
              <w:rPr>
                <w:sz w:val="20"/>
                <w:szCs w:val="20"/>
                <w:color w:val="auto"/>
              </w:rPr>
            </w:pPr>
          </w:p>
        </w:tc>
        <w:tc>
          <w:tcPr>
            <w:tcW w:w="19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34,888,574</w:t>
            </w:r>
          </w:p>
        </w:tc>
        <w:tc>
          <w:tcPr>
            <w:tcW w:w="160" w:type="dxa"/>
            <w:vAlign w:val="bottom"/>
          </w:tcPr>
          <w:p>
            <w:pPr>
              <w:spacing w:after="0"/>
              <w:rPr>
                <w:sz w:val="19"/>
                <w:szCs w:val="19"/>
                <w:color w:val="auto"/>
              </w:rPr>
            </w:pP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30,255,892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16,841,308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10,914,269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51,729,882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41,170,161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(51,729,882)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(41,170,161)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1,673,890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(110,448)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(614,264)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(50,171,287)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(40,899,479)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1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(9,376,272)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(50,171,287)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(31,523,207)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3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4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19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38,792,581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37,937,191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4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2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3"/>
                <w:szCs w:val="13"/>
                <w:color w:val="auto"/>
              </w:rPr>
            </w:pPr>
          </w:p>
        </w:tc>
        <w:tc>
          <w:tcPr>
            <w:tcW w:w="13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35,024,002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$ 238,836,940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(132,858,234)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105,982,208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(3,892,256)</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1"/>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a public offering, net of</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 of $2,944,168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41,617,757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41,618,332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9,356,671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1,130,524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5,033,123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(31,523,207)</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(31,523,207)</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38,749,343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295,975,010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(164,381,441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131,597,444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8,182,678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(50,171,287)</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(50,171,287)</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38,937,971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304,813,603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(214,552,728)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90,264,769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Borders>
              <w:bottom w:val="single" w:sz="8" w:color="CFF0FC"/>
            </w:tcBorders>
          </w:tcPr>
          <w:p>
            <w:pPr>
              <w:spacing w:after="0"/>
              <w:rPr>
                <w:sz w:val="15"/>
                <w:szCs w:val="15"/>
                <w:color w:val="auto"/>
              </w:rPr>
            </w:pPr>
          </w:p>
        </w:tc>
        <w:tc>
          <w:tcPr>
            <w:tcW w:w="13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3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72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(50,171,287)</w:t>
            </w:r>
          </w:p>
        </w:tc>
        <w:tc>
          <w:tcPr>
            <w:tcW w:w="760" w:type="dxa"/>
            <w:vAlign w:val="bottom"/>
            <w:gridSpan w:val="2"/>
          </w:tcPr>
          <w:p>
            <w:pPr>
              <w:jc w:val="right"/>
              <w:ind w:right="505"/>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(31,523,207)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Amortization of debt discount recorded as interest expense</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38,040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206,562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(Accretion) of marketable securities premium</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(119,614)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(185,488)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8,182,678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5,033,123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taxes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(9,376,272)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(621,866)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(306,996)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364,030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(32,705)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369,684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624,035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Accrued collaborative expenses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(2,547,952)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revenue</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41,175,600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(14,808)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(888)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top w:val="single" w:sz="8" w:color="CFF0FC"/>
            </w:tcBorders>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136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(41,941,756)</w:t>
            </w:r>
          </w:p>
        </w:tc>
        <w:tc>
          <w:tcPr>
            <w:tcW w:w="1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3,092,864</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65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(40,661,424)</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(134,525,859)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the maturity and redemption of marketable securities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110,151,000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Purchases of equipment</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(52,400)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3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69,489,576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(107,188,259)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sale of common stock in public offering</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44,562,500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Costs paid in connection with public offering</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(2,944,168)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Proceeds from exercise of common stock warrants</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9,356,833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655,934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1,130,544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Repayments of notes payable</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(4,000,704)</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(4,938,713)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bottom w:val="single" w:sz="8" w:color="CFF0FC"/>
            </w:tcBorders>
          </w:tcPr>
          <w:p>
            <w:pPr>
              <w:ind w:left="480"/>
              <w:spacing w:after="0" w:line="169"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136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(3,344,770)</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47,166,607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FF0FC"/>
          </w:tcPr>
          <w:p>
            <w:pPr>
              <w:ind w:left="480"/>
              <w:spacing w:after="0" w:line="169"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13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24,203,050</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(56,928,788)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5"/>
                <w:szCs w:val="15"/>
                <w:color w:val="auto"/>
              </w:rPr>
              <w:t>Beginning of period</w:t>
            </w:r>
          </w:p>
        </w:tc>
        <w:tc>
          <w:tcPr>
            <w:tcW w:w="13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26,131,821</w:t>
            </w:r>
          </w:p>
        </w:tc>
        <w:tc>
          <w:tcPr>
            <w:tcW w:w="16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83,060,609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color w:val="auto"/>
              </w:rPr>
              <w:t>End of period</w:t>
            </w:r>
          </w:p>
        </w:tc>
        <w:tc>
          <w:tcPr>
            <w:tcW w:w="13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50,334,871</w:t>
            </w: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26,131,821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0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Cash paid for interest</w:t>
            </w:r>
          </w:p>
        </w:tc>
        <w:tc>
          <w:tcPr>
            <w:tcW w:w="13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92,916</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436,717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Reconciliation of the Condensed Consolidated Statements of Cash Flows to the</w:t>
            </w: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500" w:type="dxa"/>
            <w:vAlign w:val="bottom"/>
            <w:gridSpan w:val="2"/>
            <w:vMerge w:val="continue"/>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720" w:type="dxa"/>
            <w:vAlign w:val="bottom"/>
            <w:gridSpan w:val="2"/>
            <w:shd w:val="clear" w:color="auto" w:fill="CFF0FC"/>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50,234,871</w:t>
            </w:r>
          </w:p>
        </w:tc>
        <w:tc>
          <w:tcPr>
            <w:tcW w:w="16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26,051,821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Restricted cash</w:t>
            </w:r>
          </w:p>
        </w:tc>
        <w:tc>
          <w:tcPr>
            <w:tcW w:w="1720" w:type="dxa"/>
            <w:vAlign w:val="bottom"/>
            <w:gridSpan w:val="2"/>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60" w:type="dxa"/>
            <w:vAlign w:val="bottom"/>
          </w:tcPr>
          <w:p>
            <w:pPr>
              <w:spacing w:after="0"/>
              <w:rPr>
                <w:sz w:val="15"/>
                <w:szCs w:val="15"/>
                <w:color w:val="auto"/>
              </w:rPr>
            </w:pPr>
          </w:p>
        </w:tc>
        <w:tc>
          <w:tcPr>
            <w:tcW w:w="760" w:type="dxa"/>
            <w:vAlign w:val="bottom"/>
            <w:gridSpan w:val="2"/>
          </w:tcPr>
          <w:p>
            <w:pPr>
              <w:jc w:val="right"/>
              <w:ind w:right="505"/>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Total cash, cash equivalents, and restricted cash</w:t>
            </w:r>
          </w:p>
        </w:tc>
        <w:tc>
          <w:tcPr>
            <w:tcW w:w="136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jc w:val="right"/>
              <w:ind w:right="20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50,334,871</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ind w:right="5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5"/>
                <w:szCs w:val="15"/>
                <w:color w:val="auto"/>
              </w:rPr>
              <w:t>26,131,821</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2018 and 2017</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2018, the Company has an accumulated deficit of approximately $214.6 million and net cash used in operating activities was approximately $41.9 million during the year ended December 31, 2018. Management expects to continue to incur operating losses and negative cash flows from operations. The Company has financed its operations to date from proceeds from the sale of common stock, warrants, loans and convertible promissory notes.</w:t>
      </w:r>
    </w:p>
    <w:p>
      <w:pPr>
        <w:spacing w:after="0" w:line="18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As of December 31, 2018, the Company had cash, cash equivalents, restricted cash, and marketable securities of $88.1 million. The Company believes that its existing cash, cash equivalents, restricted cash, and marketable securities will be sufficient to meet its cash commitments for at least the next 12 months after the date that the financial statements are issued. The process of drug development can be costly and the timing and outcomes of clinical trials is uncertain.</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$100 thousand and $80 thousand at December 31, 2018 and 2017,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71" w:name="page72"/>
    <w:bookmarkEnd w:id="7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Marketable securities consists of corporate and U.S. government debt securities maturing in nine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December 31, 2018, remaining final maturities of marketable securities ranged from January 2019 to September 2019, with a weighted average remaining maturity of approximately 4.91 months. The following table provides the amortized cost basis, aggregate fair value, net unrealized (gains)/losses and the net carrying value of investments in held-to-maturity securities as of December 31, 2018 and 2017:</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0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bonds/notes</w:t>
            </w:r>
          </w:p>
        </w:tc>
        <w:tc>
          <w:tcPr>
            <w:tcW w:w="6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16,054,071</w:t>
            </w:r>
          </w:p>
        </w:tc>
        <w:tc>
          <w:tcPr>
            <w:tcW w:w="2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16,050,462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16,054,071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17,756,394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17,756,394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17,756,394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3,951,974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3,951,040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3,951,974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total</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37,762,439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37,757,896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37,762,439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0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4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04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bonds/notes</w:t>
            </w:r>
          </w:p>
        </w:tc>
        <w:tc>
          <w:tcPr>
            <w:tcW w:w="6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43,528,246</w:t>
            </w:r>
          </w:p>
        </w:tc>
        <w:tc>
          <w:tcPr>
            <w:tcW w:w="280" w:type="dxa"/>
            <w:vAlign w:val="bottom"/>
          </w:tcPr>
          <w:p>
            <w:pPr>
              <w:spacing w:after="0"/>
              <w:rPr>
                <w:sz w:val="19"/>
                <w:szCs w:val="19"/>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43,438,463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89,783</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43,528,246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43,385,762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43,385,762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43,385,762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15,195,411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15,178,278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 total</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102,109,419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102,002,503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102,109,419</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bonds/notes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5,022,982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4,998,870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 total</w:t>
            </w: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5,022,982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4,998,870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5,022,982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total</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107,132,401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107,001,373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107,132,401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2" w:name="page73"/>
    <w:bookmarkEnd w:id="72"/>
    <w:p>
      <w:pPr>
        <w:spacing w:after="0" w:line="254"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years ended December 31, 2018 or 2017.</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United States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2018 or 2017.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3" w:name="page74"/>
    <w:bookmarkEnd w:id="73"/>
    <w:p>
      <w:pPr>
        <w:spacing w:after="0" w:line="255" w:lineRule="auto"/>
        <w:rPr>
          <w:sz w:val="20"/>
          <w:szCs w:val="20"/>
          <w:color w:val="auto"/>
        </w:rPr>
      </w:pPr>
      <w:r>
        <w:rPr>
          <w:rFonts w:ascii="Times New Roman" w:cs="Times New Roman" w:eastAsia="Times New Roman" w:hAnsi="Times New Roman"/>
          <w:sz w:val="18"/>
          <w:szCs w:val="18"/>
          <w:color w:val="auto"/>
        </w:rPr>
        <w:t>On December 22, 2017, the United States enacted tax reform legislation commonly known as the Tax Cuts and Jobs Act (the “Act”), resulting in significant modifications to existing law. The Company completed the accounting for the effects of the Act during 2017. The Company’s financial statements for the year ended December 31, 2017, reflected the effects of the Act which included a reduction in the corporate tax rate from 34% to 21%. Accordingly, the Company’s deferred tax assets and liabilities were revalued at the enacted rates effective in 2018 and in future years; the reduction in federal rate from 34% to 21% resulted in no impact to total income tax expense. In addition to the federal rate change impact, the Company accounted for the impact of legislation on the timing of deferred tax positions and overall financial statement presentation, resulting in a total income tax benefit of $9.4 million related to future implications of indefinite lived deferred tax positions in 2017. As the accounting for the effects was complete during 2017, no further changes impacted tax positions during the period ending December 31, 2018.</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is stated at cost less accumulated depreciation. Equipment is depreciated on the straight-line basis over their estimated useful lives of three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2018 and 2017.</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There was no impairment of goodwill for the years ended December 31, 2018 or 2017.</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7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Level 3 — Unobservable inputs that reflect the Company’s estimates of the assumptions that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cash equivalents and marketable securities (current and non-current) as of December 31, 2018 and 2017, measured at fair value on a recurring basis and indicates the fair value hierarchy of the valuation techniques the Company utilized to determine such fair value: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22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42,575,645</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36,600,836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5,974,809</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37,757,896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37,757,896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80,333,541</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36,600,836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43,732,705</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392"/>
        </w:trPr>
        <w:tc>
          <w:tcPr>
            <w:tcW w:w="4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3"/>
                <w:szCs w:val="13"/>
                <w:color w:val="auto"/>
              </w:rPr>
            </w:pPr>
          </w:p>
        </w:tc>
        <w:tc>
          <w:tcPr>
            <w:tcW w:w="122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22,782,626</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22,782,626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107,132,401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107,132,401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129,915,027</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22,782,626</w:t>
            </w:r>
          </w:p>
        </w:tc>
        <w:tc>
          <w:tcPr>
            <w:tcW w:w="3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107,132,401</w:t>
            </w:r>
          </w:p>
        </w:tc>
        <w:tc>
          <w:tcPr>
            <w:tcW w:w="3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3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Marketable securities consists of corporate and U.S. government debt securities maturing in nine months or less. Based on the Company’s intentions regarding its marketable securities, all marketable securities are classified as held-to-maturity and are carried under the amortized cost approach. Marketable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228"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carrying amounts of cash, restricted cash, accounts payable, and accrued liabilities approximate fair value because of their short-term nature.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 applies the revenue recognition guidance in accordance with Financial Accounting Standards Board (“FASB”)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When the Company enters into an arrangement that meets the definition of a collaboration under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applies the revenue recognition guidance in accordance with ASC 606, Revenue from Contracts with Customer’s. Using ASC 606, revenue that is unearned is deferred. Deferred revenue expected to be recognized as revenue more than one year subsequent to the balance sheet date is classified as long-term deferred revenue.</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loss other than its net loss for each period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specified effective date.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Subsequently, the FASB also issued No. ASU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which adjusted the effective date of ASU No. 2014-09; ASU No. 2016-08, </w:t>
      </w:r>
      <w:r>
        <w:rPr>
          <w:rFonts w:ascii="Times New Roman" w:cs="Times New Roman" w:eastAsia="Times New Roman" w:hAnsi="Times New Roman"/>
          <w:sz w:val="18"/>
          <w:szCs w:val="18"/>
          <w:i w:val="1"/>
          <w:iCs w:val="1"/>
          <w:color w:val="auto"/>
        </w:rPr>
        <w:t>Revenue from Contracts with Customers (Topic 606): Principal versus Agent Considerations (Reporting Revenue Gross versus Net)</w:t>
      </w:r>
      <w:r>
        <w:rPr>
          <w:rFonts w:ascii="Times New Roman" w:cs="Times New Roman" w:eastAsia="Times New Roman" w:hAnsi="Times New Roman"/>
          <w:sz w:val="18"/>
          <w:szCs w:val="18"/>
          <w:color w:val="auto"/>
        </w:rPr>
        <w:t>, which amends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principal-versus-agent implementation guidance and illustrations in ASU No. 2014-09; ASU No. 2016-10, </w:t>
      </w:r>
      <w:r>
        <w:rPr>
          <w:rFonts w:ascii="Times New Roman" w:cs="Times New Roman" w:eastAsia="Times New Roman" w:hAnsi="Times New Roman"/>
          <w:sz w:val="18"/>
          <w:szCs w:val="18"/>
          <w:i w:val="1"/>
          <w:iCs w:val="1"/>
          <w:color w:val="auto"/>
        </w:rPr>
        <w:t>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Identifying Performance Obligations and Licensing</w:t>
      </w:r>
      <w:r>
        <w:rPr>
          <w:rFonts w:ascii="Times New Roman" w:cs="Times New Roman" w:eastAsia="Times New Roman" w:hAnsi="Times New Roman"/>
          <w:sz w:val="18"/>
          <w:szCs w:val="18"/>
          <w:color w:val="auto"/>
        </w:rPr>
        <w:t>, which clarifies identifying performance obligation and licensing implementation guidance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illustrations in ASU No. 2014-09; and ASU No. 2016-12, </w:t>
      </w:r>
      <w:r>
        <w:rPr>
          <w:rFonts w:ascii="Times New Roman" w:cs="Times New Roman" w:eastAsia="Times New Roman" w:hAnsi="Times New Roman"/>
          <w:sz w:val="18"/>
          <w:szCs w:val="18"/>
          <w:i w:val="1"/>
          <w:iCs w:val="1"/>
          <w:color w:val="auto"/>
        </w:rPr>
        <w:t>Revenue from Contracts with Customers (Topic 606): Narrow-Scope Improvements and Practical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Expedients</w:t>
      </w:r>
      <w:r>
        <w:rPr>
          <w:rFonts w:ascii="Times New Roman" w:cs="Times New Roman" w:eastAsia="Times New Roman" w:hAnsi="Times New Roman"/>
          <w:sz w:val="18"/>
          <w:szCs w:val="18"/>
          <w:color w:val="auto"/>
        </w:rPr>
        <w:t>, which addresses implementation issues and is intended to reduce the cost and complexity of applying the new revenue standard in ASU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2014-09 (collectively, the “Revenue ASUs”).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collaboration agreements and assessed the differences in accounting for such contracts under this guidance compared with current revenue accounting standards. The Company adopted the new standard on January 1, 2018 using the modified retrospective method. The adoption of this standard did not have a material impact on the Company’s consolidated financial statements.</w:t>
      </w:r>
    </w:p>
    <w:p>
      <w:pPr>
        <w:spacing w:after="0" w:line="1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 Classification of Certain Cash Receipts and Cash Payments (Topic 230)</w:t>
      </w:r>
      <w:r>
        <w:rPr>
          <w:rFonts w:ascii="Times New Roman" w:cs="Times New Roman" w:eastAsia="Times New Roman" w:hAnsi="Times New Roman"/>
          <w:sz w:val="18"/>
          <w:szCs w:val="18"/>
          <w:color w:val="auto"/>
        </w:rPr>
        <w:t>. The new standard clarifies the treatment of several cash flow categories. In addition, ASU No.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The Company adopted the new standard on January 1, 2018. The adoption of this standard did not have a material impact on the Company’s consolidated financial statements.</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No. 2016-18, </w:t>
      </w:r>
      <w:r>
        <w:rPr>
          <w:rFonts w:ascii="Times New Roman" w:cs="Times New Roman" w:eastAsia="Times New Roman" w:hAnsi="Times New Roman"/>
          <w:sz w:val="18"/>
          <w:szCs w:val="18"/>
          <w:i w:val="1"/>
          <w:iCs w:val="1"/>
          <w:color w:val="auto"/>
        </w:rPr>
        <w:t>Statement of Cash Flows- Restricted Cash (Topic 230)</w:t>
      </w:r>
      <w:r>
        <w:rPr>
          <w:rFonts w:ascii="Times New Roman" w:cs="Times New Roman" w:eastAsia="Times New Roman" w:hAnsi="Times New Roman"/>
          <w:sz w:val="18"/>
          <w:szCs w:val="18"/>
          <w:color w:val="auto"/>
        </w:rPr>
        <w:t>. The new standard requires an entity to include amounts described as restricted cash and restricted cash equivalents with cash and cash equivalents when reconciling the beginning-of-period and end-of-period total amounts shown on the statement of cash flows. The Company adopted the new standard on January 1, 2018. The adoption of this standard did not have a material impact on the Company’s consolidated financial statements. Cash, cash equivalents, and restricted cash reported on the Consolidated Statements of Cash Flows includes restricted cash of $100 thousand as of December 31, 2018 and $80 thousand as of December 31, 2017, respectively.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76" w:name="page77"/>
    <w:bookmarkEnd w:id="76"/>
    <w:p>
      <w:pPr>
        <w:ind w:left="2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Although the Company is currently assessing the impact of adoption of ASU No. 2016-02 on its consolidated financial statements, the Company currently believes the most significant changes will be related to the recognition of new right-of-use assets and lease liabilities on the Company’s balance sheet for operating leases.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for the Company’s current lease commitments.</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Receivables—Nonrefundable Fees and Other Costs (Subtopic 310-20) Premium Amortization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Purchased Callable Debt Securities. </w:t>
      </w:r>
      <w:r>
        <w:rPr>
          <w:rFonts w:ascii="Times New Roman" w:cs="Times New Roman" w:eastAsia="Times New Roman" w:hAnsi="Times New Roman"/>
          <w:sz w:val="18"/>
          <w:szCs w:val="18"/>
          <w:color w:val="auto"/>
        </w:rPr>
        <w:t>The new standard is intended to enhance the accounting for the amortization of premiums for purchased callable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Stock Compensation (Topic 718): Improvements to Nonemployee Share-Based Payment Accounting</w:t>
      </w:r>
      <w:r>
        <w:rPr>
          <w:rFonts w:ascii="Times New Roman" w:cs="Times New Roman" w:eastAsia="Times New Roman" w:hAnsi="Times New Roman"/>
          <w:sz w:val="18"/>
          <w:szCs w:val="18"/>
          <w:color w:val="auto"/>
        </w:rPr>
        <w:t xml:space="preserve">. The new standard is intended to reduce the cost and complexity and to improve financial reporting for nonemployee share-based payments. This update expands the scope of </w:t>
      </w:r>
      <w:r>
        <w:rPr>
          <w:rFonts w:ascii="Times New Roman" w:cs="Times New Roman" w:eastAsia="Times New Roman" w:hAnsi="Times New Roman"/>
          <w:sz w:val="18"/>
          <w:szCs w:val="18"/>
          <w:i w:val="1"/>
          <w:iCs w:val="1"/>
          <w:color w:val="auto"/>
        </w:rPr>
        <w:t>Topic 718, Compensation-Stock Compensation</w:t>
      </w:r>
      <w:r>
        <w:rPr>
          <w:rFonts w:ascii="Times New Roman" w:cs="Times New Roman" w:eastAsia="Times New Roman" w:hAnsi="Times New Roman"/>
          <w:sz w:val="18"/>
          <w:szCs w:val="18"/>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Times New Roman" w:cs="Times New Roman" w:eastAsia="Times New Roman" w:hAnsi="Times New Roman"/>
          <w:sz w:val="18"/>
          <w:szCs w:val="18"/>
          <w:i w:val="1"/>
          <w:iCs w:val="1"/>
          <w:color w:val="auto"/>
        </w:rPr>
        <w:t>Subtopic 505-50, Equity-Equity-Based payments to Non-Employees</w:t>
      </w:r>
      <w:r>
        <w:rPr>
          <w:rFonts w:ascii="Times New Roman" w:cs="Times New Roman" w:eastAsia="Times New Roman" w:hAnsi="Times New Roman"/>
          <w:sz w:val="18"/>
          <w:szCs w:val="18"/>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The Company adopted the new standard on January 1, 2019, which is not expected to have a material impact on the Consolidated Balance Sheets or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05"/>
        </w:trPr>
        <w:tc>
          <w:tcPr>
            <w:tcW w:w="45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Research and development costs and other accrued</w:t>
            </w:r>
          </w:p>
        </w:tc>
        <w:tc>
          <w:tcPr>
            <w:tcW w:w="8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1,353,987</w:t>
            </w:r>
          </w:p>
        </w:tc>
        <w:tc>
          <w:tcPr>
            <w:tcW w:w="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1,162,441</w:t>
            </w:r>
          </w:p>
        </w:tc>
        <w:tc>
          <w:tcPr>
            <w:tcW w:w="60" w:type="dxa"/>
            <w:vAlign w:val="bottom"/>
            <w:shd w:val="clear" w:color="auto" w:fill="CFF0FC"/>
          </w:tcPr>
          <w:p>
            <w:pPr>
              <w:spacing w:after="0"/>
              <w:rPr>
                <w:sz w:val="20"/>
                <w:szCs w:val="20"/>
                <w:color w:val="auto"/>
              </w:rPr>
            </w:pP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251,000</w:t>
            </w:r>
          </w:p>
        </w:tc>
        <w:tc>
          <w:tcPr>
            <w:tcW w:w="60" w:type="dxa"/>
            <w:vAlign w:val="bottom"/>
          </w:tcPr>
          <w:p>
            <w:pPr>
              <w:spacing w:after="0"/>
              <w:rPr>
                <w:sz w:val="19"/>
                <w:szCs w:val="19"/>
                <w:color w:val="auto"/>
              </w:rPr>
            </w:pPr>
          </w:p>
        </w:tc>
      </w:tr>
      <w:tr>
        <w:trPr>
          <w:trHeight w:val="23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60" w:type="dxa"/>
            <w:vAlign w:val="bottom"/>
            <w:shd w:val="clear" w:color="auto" w:fill="CFF0FC"/>
          </w:tcPr>
          <w:p>
            <w:pPr>
              <w:spacing w:after="0"/>
              <w:rPr>
                <w:sz w:val="19"/>
                <w:szCs w:val="19"/>
                <w:color w:val="auto"/>
              </w:rPr>
            </w:pPr>
          </w:p>
        </w:tc>
      </w:tr>
      <w:tr>
        <w:trPr>
          <w:trHeight w:val="230"/>
        </w:trPr>
        <w:tc>
          <w:tcPr>
            <w:tcW w:w="4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8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60" w:type="dxa"/>
            <w:vAlign w:val="bottom"/>
            <w:tcBorders>
              <w:bottom w:val="single" w:sz="8" w:color="CFF0FC"/>
            </w:tcBorders>
          </w:tcPr>
          <w:p>
            <w:pPr>
              <w:spacing w:after="0"/>
              <w:rPr>
                <w:sz w:val="19"/>
                <w:szCs w:val="19"/>
                <w:color w:val="auto"/>
              </w:rPr>
            </w:pPr>
          </w:p>
        </w:tc>
      </w:tr>
      <w:tr>
        <w:trPr>
          <w:trHeight w:val="223"/>
        </w:trPr>
        <w:tc>
          <w:tcPr>
            <w:tcW w:w="45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1,809,532</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1,439,848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1" w:right="2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for common stockholders:</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20" w:type="dxa"/>
            <w:vAlign w:val="bottom"/>
          </w:tcPr>
          <w:p>
            <w:pPr>
              <w:spacing w:after="0"/>
              <w:rPr>
                <w:sz w:val="15"/>
                <w:szCs w:val="15"/>
                <w:color w:val="auto"/>
              </w:rPr>
            </w:pPr>
          </w:p>
        </w:tc>
        <w:tc>
          <w:tcPr>
            <w:tcW w:w="510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(50,171,287)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(31,523,207)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38,792,581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37,937,191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(0.83)</w:t>
            </w: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December 31, 2018 and 2017 have been excluded from the calculation of weighted average shares outstanding as their effect on the calculation of loss per share is antidilutive: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8,498,047</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6,132,650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80" w:type="dxa"/>
            <w:vAlign w:val="bottom"/>
            <w:shd w:val="clear" w:color="auto" w:fill="CFF0FC"/>
          </w:tcPr>
          <w:p>
            <w:pPr>
              <w:spacing w:after="0"/>
              <w:rPr>
                <w:sz w:val="19"/>
                <w:szCs w:val="19"/>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drew down the initial Term Loans in the aggregate principal amount of $10 million (the “Term A Loans”), on January 16, 2015. The Term A Loans bore interest at a fixed rate of 7.05% per annum. The Company believes that the Company's debt obligations accrued interest at rates which approximated prevailing market rates for instruments with similar characteristics and, accordingly, the carrying values for these instruments approximated fair value.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paid a facility fee at the time of borrowing of $75 thousand for access to the Term Loans and paid a final payment of $510 thousand in August 2018, representing 5.1% of the total amount borrowed, which has been included as a component of the debt discount and was amortized to interest expense over the term of the loans. The Term Loans matured on August 1, 2018 and the Company made a final repayment in the amount of $510 thousand on such date. As of December 31, 2018, the Company had no borrowings outstanding under the Term Loans.</w:t>
      </w: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2018, and 2017, the Company recognized interest expense of $0.1 million and $0.6 million, respectively, including $38 thousand and $0.2 million, respectively, related to the debt discount.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CO-DEVELOPMENT AND LICENSE AGREEMENT</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3" w:lineRule="exact"/>
        <w:rPr>
          <w:sz w:val="20"/>
          <w:szCs w:val="20"/>
          <w:color w:val="auto"/>
        </w:rPr>
      </w:pPr>
    </w:p>
    <w:p>
      <w:pPr>
        <w:ind w:right="20" w:firstLine="8"/>
        <w:spacing w:after="0" w:line="253"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related to seltorexant to sell seltorexant outside the Minerva Territory. In consideration of the licenses granted on July 7, 2014, the Company made a license fee payment of $22.0 million, which was included as a component of research and development expense in 2014.</w:t>
      </w:r>
    </w:p>
    <w:p>
      <w:pPr>
        <w:spacing w:after="0" w:line="187"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The Company accounts for the Agreement as a joint risk-sharing collaboration in accordance with ASC 808, “Collaborative Arrangements”.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78" w:name="page79"/>
    <w:bookmarkEnd w:id="78"/>
    <w:p>
      <w:pPr>
        <w:ind w:right="80"/>
        <w:spacing w:after="0" w:line="261" w:lineRule="auto"/>
        <w:rPr>
          <w:sz w:val="20"/>
          <w:szCs w:val="20"/>
          <w:color w:val="auto"/>
        </w:rPr>
      </w:pPr>
      <w:r>
        <w:rPr>
          <w:rFonts w:ascii="Times New Roman" w:cs="Times New Roman" w:eastAsia="Times New Roman" w:hAnsi="Times New Roman"/>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12 months ended December 31, 2018 and 2017, the Company recorded expenses of zero and $11.2 million, respectively, for certain development activities in accordance with the terms of the Agreement.</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June 2017, the Company entered into an amendment (“the Amendment”) to the co-development and license agreement with Janssen dated February 13, 2014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This milestone is referred to as “Decision Point 4” and is expected to occur in the second half of 2019.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December 31, 2018 and December 31, 2017.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the Company opts-out, it collects a royalty on worldwide sales of seltorexant in the single digits with no further obligations to Janssen. If Janssen opts-out, the Minerva Territory would be expanded to include North America and the Company would pay Janssen royalties on sales of seltorexant outside of the insomnia indication in the single digits.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Phase 3 MDD program.</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exists and revenue recognition is limited to amounts for which it is probable that a significant reversal will not occur.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$3.0 million in underwriting discounts and commissions and transaction costs, which will be included as a component of additional paid-in capital, resulting in net proceeds of approximately $41.6 million.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9" w:name="page80"/>
    <w:bookmarkEnd w:id="7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August 2017, in connection with the Amendment (see Note 6), the Company repurchased all of the approximately 3.9 million shares of its common stock previously owned by Johnson &amp; Johnson Innovation-JJDC Inc. at a per share price of $0.0001, for an aggregate purchase price of approximately $389.</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Warrants Exercises</w:t>
      </w:r>
    </w:p>
    <w:p>
      <w:pPr>
        <w:spacing w:after="0" w:line="2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In March 2017, certain investors in the Company’s March 2015 private placement exercised their warrants at an exercise price of $5.772 per share and received an aggregate of 1,621,073 shares of the Company’s common stock. The Company received gross proceeds of approximately $9.4 million from the exercise of these warrants. As of December 31, 2018, there are no remaining warrants outstanding under the Company’s March 2015 private placement.</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December 31, 2018.</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AWARD PLAN AND STOCK-BASED COMPENSATION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 the total shares authorized for issuance under the plan increased by 750,000 to 6,531,333. This increase represents the lesser of 750,000 shares or 4% of the total shares outstanding calculated as of the end of the most recent fiscal year. In December 2017, the Company, issued inducement awards in the form of an option to purchase 775,000 shares of the Company’s common stock with an exercise price of $6.05 per share and restricted stock unit award to acquire 40,000 shares of the Company’s common stock, to Rick Russell in connection with his appointment as the Company’s President. These inducement awards are outside of, but subject to the terms generally consistent with, the Company’s 2013 Equity Incentive Plan, as amended, or the 2013 Plan, as a material inducement to Mr. Russell’s acceptance of employment with the Company in accordance with Nasdaq Listing Rule 5635(c)(4). The exercise price per share shall not be less than the fair value of the Company’s underlying common stock on the grant date and no option may have a term in excess of ten years. In June 2018, the Company increased the aggregate number of shares of common stock authorized for issuance under the 2013 Plan by 2,500,000 shares. Stock option activity for employees and non-employees for the year ended December 31, 2018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80" w:type="dxa"/>
            <w:vAlign w:val="bottom"/>
          </w:tcPr>
          <w:p>
            <w:pPr>
              <w:spacing w:after="0"/>
              <w:rPr>
                <w:sz w:val="12"/>
                <w:szCs w:val="12"/>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Intrinsic</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80" w:type="dxa"/>
            <w:vAlign w:val="bottom"/>
          </w:tcPr>
          <w:p>
            <w:pPr>
              <w:spacing w:after="0"/>
              <w:rPr>
                <w:sz w:val="12"/>
                <w:szCs w:val="12"/>
                <w:color w:val="auto"/>
              </w:rPr>
            </w:pPr>
          </w:p>
        </w:tc>
        <w:tc>
          <w:tcPr>
            <w:tcW w:w="13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Value (in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5"/>
                <w:szCs w:val="15"/>
                <w:color w:val="auto"/>
              </w:rPr>
            </w:pPr>
          </w:p>
        </w:tc>
        <w:tc>
          <w:tcPr>
            <w:tcW w:w="74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Terms (years)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6,132,650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2,658,500</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(129,978)</w:t>
            </w:r>
          </w:p>
        </w:tc>
        <w:tc>
          <w:tcPr>
            <w:tcW w:w="820" w:type="dxa"/>
            <w:vAlign w:val="bottom"/>
            <w:gridSpan w:val="2"/>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(163,125)</w:t>
            </w:r>
          </w:p>
        </w:tc>
        <w:tc>
          <w:tcPr>
            <w:tcW w:w="820" w:type="dxa"/>
            <w:vAlign w:val="bottom"/>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8,498,047</w:t>
            </w:r>
          </w:p>
        </w:tc>
        <w:tc>
          <w:tcPr>
            <w:tcW w:w="120" w:type="dxa"/>
            <w:vAlign w:val="bottom"/>
          </w:tcPr>
          <w:p>
            <w:pPr>
              <w:spacing w:after="0"/>
              <w:rPr>
                <w:sz w:val="22"/>
                <w:szCs w:val="22"/>
                <w:color w:val="auto"/>
              </w:rPr>
            </w:pPr>
          </w:p>
        </w:tc>
        <w:tc>
          <w:tcPr>
            <w:tcW w:w="820" w:type="dxa"/>
            <w:vAlign w:val="bottom"/>
            <w:gridSpan w:val="2"/>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3,745,660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20" w:type="dxa"/>
            <w:vAlign w:val="bottom"/>
            <w:tcBorders>
              <w:top w:val="single" w:sz="8" w:color="CFF0FC"/>
              <w:bottom w:val="single" w:sz="8" w:color="CFF0FC"/>
            </w:tcBorders>
            <w:gridSpan w:val="2"/>
            <w:shd w:val="clear" w:color="auto" w:fill="CFF0FC"/>
          </w:tcPr>
          <w:p>
            <w:pPr>
              <w:jc w:val="right"/>
              <w:ind w:right="58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769,779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F-16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80" w:name="page81"/>
    <w:bookmarkEnd w:id="80"/>
    <w:p>
      <w:pPr>
        <w:ind w:right="8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December 31, 2018 was $5.18 per share. Total unrecognized compensation costs related to non-vested stock options at December 31, 2018 was approximately $23.7 million and is expected to be recognized within future operating results over a weighted-average period of 3.2 years. The total intrinsic value of the options exercised during the years ended December 31, 2018 and 2017 was approximately $0.8 million and $0.7 million, respectively.</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Securities and Exchange Commission’s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For stock options granted to employees during the years ended December 31, 2018 and 2017, the Company utilized the following assumptions: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20" w:type="dxa"/>
            <w:vAlign w:val="bottom"/>
          </w:tcPr>
          <w:p>
            <w:pPr>
              <w:spacing w:after="0"/>
              <w:rPr>
                <w:sz w:val="15"/>
                <w:szCs w:val="15"/>
                <w:color w:val="auto"/>
              </w:rPr>
            </w:pPr>
          </w:p>
        </w:tc>
        <w:tc>
          <w:tcPr>
            <w:tcW w:w="5300" w:type="dxa"/>
            <w:vAlign w:val="bottom"/>
            <w:tcBorders>
              <w:bottom w:val="single" w:sz="8" w:color="CFF0FC"/>
            </w:tcBorders>
          </w:tcPr>
          <w:p>
            <w:pPr>
              <w:spacing w:after="0"/>
              <w:rPr>
                <w:sz w:val="15"/>
                <w:szCs w:val="15"/>
                <w:color w:val="auto"/>
              </w:rPr>
            </w:pPr>
          </w:p>
        </w:tc>
        <w:tc>
          <w:tcPr>
            <w:tcW w:w="9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Times New Roman" w:cs="Times New Roman" w:eastAsia="Times New Roman" w:hAnsi="Times New Roman"/>
                <w:sz w:val="18"/>
                <w:szCs w:val="18"/>
                <w:color w:val="auto"/>
                <w:w w:val="99"/>
              </w:rPr>
              <w:t>5.5-6.25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9"/>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2.33-3.01%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1.83-2.25%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5"/>
              <w:spacing w:after="0"/>
              <w:rPr>
                <w:sz w:val="20"/>
                <w:szCs w:val="20"/>
                <w:color w:val="auto"/>
              </w:rPr>
            </w:pPr>
            <w:r>
              <w:rPr>
                <w:rFonts w:ascii="Times New Roman" w:cs="Times New Roman" w:eastAsia="Times New Roman" w:hAnsi="Times New Roman"/>
                <w:sz w:val="18"/>
                <w:szCs w:val="18"/>
                <w:color w:val="auto"/>
                <w:w w:val="98"/>
              </w:rPr>
              <w:t>76-83%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8"/>
              </w:rPr>
              <w:t>79-84%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 common</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5.57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Stock-Based Awards Granted to Non-employees-</w:t>
      </w:r>
      <w:r>
        <w:rPr>
          <w:rFonts w:ascii="Times New Roman" w:cs="Times New Roman" w:eastAsia="Times New Roman" w:hAnsi="Times New Roman"/>
          <w:sz w:val="18"/>
          <w:szCs w:val="18"/>
          <w:color w:val="333333"/>
        </w:rPr>
        <w:t>The Company from time to time grants options to purchase common stock to non-employees for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rendered and records expense ratably over the vesting period of each award. The Company estimates the fair value of the stock options using the Black-Scholes valuation model at each reporting date. The Company granted 215,000 stock options to non-employees and recorded stock-based compensation expense of $1,033,000 during the year ended December 31, 2018. The Company granted 480,000 stock options to non-employees and recorded stock-based compensation expense of $287,000 during the year ended December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options granted to non-employees, the Company utilized the following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6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center"/>
              <w:ind w:left="113"/>
              <w:spacing w:after="0"/>
              <w:rPr>
                <w:sz w:val="20"/>
                <w:szCs w:val="20"/>
                <w:color w:val="auto"/>
              </w:rPr>
            </w:pPr>
            <w:r>
              <w:rPr>
                <w:rFonts w:ascii="Times New Roman" w:cs="Times New Roman" w:eastAsia="Times New Roman" w:hAnsi="Times New Roman"/>
                <w:sz w:val="18"/>
                <w:szCs w:val="18"/>
                <w:color w:val="auto"/>
              </w:rPr>
              <w:t>0.3-9.9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8"/>
                <w:szCs w:val="18"/>
                <w:color w:val="auto"/>
              </w:rPr>
              <w:t>8.7-9.9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2.39-2.89%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2.37-2.40%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9"/>
              </w:rPr>
              <w:t>75-109%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2"/>
              <w:spacing w:after="0"/>
              <w:rPr>
                <w:sz w:val="20"/>
                <w:szCs w:val="20"/>
                <w:color w:val="auto"/>
              </w:rPr>
            </w:pPr>
            <w:r>
              <w:rPr>
                <w:rFonts w:ascii="Times New Roman" w:cs="Times New Roman" w:eastAsia="Times New Roman" w:hAnsi="Times New Roman"/>
                <w:sz w:val="18"/>
                <w:szCs w:val="18"/>
                <w:color w:val="auto"/>
                <w:w w:val="95"/>
              </w:rPr>
              <w:t>111-113%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60" w:type="dxa"/>
            <w:vAlign w:val="bottom"/>
          </w:tcPr>
          <w:p>
            <w:pPr>
              <w:spacing w:after="0"/>
              <w:rPr>
                <w:sz w:val="18"/>
                <w:szCs w:val="18"/>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reporting date fair value per share of</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shd w:val="clear" w:color="auto" w:fill="CFF0FC"/>
          </w:tcPr>
          <w:p>
            <w:pPr>
              <w:spacing w:after="0"/>
              <w:rPr>
                <w:sz w:val="20"/>
                <w:szCs w:val="20"/>
                <w:color w:val="auto"/>
              </w:rPr>
            </w:pPr>
          </w:p>
        </w:tc>
        <w:tc>
          <w:tcPr>
            <w:tcW w:w="54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2"/>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activity under the Plan for the year ended December 31, 2018 is as follows: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76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0" w:type="dxa"/>
            <w:vAlign w:val="bottom"/>
          </w:tcPr>
          <w:p>
            <w:pPr>
              <w:spacing w:after="0"/>
              <w:rPr>
                <w:sz w:val="24"/>
                <w:szCs w:val="24"/>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January 1, 2018</w:t>
            </w:r>
          </w:p>
        </w:tc>
        <w:tc>
          <w:tcPr>
            <w:tcW w:w="6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(58,650)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2018</w:t>
            </w: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320"/>
        <w:spacing w:after="0" w:line="228" w:lineRule="exact"/>
        <w:rPr>
          <w:sz w:val="20"/>
          <w:szCs w:val="20"/>
          <w:color w:val="auto"/>
        </w:rPr>
      </w:pPr>
      <w:r>
        <w:rPr>
          <w:rFonts w:ascii="Times New Roman" w:cs="Times New Roman" w:eastAsia="Times New Roman" w:hAnsi="Times New Roman"/>
          <w:sz w:val="18"/>
          <w:szCs w:val="18"/>
          <w:color w:val="auto"/>
        </w:rPr>
        <w:t>RSUs awarded to employees generally vest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December 31, 2018 was</w:t>
      </w:r>
    </w:p>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1" w:name="page82"/>
    <w:bookmarkEnd w:id="81"/>
    <w:p>
      <w:pPr>
        <w:ind w:right="220"/>
        <w:spacing w:after="0" w:line="282" w:lineRule="auto"/>
        <w:rPr>
          <w:sz w:val="20"/>
          <w:szCs w:val="20"/>
          <w:color w:val="auto"/>
        </w:rPr>
      </w:pPr>
      <w:r>
        <w:rPr>
          <w:rFonts w:ascii="Times New Roman" w:cs="Times New Roman" w:eastAsia="Times New Roman" w:hAnsi="Times New Roman"/>
          <w:sz w:val="18"/>
          <w:szCs w:val="18"/>
          <w:color w:val="auto"/>
        </w:rPr>
        <w:t>approximately $1.5 million and is expected to be recognized within future operating results over a period of 2.07 years. The total fair value of shares vested during the years ended December 31, 2018 and 2017 was approximately $0.5 million and $0.3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300"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2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2,257,102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1,966,126</w:t>
            </w:r>
          </w:p>
        </w:tc>
        <w:tc>
          <w:tcPr>
            <w:tcW w:w="80" w:type="dxa"/>
            <w:vAlign w:val="bottom"/>
            <w:shd w:val="clear" w:color="auto" w:fill="CFF0FC"/>
          </w:tcPr>
          <w:p>
            <w:pPr>
              <w:spacing w:after="0"/>
              <w:rPr>
                <w:sz w:val="19"/>
                <w:szCs w:val="19"/>
                <w:color w:val="auto"/>
              </w:rPr>
            </w:pPr>
          </w:p>
        </w:tc>
      </w:tr>
      <w:tr>
        <w:trPr>
          <w:trHeight w:val="230"/>
        </w:trPr>
        <w:tc>
          <w:tcPr>
            <w:tcW w:w="6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5,925,576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3,066,997</w:t>
            </w:r>
          </w:p>
        </w:tc>
        <w:tc>
          <w:tcPr>
            <w:tcW w:w="80" w:type="dxa"/>
            <w:vAlign w:val="bottom"/>
            <w:tcBorders>
              <w:bottom w:val="single" w:sz="8" w:color="CFF0FC"/>
            </w:tcBorders>
          </w:tcPr>
          <w:p>
            <w:pPr>
              <w:spacing w:after="0"/>
              <w:rPr>
                <w:sz w:val="19"/>
                <w:szCs w:val="19"/>
                <w:color w:val="auto"/>
              </w:rPr>
            </w:pPr>
          </w:p>
        </w:tc>
      </w:tr>
      <w:tr>
        <w:trPr>
          <w:trHeight w:val="223"/>
        </w:trPr>
        <w:tc>
          <w:tcPr>
            <w:tcW w:w="6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8,182,678</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5,033,123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federal, foreign and state income taxes for the years ended December 31, 2018 and 2017 are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6"/>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6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2018</w:t>
            </w:r>
            <w:r>
              <w:rPr>
                <w:rFonts w:ascii="Times New Roman" w:cs="Times New Roman" w:eastAsia="Times New Roman" w:hAnsi="Times New Roman"/>
                <w:sz w:val="12"/>
                <w:szCs w:val="12"/>
                <w:b w:val="1"/>
                <w:bCs w:val="1"/>
                <w:color w:val="auto"/>
              </w:rPr>
              <w:t>(1)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16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26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(9,376,272)</w:t>
            </w: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(9,376,272)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520" w:firstLine="386"/>
        <w:spacing w:after="0" w:line="532" w:lineRule="auto"/>
        <w:tabs>
          <w:tab w:leader="none" w:pos="89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tax provision for income taxes for the year ended December 31, 2018 due to losses. Net deferred tax assets (liabilities) as of December 31, 2018 and 2017 consist of the following:</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880" w:type="dxa"/>
            <w:vAlign w:val="bottom"/>
            <w:tcBorders>
              <w:bottom w:val="single" w:sz="8" w:color="CFF0FC"/>
            </w:tcBorders>
          </w:tcPr>
          <w:p>
            <w:pPr>
              <w:spacing w:after="0"/>
              <w:rPr>
                <w:sz w:val="15"/>
                <w:szCs w:val="15"/>
                <w:color w:val="auto"/>
              </w:rPr>
            </w:pPr>
          </w:p>
        </w:tc>
        <w:tc>
          <w:tcPr>
            <w:tcW w:w="23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15,049,549</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18,265,530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145,115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22,072,598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14,858,509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5,532,341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4,180,651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start-up and license costs</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5,929,901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6,532,419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11,249,174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3,053,174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129,082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59,978,678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47,164,480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(54,687,950)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(41,878,528)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5,290,728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5,285,952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(9,343,440)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(9,343,440)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(4,057,488)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(4,057,488)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2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F-18</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for the years ended December 31, 2018 and 2017 are as follows: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15"/>
                <w:szCs w:val="15"/>
                <w:color w:val="auto"/>
              </w:rPr>
            </w:pPr>
          </w:p>
        </w:tc>
        <w:tc>
          <w:tcPr>
            <w:tcW w:w="3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7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7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0.38%</w:t>
            </w:r>
          </w:p>
        </w:tc>
        <w:tc>
          <w:tcPr>
            <w:tcW w:w="7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7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20.62%</w:t>
            </w:r>
          </w:p>
        </w:tc>
        <w:tc>
          <w:tcPr>
            <w:tcW w:w="7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7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$12.8 million and decreased by $9.9 million during the years ended December 31, 2018 and 2017.</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approximately $53.9 million of Federal net operating losses that will begin to expire in 2027. As of December 31, 2018, the Company's wholly owned subsidiary had approximately $2.6 million of operating losses in Switzerland which have begun to expire. As of December 31, 2018, the Company had approximately $7.7 million of New Jersey and approximately $40.6 million of Massachusetts operating losses that will begin to expire in 2029 and 2033, respectively. As of December 31, 2018, the Company had approximately $0.2 million of federal research and development credits that will begin to expire in 2027. The Internal Revenue Code ("IRC") limits the amounts of net operating loss carryforwards that a company may use in any one year in the event of certain cumulative changes in ownership over a three-year period as described in Section 382 of the IRS. The Company has not performed a detailed analysis to determine whether an ownership change has occurred as of December 31, 2018.</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22, 2017, the United States enacted tax reform legislation commonly known as the Tax Cuts and Jobs Act (the “Act”), resulting in significant modifications to existing law. The Company completed the accounting for the effects of the Act during 2017. The Company’s financial statements for the year ended December 31, 2017, reflected the effects of the Act which included a reduction in the corporate tax rate from 34% to 21%. Accordingly, the Company’s deferred tax assets and liabilities were revalued at the enacted rates effective in 2018 and in future years; the reduction in federal rate from 34% to 21% resulted in no impact to total income tax expense. In addition to the federal rate change impact, the Company accounted for the impact of legislation on the timing of deferred tax positions and overall financial statement presentation, resulting in a total income tax benefit of $9.4 million related to future implications of indefinite lived deferred tax positions in 2017. As the accounting for the effects was complete during 2017, no further changes impacted tax positions during the period ending December 31, 2018.</w:t>
      </w:r>
    </w:p>
    <w:p>
      <w:pPr>
        <w:spacing w:after="0" w:line="18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legislative change regarding the carryforward period of net operating losses impacts the Company’s indefinite lived deferred tax liabilities related to its IPR&amp;D intangibles. Prior to the change in tax law, the Company’s net operating losses could not be used to offset deferred tax liabilities resulting from taxable temporary differences with an indefinite life. After the legislative change, federal net operating loss incurred after December 31, 2017 will have an indefinite life. As a result, the Company’s deductible temporary differences will reverse and create unlimited lived deferred tax assets which may be available to offset indefinite lived deferred tax liabilities. Accordingly, the Company has recognized a tax benefit for the period ending December 31, 2017 to reflect this reversal pattern.</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Company had no liability recorded for unrecognized tax benefits. The Company classifies penalties and interest expense related to income tax liabilities as an income tax expense. There were no interest and penalties recognized in the statements of operations for the years ended December 31, 2018 and 2017, or accrued on the balance sheets as of December 31, 2018 and 2017.</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30, 2021, with a monthly rental rate starting at $14,808 and escalating to a maximum monthly rental rate of $16,288 in the final 12 months of the term. The Sublandlord has agreed to provide the Premises to the Company free of charge for the first two months of the term. The Company will recognize the remaining expense on a straight-line basis over the remaining lease term which will expire on July 30, 2021.</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refer to Note 6 – Co-Development and License Agreement and Note 7 – Stockholder’s Equity for additional related party transactions.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QUARTERLY RESULTS (Unaudited)</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2018</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June 30, 2018</w:t>
            </w:r>
          </w:p>
        </w:tc>
        <w:tc>
          <w:tcPr>
            <w:tcW w:w="142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2018</w:t>
            </w:r>
          </w:p>
        </w:tc>
        <w:tc>
          <w:tcPr>
            <w:tcW w:w="124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3"/>
          </w:tcPr>
          <w:p>
            <w:pPr>
              <w:jc w:val="center"/>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(13,627)</w:t>
            </w: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7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(13,203)</w:t>
            </w: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(0.34)</w:t>
            </w:r>
          </w:p>
        </w:tc>
      </w:tr>
      <w:tr>
        <w:trPr>
          <w:trHeight w:val="38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42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2017</w:t>
            </w:r>
          </w:p>
        </w:tc>
        <w:tc>
          <w:tcPr>
            <w:tcW w:w="1240" w:type="dxa"/>
            <w:vAlign w:val="bottom"/>
            <w:tcBorders>
              <w:bottom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3"/>
          </w:tcPr>
          <w:p>
            <w:pPr>
              <w:jc w:val="center"/>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4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(9,532)</w:t>
            </w:r>
          </w:p>
        </w:tc>
      </w:tr>
      <w:tr>
        <w:trPr>
          <w:trHeight w:val="230"/>
        </w:trPr>
        <w:tc>
          <w:tcPr>
            <w:tcW w:w="2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7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4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0"/>
                <w:szCs w:val="20"/>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5" w:right="299" w:bottom="1440" w:gutter="0" w:footer="0" w:header="0"/>
        </w:sectPr>
      </w:pPr>
    </w:p>
    <w:bookmarkStart w:id="84" w:name="page85"/>
    <w:bookmarkEnd w:id="8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2018. Based on the evaluation of our disclosure controls and procedures as of December 31, 2018,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2018,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2018,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 transition period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26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33" w:right="359" w:bottom="1440" w:gutter="0" w:footer="0" w:header="0"/>
        </w:sectPr>
      </w:pPr>
    </w:p>
    <w:bookmarkStart w:id="85" w:name="page86"/>
    <w:bookmarkEnd w:id="85"/>
    <w:p>
      <w:pPr>
        <w:ind w:left="54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10 will be contained in the sections entitled “Election of Directors,” “Corporate Governance” and</w:t>
      </w:r>
    </w:p>
    <w:p>
      <w:pPr>
        <w:spacing w:after="0" w:line="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“Section 16(a) Beneficial Ownership Reporting Compliance” appearing in the definitive proxy statement we will file in connection with our 2019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37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2019 Annual Meeting of Stockholders and is incorporated by reference herein.</w:t>
      </w:r>
    </w:p>
    <w:p>
      <w:pPr>
        <w:spacing w:after="0" w:line="36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2019 Annual Meeting of Stockholders and is incorporated by reference herein.</w:t>
      </w:r>
    </w:p>
    <w:p>
      <w:pPr>
        <w:spacing w:after="0" w:line="36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Person Transactions, and Director Independence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contained in the sections entitled “Certain Relationships and Related Person Transactions” appearing in the definitive proxy statement we will file in connection with our 2019 Annual Meeting of Stockholders and is incorporated by reference herein.</w:t>
      </w:r>
    </w:p>
    <w:p>
      <w:pPr>
        <w:spacing w:after="0" w:line="34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contained in the section entitled “Corporate Governance—Principal Accountant Fees and Services” appearing in the definitive proxy statement we will file in connection with our 2019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Form 10-K.</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520" w:right="626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Consolidated Balance Sheets as of December 31, 2018 and 2017</w:t>
      </w:r>
    </w:p>
    <w:p>
      <w:pPr>
        <w:spacing w:after="0" w:line="1" w:lineRule="exact"/>
        <w:rPr>
          <w:rFonts w:ascii="Times New Roman" w:cs="Times New Roman" w:eastAsia="Times New Roman" w:hAnsi="Times New Roman"/>
          <w:sz w:val="18"/>
          <w:szCs w:val="18"/>
          <w:color w:val="auto"/>
        </w:rPr>
      </w:pPr>
    </w:p>
    <w:p>
      <w:pPr>
        <w:ind w:left="520" w:right="3720"/>
        <w:spacing w:after="0" w:line="3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2018 and 2017 Consolidated Statements of Stockholders’ Equity for the Years Ended December 31, 2018 and 2017 Consolidated Statements of Cash Flows for the Years Ended December 31, 2018 and 2017</w:t>
      </w:r>
    </w:p>
    <w:p>
      <w:pPr>
        <w:spacing w:after="0" w:line="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as all required information has been disclosed in the financial statements and related footnotes.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Annual Report on Form 10-K or are incorporated herein by reference.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gridSpan w:val="1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6"/>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Agreement and Plan of Merger of Sonkei Pharmaceuticals,</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Inc. with and into Cyrenaic Pharmaceuticals, Inc.,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November 12, 2013</w:t>
              </w:r>
            </w:hyperlink>
          </w:p>
        </w:tc>
        <w:tc>
          <w:tcPr>
            <w:tcW w:w="2980" w:type="dxa"/>
            <w:vAlign w:val="bottom"/>
            <w:tcBorders>
              <w:top w:val="single" w:sz="8" w:color="0000EE"/>
            </w:tcBorders>
            <w:gridSpan w:val="14"/>
          </w:tcPr>
          <w:p>
            <w:pPr>
              <w:spacing w:after="0"/>
              <w:rPr>
                <w:sz w:val="17"/>
                <w:szCs w:val="17"/>
                <w:color w:val="auto"/>
              </w:rPr>
            </w:pPr>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Certificate of Merger Merging Sonkei Pharmaceuticals, Inc.</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with and into Cyrenaic Pharmaceuticals, Inc., dated as of</w:t>
              </w:r>
            </w:hyperlink>
          </w:p>
        </w:tc>
        <w:tc>
          <w:tcPr>
            <w:tcW w:w="20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November 12, 2013</w:t>
              </w:r>
            </w:hyperlink>
          </w:p>
        </w:tc>
        <w:tc>
          <w:tcPr>
            <w:tcW w:w="312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4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Amended and Restated Certificate of Incorporation of the</w:t>
              </w:r>
            </w:hyperlink>
          </w:p>
        </w:tc>
        <w:tc>
          <w:tcPr>
            <w:tcW w:w="400" w:type="dxa"/>
            <w:vAlign w:val="bottom"/>
            <w:gridSpan w:val="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8">
              <w:r>
                <w:rPr>
                  <w:rFonts w:ascii="Times New Roman" w:cs="Times New Roman" w:eastAsia="Times New Roman" w:hAnsi="Times New Roman"/>
                  <w:sz w:val="18"/>
                  <w:szCs w:val="18"/>
                  <w:color w:val="0000EE"/>
                  <w:w w:val="97"/>
                </w:rPr>
                <w:t>Registrant</w:t>
              </w:r>
            </w:hyperlink>
          </w:p>
        </w:tc>
        <w:tc>
          <w:tcPr>
            <w:tcW w:w="382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5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Amended and Restated Bylaws of the Registrant</w:t>
              </w:r>
            </w:hyperlink>
          </w:p>
        </w:tc>
        <w:tc>
          <w:tcPr>
            <w:tcW w:w="1060" w:type="dxa"/>
            <w:vAlign w:val="bottom"/>
            <w:gridSpan w:val="1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Form of Common Stock Certificate</w:t>
              </w:r>
            </w:hyperlink>
          </w:p>
        </w:tc>
        <w:tc>
          <w:tcPr>
            <w:tcW w:w="2000" w:type="dxa"/>
            <w:vAlign w:val="bottom"/>
            <w:gridSpan w:val="15"/>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Investor Rights Agreement among the Registrant f/k/a</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Cyrenaic Pharmaceuticals, Inc. and certain of its security</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holders, dated as of August 29, 2007</w:t>
              </w:r>
            </w:hyperlink>
          </w:p>
        </w:tc>
        <w:tc>
          <w:tcPr>
            <w:tcW w:w="1460" w:type="dxa"/>
            <w:vAlign w:val="bottom"/>
            <w:tcBorders>
              <w:top w:val="single" w:sz="8" w:color="0000EE"/>
            </w:tcBorders>
            <w:gridSpan w:val="5"/>
          </w:tcPr>
          <w:p>
            <w:pPr>
              <w:spacing w:after="0"/>
              <w:rPr>
                <w:sz w:val="17"/>
                <w:szCs w:val="17"/>
                <w:color w:val="auto"/>
              </w:rPr>
            </w:pPr>
          </w:p>
        </w:tc>
        <w:tc>
          <w:tcPr>
            <w:tcW w:w="4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43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Amendment No. 1 to Investor Rights Agreement among the</w:t>
              </w:r>
            </w:hyperlink>
          </w:p>
        </w:tc>
        <w:tc>
          <w:tcPr>
            <w:tcW w:w="240" w:type="dxa"/>
            <w:vAlign w:val="bottom"/>
            <w:gridSpan w:val="5"/>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Registrant and certain of its security holders,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December 20, 2013</w:t>
              </w:r>
            </w:hyperlink>
          </w:p>
        </w:tc>
        <w:tc>
          <w:tcPr>
            <w:tcW w:w="2620" w:type="dxa"/>
            <w:vAlign w:val="bottom"/>
            <w:tcBorders>
              <w:top w:val="single" w:sz="8" w:color="0000EE"/>
            </w:tcBorders>
            <w:gridSpan w:val="8"/>
          </w:tcPr>
          <w:p>
            <w:pPr>
              <w:spacing w:after="0"/>
              <w:rPr>
                <w:sz w:val="17"/>
                <w:szCs w:val="17"/>
                <w:color w:val="auto"/>
              </w:rPr>
            </w:pPr>
          </w:p>
        </w:tc>
        <w:tc>
          <w:tcPr>
            <w:tcW w:w="5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Share Purchase Agreement between the Registrant, Mind-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21"/>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NRG SA and Various Shareholders dated as of February 11,</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3">
              <w:r>
                <w:rPr>
                  <w:rFonts w:ascii="Times New Roman" w:cs="Times New Roman" w:eastAsia="Times New Roman" w:hAnsi="Times New Roman"/>
                  <w:sz w:val="18"/>
                  <w:szCs w:val="18"/>
                  <w:color w:val="0000EE"/>
                  <w:w w:val="94"/>
                </w:rPr>
                <w:t>2014</w:t>
              </w:r>
            </w:hyperlink>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Common Stock Purchase Agreement between Johnson &amp;</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5"/>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Johnson Development Corporation and the Registrant, dated</w:t>
              </w:r>
            </w:hyperlink>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as of February 13, 2014</w:t>
              </w:r>
            </w:hyperlink>
          </w:p>
        </w:tc>
        <w:tc>
          <w:tcPr>
            <w:tcW w:w="28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Loan Agreement by and among certain stockholders and their</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affiliates and the Registrant, dated as of April 30, 2014</w:t>
              </w:r>
            </w:hyperlink>
          </w:p>
        </w:tc>
        <w:tc>
          <w:tcPr>
            <w:tcW w:w="48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4560" w:type="dxa"/>
            <w:vAlign w:val="bottom"/>
            <w:gridSpan w:val="21"/>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Loan Agreement by and among certain stockholders and their</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affiliates and the Registrant, dated as of May 23, 2014</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gridSpan w:val="29"/>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9"/>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Stock Purchase Agreement between Care Capital</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r:id="rId119">
              <w:r>
                <w:rPr>
                  <w:rFonts w:ascii="Times New Roman" w:cs="Times New Roman" w:eastAsia="Times New Roman" w:hAnsi="Times New Roman"/>
                  <w:sz w:val="18"/>
                  <w:szCs w:val="18"/>
                  <w:color w:val="0000EE"/>
                  <w:w w:val="98"/>
                </w:rPr>
                <w:t>Investments III LP, Index Ventures III L.P. and the Registrant</w:t>
              </w:r>
            </w:hyperlink>
          </w:p>
        </w:tc>
        <w:tc>
          <w:tcPr>
            <w:tcW w:w="1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f/k/a Cyrenaic Pharmaceuticals, Inc., dated as of August 29,</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9">
              <w:r>
                <w:rPr>
                  <w:rFonts w:ascii="Times New Roman" w:cs="Times New Roman" w:eastAsia="Times New Roman" w:hAnsi="Times New Roman"/>
                  <w:sz w:val="18"/>
                  <w:szCs w:val="18"/>
                  <w:color w:val="0000EE"/>
                  <w:w w:val="94"/>
                </w:rPr>
                <w:t>2007</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4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Amendment No. 1 to Stock Purchase Agreement between</w:t>
              </w:r>
            </w:hyperlink>
          </w:p>
        </w:tc>
        <w:tc>
          <w:tcPr>
            <w:tcW w:w="400" w:type="dxa"/>
            <w:vAlign w:val="bottom"/>
            <w:gridSpan w:val="14"/>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Care Capital Investments III LP, Index Ventures III L.P. and</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the Registrant and various Shareholders, dated as of March</w:t>
              </w:r>
            </w:hyperlink>
          </w:p>
        </w:tc>
        <w:tc>
          <w:tcPr>
            <w:tcW w:w="2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20">
              <w:r>
                <w:rPr>
                  <w:rFonts w:ascii="Times New Roman" w:cs="Times New Roman" w:eastAsia="Times New Roman" w:hAnsi="Times New Roman"/>
                  <w:sz w:val="18"/>
                  <w:szCs w:val="18"/>
                  <w:color w:val="0000EE"/>
                  <w:w w:val="95"/>
                </w:rPr>
                <w:t>28, 2014</w:t>
              </w:r>
            </w:hyperlink>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4"/>
                <w:szCs w:val="14"/>
                <w:color w:val="auto"/>
              </w:rPr>
              <w:t>†</w:t>
            </w:r>
          </w:p>
        </w:tc>
        <w:tc>
          <w:tcPr>
            <w:tcW w:w="4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Employment Agreement between Remy Luthringer and</w:t>
              </w:r>
            </w:hyperlink>
          </w:p>
        </w:tc>
        <w:tc>
          <w:tcPr>
            <w:tcW w:w="540" w:type="dxa"/>
            <w:vAlign w:val="bottom"/>
            <w:gridSpan w:val="20"/>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Mind-NRG SA, the Registrant's subsidiary, dated as of April</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121">
              <w:r>
                <w:rPr>
                  <w:rFonts w:ascii="Times New Roman" w:cs="Times New Roman" w:eastAsia="Times New Roman" w:hAnsi="Times New Roman"/>
                  <w:sz w:val="18"/>
                  <w:szCs w:val="18"/>
                  <w:color w:val="0000EE"/>
                  <w:w w:val="96"/>
                </w:rPr>
                <w:t>8, 2014</w:t>
              </w:r>
            </w:hyperlink>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4"/>
                <w:szCs w:val="14"/>
                <w:color w:val="auto"/>
              </w:rPr>
              <w:t>†</w:t>
            </w:r>
          </w:p>
        </w:tc>
        <w:tc>
          <w:tcPr>
            <w:tcW w:w="4560" w:type="dxa"/>
            <w:vAlign w:val="bottom"/>
            <w:gridSpan w:val="36"/>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Employment Agreement between Geoff Race and Mind-</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April 9,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NRG SA, the Registrant's subsidiary, dated as of April 8,</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22">
              <w:r>
                <w:rPr>
                  <w:rFonts w:ascii="Times New Roman" w:cs="Times New Roman" w:eastAsia="Times New Roman" w:hAnsi="Times New Roman"/>
                  <w:sz w:val="18"/>
                  <w:szCs w:val="18"/>
                  <w:color w:val="0000EE"/>
                  <w:w w:val="94"/>
                </w:rPr>
                <w:t>2014</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4"/>
                <w:szCs w:val="14"/>
                <w:color w:val="auto"/>
              </w:rPr>
              <w:t>†</w:t>
            </w:r>
          </w:p>
        </w:tc>
        <w:tc>
          <w:tcPr>
            <w:tcW w:w="43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Indemnification Agreement between the Registrant</w:t>
              </w:r>
            </w:hyperlink>
          </w:p>
        </w:tc>
        <w:tc>
          <w:tcPr>
            <w:tcW w:w="240" w:type="dxa"/>
            <w:vAlign w:val="bottom"/>
            <w:gridSpan w:val="8"/>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and each of its directors and executive officers</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43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License Agreement between Mitsubishi Pharma Corporation</w:t>
              </w:r>
            </w:hyperlink>
          </w:p>
        </w:tc>
        <w:tc>
          <w:tcPr>
            <w:tcW w:w="180" w:type="dxa"/>
            <w:vAlign w:val="bottom"/>
            <w:gridSpan w:val="6"/>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and the Registrant f/k/a Cyrenaic Pharmaceuticals, Inc., dated</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as of August 30, 2007</w:t>
              </w:r>
            </w:hyperlink>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Amendment to License Agreement between Mitsubishi</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6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Tanabe Pharma Corporation and the Registrant f/k/a Cyrenaic</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Pharmaceuticals, Inc., dated as of June 16, 2011</w:t>
              </w:r>
            </w:hyperlink>
          </w:p>
        </w:tc>
        <w:tc>
          <w:tcPr>
            <w:tcW w:w="110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Amendment to License Agreement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Mitsubishi Tanabe Pharma Corporation and the Registrant,</w:t>
              </w:r>
            </w:hyperlink>
          </w:p>
        </w:tc>
        <w:tc>
          <w:tcPr>
            <w:tcW w:w="3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dated as of January 20, 2014</w:t>
              </w:r>
            </w:hyperlink>
          </w:p>
        </w:tc>
        <w:tc>
          <w:tcPr>
            <w:tcW w:w="250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License Agreement between Mitsubishi Tanabe Pharma</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Corporation and the Registrant as successor in interest to</w:t>
              </w:r>
            </w:hyperlink>
          </w:p>
        </w:tc>
        <w:tc>
          <w:tcPr>
            <w:tcW w:w="4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Sonkei Pharmaceuticals, Inc., dated as of September 1, 2008</w:t>
              </w:r>
            </w:hyperlink>
          </w:p>
        </w:tc>
        <w:tc>
          <w:tcPr>
            <w:tcW w:w="20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Amendment to License Agreement between Mitsubishi</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Tanabe Pharma Corporation and the Registrant, dated as of</w:t>
              </w:r>
            </w:hyperlink>
          </w:p>
        </w:tc>
        <w:tc>
          <w:tcPr>
            <w:tcW w:w="2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January 20, 2014</w:t>
              </w:r>
            </w:hyperlink>
          </w:p>
        </w:tc>
        <w:tc>
          <w:tcPr>
            <w:tcW w:w="3320" w:type="dxa"/>
            <w:vAlign w:val="bottom"/>
            <w:gridSpan w:val="3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4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Co-Development and License Agreement between Janssen</w:t>
              </w:r>
            </w:hyperlink>
          </w:p>
        </w:tc>
        <w:tc>
          <w:tcPr>
            <w:tcW w:w="320" w:type="dxa"/>
            <w:vAlign w:val="bottom"/>
            <w:gridSpan w:val="1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Pharmaceutica, N.V. and the Registrant, dated as of February</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29">
              <w:r>
                <w:rPr>
                  <w:rFonts w:ascii="Times New Roman" w:cs="Times New Roman" w:eastAsia="Times New Roman" w:hAnsi="Times New Roman"/>
                  <w:sz w:val="18"/>
                  <w:szCs w:val="18"/>
                  <w:color w:val="0000EE"/>
                  <w:w w:val="95"/>
                </w:rPr>
                <w:t>13, 2014</w:t>
              </w:r>
            </w:hyperlink>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14"/>
                <w:szCs w:val="14"/>
                <w:color w:val="auto"/>
              </w:rPr>
              <w:t>†</w:t>
            </w:r>
          </w:p>
        </w:tc>
        <w:tc>
          <w:tcPr>
            <w:tcW w:w="4560" w:type="dxa"/>
            <w:vAlign w:val="bottom"/>
            <w:gridSpan w:val="36"/>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Employment Agreement between Joseph Reilly and the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Registrant, dated as of December 23, 2013</w:t>
              </w:r>
            </w:hyperlink>
          </w:p>
        </w:tc>
        <w:tc>
          <w:tcPr>
            <w:tcW w:w="54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14"/>
                <w:szCs w:val="14"/>
                <w:color w:val="auto"/>
              </w:rPr>
              <w:t>†</w:t>
            </w:r>
          </w:p>
        </w:tc>
        <w:tc>
          <w:tcPr>
            <w:tcW w:w="41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Amended and Restated 2013 Equity Incentive Plan of the</w:t>
              </w:r>
            </w:hyperlink>
          </w:p>
        </w:tc>
        <w:tc>
          <w:tcPr>
            <w:tcW w:w="420" w:type="dxa"/>
            <w:vAlign w:val="bottom"/>
            <w:gridSpan w:val="15"/>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June 11, 2018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131">
              <w:r>
                <w:rPr>
                  <w:rFonts w:ascii="Times New Roman" w:cs="Times New Roman" w:eastAsia="Times New Roman" w:hAnsi="Times New Roman"/>
                  <w:sz w:val="18"/>
                  <w:szCs w:val="18"/>
                  <w:color w:val="0000EE"/>
                  <w:w w:val="97"/>
                </w:rPr>
                <w:t>Registrant</w:t>
              </w:r>
            </w:hyperlink>
          </w:p>
        </w:tc>
        <w:tc>
          <w:tcPr>
            <w:tcW w:w="3820" w:type="dxa"/>
            <w:vAlign w:val="bottom"/>
            <w:gridSpan w:val="3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Loan and Security Agreement by and among Oxford Finance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January 20,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LLC, Silicon Valley Bank and the Registrant, dated as of</w:t>
              </w:r>
            </w:hyperlink>
          </w:p>
        </w:tc>
        <w:tc>
          <w:tcPr>
            <w:tcW w:w="300" w:type="dxa"/>
            <w:vAlign w:val="bottom"/>
            <w:tcBorders>
              <w:top w:val="single" w:sz="8" w:color="0000EE"/>
            </w:tcBorders>
            <w:gridSpan w:val="12"/>
          </w:tcPr>
          <w:p>
            <w:pPr>
              <w:spacing w:after="0"/>
              <w:rPr>
                <w:sz w:val="17"/>
                <w:szCs w:val="17"/>
                <w:color w:val="auto"/>
              </w:rPr>
            </w:pPr>
          </w:p>
        </w:tc>
        <w:tc>
          <w:tcPr>
            <w:tcW w:w="1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32">
              <w:r>
                <w:rPr>
                  <w:rFonts w:ascii="Times New Roman" w:cs="Times New Roman" w:eastAsia="Times New Roman" w:hAnsi="Times New Roman"/>
                  <w:sz w:val="18"/>
                  <w:szCs w:val="18"/>
                  <w:color w:val="0000EE"/>
                  <w:w w:val="98"/>
                </w:rPr>
                <w:t>January 16, 2015</w:t>
              </w:r>
            </w:hyperlink>
          </w:p>
        </w:tc>
        <w:tc>
          <w:tcPr>
            <w:tcW w:w="3320" w:type="dxa"/>
            <w:vAlign w:val="bottom"/>
            <w:gridSpan w:val="30"/>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4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Form of Securities Purchase Agreement between certain</w:t>
              </w:r>
            </w:hyperlink>
          </w:p>
        </w:tc>
        <w:tc>
          <w:tcPr>
            <w:tcW w:w="480" w:type="dxa"/>
            <w:vAlign w:val="bottom"/>
            <w:gridSpan w:val="18"/>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18,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investors referenced therein and the Registrant,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March 13, 2015</w:t>
              </w:r>
            </w:hyperlink>
          </w:p>
        </w:tc>
        <w:tc>
          <w:tcPr>
            <w:tcW w:w="3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520" w:type="dxa"/>
            <w:vAlign w:val="bottom"/>
            <w:gridSpan w:val="19"/>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Registration Rights Agreement between certain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18,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5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investors referenced therein and the Registrant, dated as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March 13, 2015</w:t>
              </w:r>
            </w:hyperlink>
          </w:p>
        </w:tc>
        <w:tc>
          <w:tcPr>
            <w:tcW w:w="34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80" w:type="dxa"/>
            <w:vAlign w:val="bottom"/>
            <w:gridSpan w:val="2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4560" w:type="dxa"/>
            <w:vAlign w:val="bottom"/>
            <w:gridSpan w:val="3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Second Amendment to License Agreement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May 7,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1860" w:type="dxa"/>
            <w:vAlign w:val="bottom"/>
            <w:gridSpan w:val="6"/>
            <w:shd w:val="clear" w:color="auto" w:fill="0000EE"/>
          </w:tcPr>
          <w:p>
            <w:pPr>
              <w:spacing w:after="0" w:line="20" w:lineRule="exact"/>
              <w:rPr>
                <w:sz w:val="1"/>
                <w:szCs w:val="1"/>
                <w:color w:val="auto"/>
              </w:rPr>
            </w:pPr>
          </w:p>
        </w:tc>
        <w:tc>
          <w:tcPr>
            <w:tcW w:w="820" w:type="dxa"/>
            <w:vAlign w:val="bottom"/>
            <w:gridSpan w:val="2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Mitsubishi Tanabe Pharma Corporation and the Registrant,</w:t>
              </w:r>
            </w:hyperlink>
          </w:p>
        </w:tc>
        <w:tc>
          <w:tcPr>
            <w:tcW w:w="3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dated as of April 21, 2015</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60" w:type="dxa"/>
            <w:vAlign w:val="bottom"/>
            <w:gridSpan w:val="31"/>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vMerge w:val="restart"/>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p>
        </w:tc>
        <w:tc>
          <w:tcPr>
            <w:tcW w:w="3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Amended and Restated Non-Employee Director</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2, 2018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Compensation Plan</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43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First Amendment to Loan and Security Agreement, dated as</w:t>
              </w:r>
            </w:hyperlink>
          </w:p>
        </w:tc>
        <w:tc>
          <w:tcPr>
            <w:tcW w:w="220" w:type="dxa"/>
            <w:vAlign w:val="bottom"/>
            <w:gridSpan w:val="6"/>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August 28,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of August 27, 2015, by and among Oxford Finance LLC,</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Silicon Valley Bank and the Registrant</w:t>
              </w:r>
            </w:hyperlink>
          </w:p>
        </w:tc>
        <w:tc>
          <w:tcPr>
            <w:tcW w:w="1300" w:type="dxa"/>
            <w:vAlign w:val="bottom"/>
            <w:tcBorders>
              <w:top w:val="single" w:sz="8" w:color="0000EE"/>
            </w:tcBorders>
            <w:gridSpan w:val="12"/>
          </w:tcPr>
          <w:p>
            <w:pPr>
              <w:spacing w:after="0"/>
              <w:rPr>
                <w:sz w:val="17"/>
                <w:szCs w:val="17"/>
                <w:color w:val="auto"/>
              </w:rPr>
            </w:pPr>
          </w:p>
        </w:tc>
        <w:tc>
          <w:tcPr>
            <w:tcW w:w="4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21"/>
                <w:szCs w:val="21"/>
                <w:color w:val="auto"/>
              </w:rPr>
              <w:t>†</w:t>
            </w:r>
          </w:p>
        </w:tc>
        <w:tc>
          <w:tcPr>
            <w:tcW w:w="40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Employment Agreement between Fred Ahlholm and the</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5,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Registrant, dated as of May 30, 2014</w:t>
              </w:r>
            </w:hyperlink>
          </w:p>
        </w:tc>
        <w:tc>
          <w:tcPr>
            <w:tcW w:w="190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434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Second Amendment to Loan and Security Agreement, dated</w:t>
              </w:r>
            </w:hyperlink>
          </w:p>
        </w:tc>
        <w:tc>
          <w:tcPr>
            <w:tcW w:w="220" w:type="dxa"/>
            <w:vAlign w:val="bottom"/>
            <w:gridSpan w:val="6"/>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25,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as of February 23, 2016, by and among Oxford Finance LLC,</w:t>
              </w:r>
            </w:hyperlink>
          </w:p>
        </w:tc>
        <w:tc>
          <w:tcPr>
            <w:tcW w:w="12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Silicon Valley Bank and the Registrant</w:t>
              </w:r>
            </w:hyperlink>
          </w:p>
        </w:tc>
        <w:tc>
          <w:tcPr>
            <w:tcW w:w="176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43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Common Stock Purchase Agreement, dated March 17, 2016,</w:t>
              </w:r>
            </w:hyperlink>
          </w:p>
        </w:tc>
        <w:tc>
          <w:tcPr>
            <w:tcW w:w="180" w:type="dxa"/>
            <w:vAlign w:val="bottom"/>
            <w:gridSpan w:val="4"/>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18,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by and between David Kupfer and the Registrant</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21"/>
                <w:szCs w:val="21"/>
                <w:color w:val="auto"/>
              </w:rPr>
              <w:t>†</w:t>
            </w: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vMerge w:val="continue"/>
          </w:tcPr>
          <w:p>
            <w:pPr>
              <w:spacing w:after="0"/>
              <w:rPr>
                <w:sz w:val="24"/>
                <w:szCs w:val="24"/>
                <w:color w:val="auto"/>
              </w:rPr>
            </w:pPr>
          </w:p>
        </w:tc>
        <w:tc>
          <w:tcPr>
            <w:tcW w:w="43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Employment Agreement, dated as of August 1, 2016, by and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between Mind-NRG SARL and Dr. Remy Luthringer</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21"/>
                <w:szCs w:val="21"/>
                <w:color w:val="auto"/>
              </w:rPr>
              <w:t>†</w:t>
            </w: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vMerge w:val="continue"/>
          </w:tcPr>
          <w:p>
            <w:pPr>
              <w:spacing w:after="0"/>
              <w:rPr>
                <w:sz w:val="24"/>
                <w:szCs w:val="24"/>
                <w:color w:val="auto"/>
              </w:rPr>
            </w:pPr>
          </w:p>
        </w:tc>
        <w:tc>
          <w:tcPr>
            <w:tcW w:w="43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Employment Agreement, dated as of August 1, 2016, by and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between Mind-NRG SARL and Geoffrey Race</w:t>
              </w:r>
            </w:hyperlink>
          </w:p>
        </w:tc>
        <w:tc>
          <w:tcPr>
            <w:tcW w:w="11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r>
              <w:rPr>
                <w:rFonts w:ascii="Times New Roman" w:cs="Times New Roman" w:eastAsia="Times New Roman" w:hAnsi="Times New Roman"/>
                <w:sz w:val="21"/>
                <w:szCs w:val="21"/>
                <w:color w:val="auto"/>
              </w:rPr>
              <w:t>†</w:t>
            </w:r>
          </w:p>
        </w:tc>
        <w:tc>
          <w:tcPr>
            <w:tcW w:w="43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Employment Agreement, dated as of August 1, 2016, by and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between the Registrant and Frederick Ahlholm</w:t>
              </w:r>
            </w:hyperlink>
          </w:p>
        </w:tc>
        <w:tc>
          <w:tcPr>
            <w:tcW w:w="1180" w:type="dxa"/>
            <w:vAlign w:val="bottom"/>
            <w:gridSpan w:val="2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r>
              <w:rPr>
                <w:rFonts w:ascii="Times New Roman" w:cs="Times New Roman" w:eastAsia="Times New Roman" w:hAnsi="Times New Roman"/>
                <w:sz w:val="21"/>
                <w:szCs w:val="21"/>
                <w:color w:val="auto"/>
              </w:rPr>
              <w:t>†</w:t>
            </w:r>
          </w:p>
        </w:tc>
        <w:tc>
          <w:tcPr>
            <w:tcW w:w="43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Employment Agreement, dated as of August 1, 2016, by and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between the Registrant and Mark S. Levine</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10.31</w:t>
            </w:r>
            <w:r>
              <w:rPr>
                <w:rFonts w:ascii="Times New Roman" w:cs="Times New Roman" w:eastAsia="Times New Roman" w:hAnsi="Times New Roman"/>
                <w:sz w:val="21"/>
                <w:szCs w:val="21"/>
                <w:color w:val="auto"/>
              </w:rPr>
              <w:t>†</w:t>
            </w: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vMerge w:val="continue"/>
          </w:tcPr>
          <w:p>
            <w:pPr>
              <w:spacing w:after="0"/>
              <w:rPr>
                <w:sz w:val="24"/>
                <w:szCs w:val="24"/>
                <w:color w:val="auto"/>
              </w:rPr>
            </w:pPr>
          </w:p>
        </w:tc>
        <w:tc>
          <w:tcPr>
            <w:tcW w:w="436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Employment Agreement, dated as of August 1, 2016, by and</w:t>
              </w:r>
            </w:hyperlink>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between the Registrant and Joseph Reilly</w:t>
              </w:r>
            </w:hyperlink>
          </w:p>
        </w:tc>
        <w:tc>
          <w:tcPr>
            <w:tcW w:w="158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4560" w:type="dxa"/>
            <w:vAlign w:val="bottom"/>
            <w:gridSpan w:val="36"/>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Form of Restricted Stock Unit Agreement under the</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16,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70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Amended and Restated 2013 Equity Incentive Plan of the</w:t>
              </w:r>
            </w:hyperlink>
          </w:p>
        </w:tc>
        <w:tc>
          <w:tcPr>
            <w:tcW w:w="42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48">
              <w:r>
                <w:rPr>
                  <w:rFonts w:ascii="Times New Roman" w:cs="Times New Roman" w:eastAsia="Times New Roman" w:hAnsi="Times New Roman"/>
                  <w:sz w:val="18"/>
                  <w:szCs w:val="18"/>
                  <w:color w:val="0000EE"/>
                  <w:w w:val="97"/>
                </w:rPr>
                <w:t>Registrant</w:t>
              </w:r>
            </w:hyperlink>
          </w:p>
        </w:tc>
        <w:tc>
          <w:tcPr>
            <w:tcW w:w="3820" w:type="dxa"/>
            <w:vAlign w:val="bottom"/>
            <w:gridSpan w:val="33"/>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10.33†</w:t>
            </w:r>
          </w:p>
        </w:tc>
        <w:tc>
          <w:tcPr>
            <w:tcW w:w="4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Option Grant Agreement under the Amended and</w:t>
              </w:r>
            </w:hyperlink>
          </w:p>
        </w:tc>
        <w:tc>
          <w:tcPr>
            <w:tcW w:w="360" w:type="dxa"/>
            <w:vAlign w:val="bottom"/>
            <w:gridSpan w:val="11"/>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Restated 2013 Equity Incentive Plan</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4"/>
                <w:szCs w:val="24"/>
                <w:color w:val="auto"/>
              </w:rPr>
            </w:pPr>
          </w:p>
        </w:tc>
        <w:tc>
          <w:tcPr>
            <w:tcW w:w="4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Sublease Agreement dated October 2, 2017 by and between</w:t>
              </w:r>
            </w:hyperlink>
          </w:p>
        </w:tc>
        <w:tc>
          <w:tcPr>
            <w:tcW w:w="240" w:type="dxa"/>
            <w:vAlign w:val="bottom"/>
            <w:gridSpan w:val="7"/>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November 6,2017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the Registrant and Profitect, Inc. NV</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4"/>
                <w:szCs w:val="24"/>
                <w:color w:val="auto"/>
              </w:rPr>
            </w:pPr>
          </w:p>
        </w:tc>
        <w:tc>
          <w:tcPr>
            <w:tcW w:w="3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Amendment No. 1 to Co-Development and License</w:t>
              </w:r>
            </w:hyperlink>
          </w:p>
        </w:tc>
        <w:tc>
          <w:tcPr>
            <w:tcW w:w="820" w:type="dxa"/>
            <w:vAlign w:val="bottom"/>
            <w:gridSpan w:val="19"/>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14,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Agreement dated June 13, 2017, by and between the</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Registrant and Janssen Pharmaceutica NV</w:t>
              </w:r>
            </w:hyperlink>
          </w:p>
        </w:tc>
        <w:tc>
          <w:tcPr>
            <w:tcW w:w="800" w:type="dxa"/>
            <w:vAlign w:val="bottom"/>
            <w:gridSpan w:val="1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1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4"/>
                <w:szCs w:val="24"/>
                <w:color w:val="auto"/>
              </w:rPr>
            </w:pPr>
          </w:p>
        </w:tc>
        <w:tc>
          <w:tcPr>
            <w:tcW w:w="4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Stock Repurchase Agreement dated June 13, 2017 by and</w:t>
              </w:r>
            </w:hyperlink>
          </w:p>
        </w:tc>
        <w:tc>
          <w:tcPr>
            <w:tcW w:w="400" w:type="dxa"/>
            <w:vAlign w:val="bottom"/>
            <w:gridSpan w:val="1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June 14,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between the Registrant and Johnson &amp; Johnson Innovation-</w:t>
              </w:r>
            </w:hyperlink>
          </w:p>
        </w:tc>
        <w:tc>
          <w:tcPr>
            <w:tcW w:w="2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JJDC Inc.</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10.37†</w:t>
            </w:r>
          </w:p>
        </w:tc>
        <w:tc>
          <w:tcPr>
            <w:tcW w:w="44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Offer Letter by and between the Registrant and Rick Russell,</w:t>
              </w:r>
            </w:hyperlink>
          </w:p>
        </w:tc>
        <w:tc>
          <w:tcPr>
            <w:tcW w:w="160" w:type="dxa"/>
            <w:vAlign w:val="bottom"/>
            <w:gridSpan w:val="3"/>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dated December 11, 2017.</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2300" w:type="dxa"/>
            <w:vAlign w:val="bottom"/>
            <w:gridSpan w:val="1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10.38†</w:t>
            </w:r>
          </w:p>
        </w:tc>
        <w:tc>
          <w:tcPr>
            <w:tcW w:w="4560" w:type="dxa"/>
            <w:vAlign w:val="bottom"/>
            <w:gridSpan w:val="36"/>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New Hire Inducement Stock Option Grant by and between</w:t>
              </w:r>
            </w:hyperlink>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780" w:type="dxa"/>
            <w:vAlign w:val="bottom"/>
            <w:gridSpan w:val="2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the Registrant and Rick Russell, dated December 11, 2017.</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10.39†</w:t>
            </w:r>
          </w:p>
        </w:tc>
        <w:tc>
          <w:tcPr>
            <w:tcW w:w="4180" w:type="dxa"/>
            <w:vAlign w:val="bottom"/>
            <w:tcBorders>
              <w:top w:val="single" w:sz="8" w:color="0000EE"/>
              <w:bottom w:val="single" w:sz="8" w:color="0000EE"/>
            </w:tcBorders>
            <w:gridSpan w:val="24"/>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New Hire Inducement Restricted Stock Unit Grant by and</w:t>
              </w:r>
            </w:hyperlink>
          </w:p>
        </w:tc>
        <w:tc>
          <w:tcPr>
            <w:tcW w:w="60" w:type="dxa"/>
            <w:vAlign w:val="bottom"/>
            <w:tcBorders>
              <w:top w:val="single" w:sz="8" w:color="0000EE"/>
            </w:tcBorders>
            <w:gridSpan w:val="3"/>
          </w:tcPr>
          <w:p>
            <w:pPr>
              <w:spacing w:after="0"/>
              <w:rPr>
                <w:sz w:val="24"/>
                <w:szCs w:val="24"/>
                <w:color w:val="auto"/>
              </w:rPr>
            </w:pPr>
          </w:p>
        </w:tc>
        <w:tc>
          <w:tcPr>
            <w:tcW w:w="320" w:type="dxa"/>
            <w:vAlign w:val="bottom"/>
            <w:gridSpan w:val="9"/>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Pr>
          <w:p>
            <w:pPr>
              <w:spacing w:after="0"/>
              <w:rPr>
                <w:sz w:val="24"/>
                <w:szCs w:val="2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36"/>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between the Registrant and Rick Russell, dated December 11,</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2017.</w:t>
              </w:r>
            </w:hyperlink>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6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vMerge w:val="restart"/>
          </w:tcPr>
          <w:p>
            <w:pPr>
              <w:spacing w:after="0"/>
              <w:rPr>
                <w:sz w:val="13"/>
                <w:szCs w:val="13"/>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vMerge w:val="restart"/>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9"/>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1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92">
              <w:r>
                <w:rPr>
                  <w:rFonts w:ascii="Times New Roman" w:cs="Times New Roman" w:eastAsia="Times New Roman" w:hAnsi="Times New Roman"/>
                  <w:sz w:val="18"/>
                  <w:szCs w:val="18"/>
                  <w:color w:val="0000EE"/>
                  <w:w w:val="98"/>
                </w:rPr>
                <w:t>List of Subsidiaries</w:t>
              </w:r>
            </w:hyperlink>
          </w:p>
        </w:tc>
        <w:tc>
          <w:tcPr>
            <w:tcW w:w="31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4560" w:type="dxa"/>
            <w:vAlign w:val="bottom"/>
            <w:gridSpan w:val="12"/>
          </w:tcPr>
          <w:p>
            <w:pPr>
              <w:spacing w:after="0"/>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Consent of Deloitte &amp; Touche, LLP, independent registered</w:t>
              </w:r>
            </w:hyperlink>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93">
              <w:r>
                <w:rPr>
                  <w:rFonts w:ascii="Times New Roman" w:cs="Times New Roman" w:eastAsia="Times New Roman" w:hAnsi="Times New Roman"/>
                  <w:sz w:val="18"/>
                  <w:szCs w:val="18"/>
                  <w:color w:val="0000EE"/>
                  <w:w w:val="98"/>
                </w:rPr>
                <w:t>public accounting firm</w:t>
              </w:r>
            </w:hyperlink>
          </w:p>
        </w:tc>
        <w:tc>
          <w:tcPr>
            <w:tcW w:w="2640" w:type="dxa"/>
            <w:vAlign w:val="bottom"/>
            <w:tcBorders>
              <w:top w:val="single" w:sz="8" w:color="0000EE"/>
            </w:tcBorders>
            <w:gridSpan w:val="5"/>
          </w:tcPr>
          <w:p>
            <w:pPr>
              <w:spacing w:after="0"/>
              <w:rPr>
                <w:sz w:val="17"/>
                <w:szCs w:val="17"/>
                <w:color w:val="auto"/>
              </w:rPr>
            </w:pPr>
          </w:p>
        </w:tc>
        <w:tc>
          <w:tcPr>
            <w:tcW w:w="28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41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Power of Attorney (included on the Signature page of this</w:t>
              </w:r>
            </w:hyperlink>
          </w:p>
        </w:tc>
        <w:tc>
          <w:tcPr>
            <w:tcW w:w="3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Annual Report on Form 10-K)</w:t>
              </w:r>
            </w:hyperlink>
          </w:p>
        </w:tc>
        <w:tc>
          <w:tcPr>
            <w:tcW w:w="23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Certification of Chief Executive Officer (Principal Executive</w:t>
              </w:r>
            </w:hyperlink>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12"/>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Officer) pursuant to Section 302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94">
              <w:r>
                <w:rPr>
                  <w:rFonts w:ascii="Times New Roman" w:cs="Times New Roman" w:eastAsia="Times New Roman" w:hAnsi="Times New Roman"/>
                  <w:sz w:val="18"/>
                  <w:szCs w:val="18"/>
                  <w:color w:val="0000EE"/>
                  <w:w w:val="94"/>
                </w:rPr>
                <w:t>2002</w:t>
              </w:r>
            </w:hyperlink>
          </w:p>
        </w:tc>
        <w:tc>
          <w:tcPr>
            <w:tcW w:w="1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4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Certification of Chief Financial Officer (Principal Financial</w:t>
              </w:r>
            </w:hyperlink>
          </w:p>
        </w:tc>
        <w:tc>
          <w:tcPr>
            <w:tcW w:w="260" w:type="dxa"/>
            <w:vAlign w:val="bottom"/>
            <w:gridSpan w:val="3"/>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12"/>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Officer) pursuant to Section 302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95">
              <w:r>
                <w:rPr>
                  <w:rFonts w:ascii="Times New Roman" w:cs="Times New Roman" w:eastAsia="Times New Roman" w:hAnsi="Times New Roman"/>
                  <w:sz w:val="18"/>
                  <w:szCs w:val="18"/>
                  <w:color w:val="0000EE"/>
                  <w:w w:val="94"/>
                </w:rPr>
                <w:t>2002</w:t>
              </w:r>
            </w:hyperlink>
          </w:p>
        </w:tc>
        <w:tc>
          <w:tcPr>
            <w:tcW w:w="1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Certification of Chief Executive Officer (Principal Executive</w:t>
              </w:r>
            </w:hyperlink>
          </w:p>
        </w:tc>
        <w:tc>
          <w:tcPr>
            <w:tcW w:w="1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Officer) and Chief Financial Officer (Principal Financial</w:t>
              </w:r>
            </w:hyperlink>
          </w:p>
        </w:tc>
        <w:tc>
          <w:tcPr>
            <w:tcW w:w="4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60" w:type="dxa"/>
            <w:vAlign w:val="bottom"/>
            <w:gridSpan w:val="12"/>
          </w:tcPr>
          <w:p>
            <w:pPr>
              <w:spacing w:after="0" w:line="196"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Officer) pursuant to Section 906 of Sarbanes-Oxley Act of</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96">
              <w:r>
                <w:rPr>
                  <w:rFonts w:ascii="Times New Roman" w:cs="Times New Roman" w:eastAsia="Times New Roman" w:hAnsi="Times New Roman"/>
                  <w:sz w:val="18"/>
                  <w:szCs w:val="18"/>
                  <w:color w:val="0000EE"/>
                  <w:w w:val="94"/>
                </w:rPr>
                <w:t>2002</w:t>
              </w:r>
            </w:hyperlink>
          </w:p>
        </w:tc>
        <w:tc>
          <w:tcPr>
            <w:tcW w:w="10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19"/>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by the Securities and Exchange Commission as to certain portions of this document.</w:t>
      </w:r>
    </w:p>
    <w:p>
      <w:pPr>
        <w:spacing w:after="0" w:line="117" w:lineRule="exact"/>
        <w:rPr>
          <w:sz w:val="20"/>
          <w:szCs w:val="20"/>
          <w:color w:val="auto"/>
        </w:rPr>
      </w:pPr>
    </w:p>
    <w:p>
      <w:pPr>
        <w:ind w:left="520" w:right="60" w:hanging="512"/>
        <w:spacing w:after="0" w:line="266"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-130810</wp:posOffset>
            </wp:positionV>
            <wp:extent cx="25730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2019</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3"/>
          <w:szCs w:val="13"/>
          <w:b w:val="1"/>
          <w:bCs w:val="1"/>
          <w:color w:val="auto"/>
        </w:rPr>
        <w:t>NOW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LL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ERSONS</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RESENTS</w:t>
      </w:r>
      <w:r>
        <w:rPr>
          <w:rFonts w:ascii="Times New Roman" w:cs="Times New Roman" w:eastAsia="Times New Roman" w:hAnsi="Times New Roman"/>
          <w:sz w:val="18"/>
          <w:szCs w:val="18"/>
          <w:color w:val="auto"/>
        </w:rPr>
        <w:t>, that each person whose signature appears below constitutes and appoints Remy Luthringer, Ph.D. and Geoffrey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Race,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8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Pr>
          <w:p>
            <w:pPr>
              <w:jc w:val="center"/>
              <w:ind w:right="11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91"/>
        </w:trPr>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 and</w:t>
            </w:r>
          </w:p>
        </w:tc>
        <w:tc>
          <w:tcPr>
            <w:tcW w:w="240" w:type="dxa"/>
            <w:vAlign w:val="bottom"/>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c>
          <w:tcPr>
            <w:tcW w:w="240" w:type="dxa"/>
            <w:vAlign w:val="bottom"/>
          </w:tcPr>
          <w:p>
            <w:pPr>
              <w:spacing w:after="0"/>
              <w:rPr>
                <w:sz w:val="20"/>
                <w:szCs w:val="20"/>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Remy Luthringer, Ph.D.</w:t>
            </w:r>
          </w:p>
        </w:tc>
        <w:tc>
          <w:tcPr>
            <w:tcW w:w="240" w:type="dxa"/>
            <w:vAlign w:val="bottom"/>
          </w:tcPr>
          <w:p>
            <w:pPr>
              <w:spacing w:after="0"/>
              <w:rPr>
                <w:sz w:val="19"/>
                <w:szCs w:val="19"/>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30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240" w:type="dxa"/>
            <w:vAlign w:val="bottom"/>
            <w:tcBorders>
              <w:bottom w:val="single" w:sz="8" w:color="auto"/>
            </w:tcBorders>
          </w:tcPr>
          <w:p>
            <w:pPr>
              <w:jc w:val="center"/>
              <w:ind w:right="933"/>
              <w:spacing w:after="0"/>
              <w:rPr>
                <w:sz w:val="20"/>
                <w:szCs w:val="20"/>
                <w:color w:val="auto"/>
              </w:rPr>
            </w:pPr>
            <w:r>
              <w:rPr>
                <w:rFonts w:ascii="Times New Roman" w:cs="Times New Roman" w:eastAsia="Times New Roman" w:hAnsi="Times New Roman"/>
                <w:sz w:val="18"/>
                <w:szCs w:val="18"/>
                <w:color w:val="auto"/>
              </w:rPr>
              <w:t>Geoffrey Race</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2380" w:type="dxa"/>
            <w:vAlign w:val="bottom"/>
            <w:gridSpan w:val="2"/>
            <w:vMerge w:val="restart"/>
          </w:tcPr>
          <w:p>
            <w:pPr>
              <w:jc w:val="center"/>
              <w:ind w:right="1053"/>
              <w:spacing w:after="0"/>
              <w:rPr>
                <w:sz w:val="20"/>
                <w:szCs w:val="20"/>
                <w:color w:val="auto"/>
              </w:rPr>
            </w:pPr>
            <w:r>
              <w:rPr>
                <w:rFonts w:ascii="Times New Roman" w:cs="Times New Roman" w:eastAsia="Times New Roman" w:hAnsi="Times New Roman"/>
                <w:sz w:val="18"/>
                <w:szCs w:val="18"/>
                <w:color w:val="auto"/>
                <w:w w:val="98"/>
              </w:rPr>
              <w:t>Geoffrey Race</w:t>
            </w:r>
          </w:p>
        </w:tc>
        <w:tc>
          <w:tcPr>
            <w:tcW w:w="240" w:type="dxa"/>
            <w:vAlign w:val="bottom"/>
          </w:tcPr>
          <w:p>
            <w:pPr>
              <w:spacing w:after="0"/>
              <w:rPr>
                <w:sz w:val="7"/>
                <w:szCs w:val="7"/>
                <w:color w:val="auto"/>
              </w:rPr>
            </w:pPr>
          </w:p>
        </w:tc>
        <w:tc>
          <w:tcPr>
            <w:tcW w:w="4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w:t>
            </w:r>
          </w:p>
        </w:tc>
        <w:tc>
          <w:tcPr>
            <w:tcW w:w="2380" w:type="dxa"/>
            <w:vAlign w:val="bottom"/>
            <w:tcBorders>
              <w:bottom w:val="single" w:sz="8" w:color="auto"/>
            </w:tcBorders>
            <w:gridSpan w:val="2"/>
          </w:tcPr>
          <w:p>
            <w:pPr>
              <w:jc w:val="center"/>
              <w:ind w:right="793"/>
              <w:spacing w:after="0"/>
              <w:rPr>
                <w:sz w:val="20"/>
                <w:szCs w:val="20"/>
                <w:color w:val="auto"/>
              </w:rPr>
            </w:pPr>
            <w:r>
              <w:rPr>
                <w:rFonts w:ascii="Times New Roman" w:cs="Times New Roman" w:eastAsia="Times New Roman" w:hAnsi="Times New Roman"/>
                <w:sz w:val="18"/>
                <w:szCs w:val="18"/>
                <w:color w:val="auto"/>
              </w:rPr>
              <w:t>Frederick Ahlholm</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88"/>
        </w:trPr>
        <w:tc>
          <w:tcPr>
            <w:tcW w:w="3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Frederick Ahlholm</w:t>
            </w:r>
          </w:p>
        </w:tc>
        <w:tc>
          <w:tcPr>
            <w:tcW w:w="240" w:type="dxa"/>
            <w:vAlign w:val="bottom"/>
          </w:tcPr>
          <w:p>
            <w:pPr>
              <w:spacing w:after="0"/>
              <w:rPr>
                <w:sz w:val="7"/>
                <w:szCs w:val="7"/>
                <w:color w:val="auto"/>
              </w:rPr>
            </w:pPr>
          </w:p>
        </w:tc>
        <w:tc>
          <w:tcPr>
            <w:tcW w:w="4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4240" w:type="dxa"/>
            <w:vAlign w:val="bottom"/>
            <w:gridSpan w:val="2"/>
            <w:vMerge w:val="continue"/>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3"/>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53"/>
              <w:spacing w:after="0"/>
              <w:rPr>
                <w:sz w:val="20"/>
                <w:szCs w:val="20"/>
                <w:color w:val="auto"/>
              </w:rPr>
            </w:pPr>
            <w:r>
              <w:rPr>
                <w:rFonts w:ascii="Times New Roman" w:cs="Times New Roman" w:eastAsia="Times New Roman" w:hAnsi="Times New Roman"/>
                <w:sz w:val="18"/>
                <w:szCs w:val="18"/>
                <w:color w:val="auto"/>
                <w:w w:val="99"/>
              </w:rPr>
              <w:t>William F. Doyle</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2380" w:type="dxa"/>
            <w:vAlign w:val="bottom"/>
            <w:gridSpan w:val="2"/>
          </w:tcPr>
          <w:p>
            <w:pPr>
              <w:jc w:val="center"/>
              <w:ind w:right="1053"/>
              <w:spacing w:after="0"/>
              <w:rPr>
                <w:sz w:val="20"/>
                <w:szCs w:val="20"/>
                <w:color w:val="auto"/>
              </w:rPr>
            </w:pPr>
            <w:r>
              <w:rPr>
                <w:rFonts w:ascii="Times New Roman" w:cs="Times New Roman" w:eastAsia="Times New Roman" w:hAnsi="Times New Roman"/>
                <w:sz w:val="18"/>
                <w:szCs w:val="18"/>
                <w:color w:val="auto"/>
                <w:w w:val="97"/>
              </w:rPr>
              <w:t>William F. Doyle</w:t>
            </w:r>
          </w:p>
        </w:tc>
        <w:tc>
          <w:tcPr>
            <w:tcW w:w="240" w:type="dxa"/>
            <w:vAlign w:val="bottom"/>
          </w:tcPr>
          <w:p>
            <w:pPr>
              <w:spacing w:after="0"/>
              <w:rPr>
                <w:sz w:val="19"/>
                <w:szCs w:val="19"/>
                <w:color w:val="auto"/>
              </w:rPr>
            </w:pPr>
          </w:p>
        </w:tc>
        <w:tc>
          <w:tcPr>
            <w:tcW w:w="4240" w:type="dxa"/>
            <w:vAlign w:val="bottom"/>
            <w:gridSpan w:val="2"/>
            <w:vMerge w:val="continue"/>
          </w:tcPr>
          <w:p>
            <w:pPr>
              <w:spacing w:after="0"/>
              <w:rPr>
                <w:sz w:val="19"/>
                <w:szCs w:val="19"/>
                <w:color w:val="auto"/>
              </w:rPr>
            </w:pPr>
          </w:p>
        </w:tc>
        <w:tc>
          <w:tcPr>
            <w:tcW w:w="3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53"/>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Hans Peter Hasler</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30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/s/</w:t>
            </w:r>
          </w:p>
        </w:tc>
        <w:tc>
          <w:tcPr>
            <w:tcW w:w="2240" w:type="dxa"/>
            <w:vAlign w:val="bottom"/>
            <w:tcBorders>
              <w:bottom w:val="single" w:sz="8" w:color="auto"/>
            </w:tcBorders>
          </w:tcPr>
          <w:p>
            <w:pPr>
              <w:jc w:val="center"/>
              <w:ind w:right="853"/>
              <w:spacing w:after="0"/>
              <w:rPr>
                <w:sz w:val="20"/>
                <w:szCs w:val="20"/>
                <w:color w:val="auto"/>
              </w:rPr>
            </w:pPr>
            <w:r>
              <w:rPr>
                <w:rFonts w:ascii="Times New Roman" w:cs="Times New Roman" w:eastAsia="Times New Roman" w:hAnsi="Times New Roman"/>
                <w:sz w:val="18"/>
                <w:szCs w:val="18"/>
                <w:color w:val="auto"/>
                <w:w w:val="99"/>
              </w:rPr>
              <w:t>Jeryl Hilleman</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2380" w:type="dxa"/>
            <w:vAlign w:val="bottom"/>
            <w:gridSpan w:val="2"/>
            <w:vMerge w:val="restart"/>
          </w:tcPr>
          <w:p>
            <w:pPr>
              <w:jc w:val="center"/>
              <w:ind w:right="1073"/>
              <w:spacing w:after="0"/>
              <w:rPr>
                <w:sz w:val="20"/>
                <w:szCs w:val="20"/>
                <w:color w:val="auto"/>
              </w:rPr>
            </w:pPr>
            <w:r>
              <w:rPr>
                <w:rFonts w:ascii="Times New Roman" w:cs="Times New Roman" w:eastAsia="Times New Roman" w:hAnsi="Times New Roman"/>
                <w:sz w:val="18"/>
                <w:szCs w:val="18"/>
                <w:color w:val="auto"/>
                <w:w w:val="99"/>
              </w:rPr>
              <w:t>Jeryl Hilleman</w:t>
            </w:r>
          </w:p>
        </w:tc>
        <w:tc>
          <w:tcPr>
            <w:tcW w:w="24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w:t>
            </w:r>
          </w:p>
        </w:tc>
        <w:tc>
          <w:tcPr>
            <w:tcW w:w="2380" w:type="dxa"/>
            <w:vAlign w:val="bottom"/>
            <w:tcBorders>
              <w:bottom w:val="single" w:sz="8" w:color="auto"/>
            </w:tcBorders>
            <w:gridSpan w:val="2"/>
          </w:tcPr>
          <w:p>
            <w:pPr>
              <w:jc w:val="center"/>
              <w:ind w:right="713"/>
              <w:spacing w:after="0"/>
              <w:rPr>
                <w:sz w:val="20"/>
                <w:szCs w:val="20"/>
                <w:color w:val="auto"/>
              </w:rPr>
            </w:pPr>
            <w:r>
              <w:rPr>
                <w:rFonts w:ascii="Times New Roman" w:cs="Times New Roman" w:eastAsia="Times New Roman" w:hAnsi="Times New Roman"/>
                <w:sz w:val="18"/>
                <w:szCs w:val="18"/>
                <w:color w:val="auto"/>
              </w:rPr>
              <w:t>David Kupfer, MD</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David Kupfer, MD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Fouzia Laghrissi-Thode, MD</w:t>
            </w:r>
          </w:p>
        </w:tc>
        <w:tc>
          <w:tcPr>
            <w:tcW w:w="240" w:type="dxa"/>
            <w:vAlign w:val="bottom"/>
          </w:tcPr>
          <w:p>
            <w:pPr>
              <w:spacing w:after="0"/>
              <w:rPr>
                <w:sz w:val="24"/>
                <w:szCs w:val="24"/>
                <w:color w:val="auto"/>
              </w:rPr>
            </w:pPr>
          </w:p>
        </w:tc>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228"/>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Fouzia Laghrissi-Thode, MD</w:t>
            </w:r>
          </w:p>
        </w:tc>
        <w:tc>
          <w:tcPr>
            <w:tcW w:w="2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130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240" w:type="dxa"/>
            <w:vAlign w:val="bottom"/>
            <w:tcBorders>
              <w:bottom w:val="single" w:sz="8" w:color="auto"/>
            </w:tcBorders>
          </w:tcPr>
          <w:p>
            <w:pPr>
              <w:jc w:val="center"/>
              <w:ind w:right="853"/>
              <w:spacing w:after="0"/>
              <w:rPr>
                <w:sz w:val="20"/>
                <w:szCs w:val="20"/>
                <w:color w:val="auto"/>
              </w:rPr>
            </w:pPr>
            <w:r>
              <w:rPr>
                <w:rFonts w:ascii="Times New Roman" w:cs="Times New Roman" w:eastAsia="Times New Roman" w:hAnsi="Times New Roman"/>
                <w:sz w:val="18"/>
                <w:szCs w:val="18"/>
                <w:color w:val="auto"/>
              </w:rPr>
              <w:t>Jan van Heek</w:t>
            </w:r>
          </w:p>
        </w:tc>
        <w:tc>
          <w:tcPr>
            <w:tcW w:w="240" w:type="dxa"/>
            <w:vAlign w:val="bottom"/>
          </w:tcPr>
          <w:p>
            <w:pPr>
              <w:spacing w:after="0"/>
              <w:rPr>
                <w:sz w:val="24"/>
                <w:szCs w:val="24"/>
                <w:color w:val="auto"/>
              </w:rPr>
            </w:pPr>
          </w:p>
        </w:tc>
        <w:tc>
          <w:tcPr>
            <w:tcW w:w="4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Member of the Board of Directors</w:t>
            </w:r>
          </w:p>
        </w:tc>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March 12, 2019</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40" w:type="dxa"/>
            <w:vAlign w:val="bottom"/>
            <w:vMerge w:val="restart"/>
          </w:tcPr>
          <w:p>
            <w:pPr>
              <w:jc w:val="center"/>
              <w:ind w:right="1193"/>
              <w:spacing w:after="0"/>
              <w:rPr>
                <w:sz w:val="20"/>
                <w:szCs w:val="20"/>
                <w:color w:val="auto"/>
              </w:rPr>
            </w:pPr>
            <w:r>
              <w:rPr>
                <w:rFonts w:ascii="Times New Roman" w:cs="Times New Roman" w:eastAsia="Times New Roman" w:hAnsi="Times New Roman"/>
                <w:sz w:val="18"/>
                <w:szCs w:val="18"/>
                <w:color w:val="auto"/>
                <w:w w:val="98"/>
              </w:rPr>
              <w:t>Jan van Heek</w:t>
            </w:r>
          </w:p>
        </w:tc>
        <w:tc>
          <w:tcPr>
            <w:tcW w:w="240" w:type="dxa"/>
            <w:vAlign w:val="bottom"/>
          </w:tcPr>
          <w:p>
            <w:pPr>
              <w:spacing w:after="0"/>
              <w:rPr>
                <w:sz w:val="7"/>
                <w:szCs w:val="7"/>
                <w:color w:val="auto"/>
              </w:rPr>
            </w:pPr>
          </w:p>
        </w:tc>
        <w:tc>
          <w:tcPr>
            <w:tcW w:w="4240" w:type="dxa"/>
            <w:vAlign w:val="bottom"/>
            <w:gridSpan w:val="2"/>
            <w:vMerge w:val="continue"/>
          </w:tcPr>
          <w:p>
            <w:pPr>
              <w:spacing w:after="0"/>
              <w:rPr>
                <w:sz w:val="7"/>
                <w:szCs w:val="7"/>
                <w:color w:val="auto"/>
              </w:rPr>
            </w:pPr>
          </w:p>
        </w:tc>
        <w:tc>
          <w:tcPr>
            <w:tcW w:w="3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240" w:type="dxa"/>
            <w:vAlign w:val="bottom"/>
            <w:gridSpan w:val="2"/>
          </w:tcPr>
          <w:p>
            <w:pPr>
              <w:jc w:val="right"/>
              <w:ind w:right="189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7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Subsidiaries of Minerva Neurosciences, Inc.</w:t>
            </w:r>
          </w:p>
        </w:tc>
      </w:tr>
      <w:tr>
        <w:trPr>
          <w:trHeight w:val="432"/>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191"/>
        </w:trPr>
        <w:tc>
          <w:tcPr>
            <w:tcW w:w="20" w:type="dxa"/>
            <w:vAlign w:val="bottom"/>
          </w:tcPr>
          <w:p>
            <w:pPr>
              <w:spacing w:after="0"/>
              <w:rPr>
                <w:sz w:val="16"/>
                <w:szCs w:val="16"/>
                <w:color w:val="auto"/>
              </w:rPr>
            </w:pPr>
          </w:p>
        </w:tc>
        <w:tc>
          <w:tcPr>
            <w:tcW w:w="3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Mind-NRG Sarl</w:t>
            </w:r>
          </w:p>
        </w:tc>
        <w:tc>
          <w:tcPr>
            <w:tcW w:w="202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4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Switzerland</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Minerva Neurosciences Securities Corporation</w:t>
            </w: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bl>
    <w:p>
      <w:pPr>
        <w:sectPr>
          <w:pgSz w:w="11900" w:h="16838" w:orient="portrait"/>
          <w:cols w:equalWidth="0" w:num="1">
            <w:col w:w="11420"/>
          </w:cols>
          <w:pgMar w:left="240" w:top="117"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333-205764 and 333-22678 on Form S-3 and Nos. 333-225672, 333-223593, 333-222368, 333-216637, 333-210147, 333-203738, and 333-198753 on Form S-8 of our report dated March 12, 2019, relating to the consolidated financial statements of Minerva Neurosciences, Inc. and subsidiaries appearing in this Annual Report on Form 10-K of Minerva Neurosciences, Inc.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2019</w:t>
      </w:r>
    </w:p>
    <w:p>
      <w:pPr>
        <w:sectPr>
          <w:pgSz w:w="11900" w:h="16838" w:orient="portrait"/>
          <w:cols w:equalWidth="0" w:num="1">
            <w:col w:w="11420"/>
          </w:cols>
          <w:pgMar w:left="240" w:top="333"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2019</w:t>
      </w:r>
    </w:p>
    <w:p>
      <w:pPr>
        <w:spacing w:after="0" w:line="252"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Chief Executive Officer and</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3"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120" w:hanging="512"/>
        <w:spacing w:after="0" w:line="282"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2019</w:t>
      </w:r>
    </w:p>
    <w:p>
      <w:pPr>
        <w:spacing w:after="0" w:line="252"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Geoffrey Race</w:t>
      </w:r>
    </w:p>
    <w:p>
      <w:pPr>
        <w:spacing w:after="0" w:line="27"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333" w:right="239" w:bottom="1440" w:gutter="0" w:footer="0" w:header="0"/>
        </w:sectPr>
      </w:pPr>
    </w:p>
    <w:bookmarkStart w:id="95" w:name="page96"/>
    <w:bookmarkEnd w:id="95"/>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left="260" w:right="80"/>
        <w:spacing w:after="0" w:line="282" w:lineRule="auto"/>
        <w:rPr>
          <w:sz w:val="20"/>
          <w:szCs w:val="20"/>
          <w:color w:val="auto"/>
        </w:rPr>
      </w:pPr>
      <w:r>
        <w:rPr>
          <w:rFonts w:ascii="Times New Roman" w:cs="Times New Roman" w:eastAsia="Times New Roman" w:hAnsi="Times New Roman"/>
          <w:sz w:val="18"/>
          <w:szCs w:val="18"/>
          <w:color w:val="auto"/>
        </w:rPr>
        <w:t>CERTIFICATIONS PURSUANT TO 18 U.S.C. SECTION 1350 AS ADOPTED PURSUANT TO SECTION 906 OF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Chief Executive Officer of Minerva Neurosciences, Inc. (the “Company”), and Geoff Race, Chief Financial Officer of the Company, each hereby certifies that, to the best of his knowledge:</w:t>
      </w:r>
    </w:p>
    <w:p>
      <w:pPr>
        <w:spacing w:after="0" w:line="68" w:lineRule="exact"/>
        <w:rPr>
          <w:sz w:val="20"/>
          <w:szCs w:val="20"/>
          <w:color w:val="auto"/>
        </w:rPr>
      </w:pPr>
    </w:p>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2018, to which this Certification is attached as Exhibit 32.1 (the “Annual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b w:val="1"/>
          <w:bCs w:val="1"/>
          <w:color w:val="auto"/>
        </w:rPr>
      </w:pPr>
    </w:p>
    <w:p>
      <w:pPr>
        <w:ind w:left="520" w:hanging="512"/>
        <w:spacing w:after="0" w:line="282" w:lineRule="auto"/>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March 12, 2019</w:t>
            </w:r>
          </w:p>
        </w:tc>
        <w:tc>
          <w:tcPr>
            <w:tcW w:w="51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2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 Remy Luthringer, Ph.D.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Geoffrey Race</w:t>
            </w:r>
          </w:p>
        </w:tc>
      </w:tr>
      <w:tr>
        <w:trPr>
          <w:trHeight w:val="191"/>
        </w:trPr>
        <w:tc>
          <w:tcPr>
            <w:tcW w:w="20" w:type="dxa"/>
            <w:vAlign w:val="bottom"/>
          </w:tcPr>
          <w:p>
            <w:pPr>
              <w:spacing w:after="0"/>
              <w:rPr>
                <w:sz w:val="16"/>
                <w:szCs w:val="16"/>
                <w:color w:val="auto"/>
              </w:rPr>
            </w:pPr>
          </w:p>
        </w:tc>
        <w:tc>
          <w:tcPr>
            <w:tcW w:w="5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Remy Luthringer, Ph.D.</w:t>
            </w:r>
          </w:p>
        </w:tc>
        <w:tc>
          <w:tcPr>
            <w:tcW w:w="1120" w:type="dxa"/>
            <w:vAlign w:val="bottom"/>
          </w:tcPr>
          <w:p>
            <w:pPr>
              <w:spacing w:after="0"/>
              <w:rPr>
                <w:sz w:val="16"/>
                <w:szCs w:val="16"/>
                <w:color w:val="auto"/>
              </w:rPr>
            </w:pPr>
          </w:p>
        </w:tc>
        <w:tc>
          <w:tcPr>
            <w:tcW w:w="5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Geoffrey Race</w:t>
            </w:r>
          </w:p>
        </w:tc>
      </w:tr>
      <w:tr>
        <w:trPr>
          <w:trHeight w:val="216"/>
        </w:trPr>
        <w:tc>
          <w:tcPr>
            <w:tcW w:w="20" w:type="dxa"/>
            <w:vAlign w:val="bottom"/>
          </w:tcPr>
          <w:p>
            <w:pPr>
              <w:spacing w:after="0"/>
              <w:rPr>
                <w:sz w:val="18"/>
                <w:szCs w:val="18"/>
                <w:color w:val="auto"/>
              </w:rPr>
            </w:pPr>
          </w:p>
        </w:tc>
        <w:tc>
          <w:tcPr>
            <w:tcW w:w="62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20" w:type="dxa"/>
            <w:vAlign w:val="bottom"/>
          </w:tcPr>
          <w:p>
            <w:pPr>
              <w:spacing w:after="0"/>
              <w:rPr>
                <w:sz w:val="20"/>
                <w:szCs w:val="20"/>
                <w:color w:val="auto"/>
              </w:rPr>
            </w:pPr>
          </w:p>
        </w:tc>
        <w:tc>
          <w:tcPr>
            <w:tcW w:w="62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514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Roman"/>
      <w:start w:val="2"/>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1"/>
    </w:lvl>
    <w:lvl w:ilvl="1">
      <w:lvlJc w:val="left"/>
      <w:lvlText w:val="(%2)"/>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56" Type="http://schemas.openxmlformats.org/officeDocument/2006/relationships/image" Target="media/image103.png"/><Relationship Id="rId157" Type="http://schemas.openxmlformats.org/officeDocument/2006/relationships/image" Target="media/image104.png"/><Relationship Id="rId158" Type="http://schemas.openxmlformats.org/officeDocument/2006/relationships/image" Target="media/image105.png"/><Relationship Id="rId159" Type="http://schemas.openxmlformats.org/officeDocument/2006/relationships/image" Target="media/image106.png"/><Relationship Id="rId160" Type="http://schemas.openxmlformats.org/officeDocument/2006/relationships/image" Target="media/image107.png"/><Relationship Id="rId161" Type="http://schemas.openxmlformats.org/officeDocument/2006/relationships/image" Target="media/image108.png"/><Relationship Id="rId106" Type="http://schemas.openxmlformats.org/officeDocument/2006/relationships/hyperlink" Target="http://www.sec.gov/Archives/edgar/data/0001598646/000104746914003612/a2219290zex-10_11.htm" TargetMode="External"/><Relationship Id="rId107" Type="http://schemas.openxmlformats.org/officeDocument/2006/relationships/hyperlink" Target="http://www.sec.gov/Archives/edgar/data/0001598646/000104746914005459/a2219972zex-3_3.htm" TargetMode="External"/><Relationship Id="rId108" Type="http://schemas.openxmlformats.org/officeDocument/2006/relationships/hyperlink" Target="http://www.sec.gov/Archives/edgar/data/0001598646/000104746914005459/a2219972zex-3_1.htm" TargetMode="External"/><Relationship Id="rId109" Type="http://schemas.openxmlformats.org/officeDocument/2006/relationships/hyperlink" Target="http://www.sec.gov/Archives/edgar/data/0001598646/000104746914005459/a2219972zex-3_2.htm" TargetMode="External"/><Relationship Id="rId110" Type="http://schemas.openxmlformats.org/officeDocument/2006/relationships/hyperlink" Target="http://www.sec.gov/Archives/edgar/data/0001598646/000104746914005459/a2219972zex-4_1.htm" TargetMode="External"/><Relationship Id="rId111" Type="http://schemas.openxmlformats.org/officeDocument/2006/relationships/hyperlink" Target="http://www.sec.gov/Archives/edgar/data/0001598646/000104746914005459/a2219972zex-4_2.htm" TargetMode="External"/><Relationship Id="rId112" Type="http://schemas.openxmlformats.org/officeDocument/2006/relationships/hyperlink" Target="http://www.sec.gov/Archives/edgar/data/0001598646/000104746914005459/a2219972zex-4_3.htm" TargetMode="External"/><Relationship Id="rId113" Type="http://schemas.openxmlformats.org/officeDocument/2006/relationships/hyperlink" Target="http://www.sec.gov/Archives/edgar/data/0001598646/000104746914003612/a2219290zex-10_13.htm" TargetMode="External"/><Relationship Id="rId114" Type="http://schemas.openxmlformats.org/officeDocument/2006/relationships/hyperlink" Target="http://www.sec.gov/Archives/edgar/data/0001598646/000104746914003612/a2219290zex-10_14.htm" TargetMode="External"/><Relationship Id="rId115" Type="http://schemas.openxmlformats.org/officeDocument/2006/relationships/hyperlink" Target="http://www.sec.gov/Archives/edgar/data/0001598646/000104746914005459/a2219972zex-10_26.htm" TargetMode="External"/><Relationship Id="rId116" Type="http://schemas.openxmlformats.org/officeDocument/2006/relationships/hyperlink" Target="http://www.sec.gov/Archives/edgar/data/0001598646/000104746914005459/a2219972zex-10_27.htm" TargetMode="External"/><Relationship Id="rId119" Type="http://schemas.openxmlformats.org/officeDocument/2006/relationships/hyperlink" Target="http://www.sec.gov/Archives/edgar/data/0001598646/000104746914003612/a2219290zex-10_19.htm" TargetMode="External"/><Relationship Id="rId120" Type="http://schemas.openxmlformats.org/officeDocument/2006/relationships/hyperlink" Target="http://www.sec.gov/Archives/edgar/data/0001598646/000104746914003612/a2219290zex-10_20.htm" TargetMode="External"/><Relationship Id="rId121" Type="http://schemas.openxmlformats.org/officeDocument/2006/relationships/hyperlink" Target="http://www.sec.gov/Archives/edgar/data/0001598646/000104746914003612/a2219290zex-10_22.htm" TargetMode="External"/><Relationship Id="rId122" Type="http://schemas.openxmlformats.org/officeDocument/2006/relationships/hyperlink" Target="http://www.sec.gov/Archives/edgar/data/0001598646/000104746914003612/a2219290zex-10_23.htm" TargetMode="External"/><Relationship Id="rId123" Type="http://schemas.openxmlformats.org/officeDocument/2006/relationships/hyperlink" Target="http://www.sec.gov/Archives/edgar/data/0001598646/000104746914005459/a2219972zex-10_1.htm" TargetMode="External"/><Relationship Id="rId124" Type="http://schemas.openxmlformats.org/officeDocument/2006/relationships/hyperlink" Target="http://www.sec.gov/Archives/edgar/data/0001598646/000104746914005459/a2219972zex-10_2.htm" TargetMode="External"/><Relationship Id="rId125" Type="http://schemas.openxmlformats.org/officeDocument/2006/relationships/hyperlink" Target="http://www.sec.gov/Archives/edgar/data/0001598646/000104746914005459/a2219972zex-10_3.htm" TargetMode="External"/><Relationship Id="rId126" Type="http://schemas.openxmlformats.org/officeDocument/2006/relationships/hyperlink" Target="http://www.sec.gov/Archives/edgar/data/0001598646/000104746914005459/a2219972zex-10_4.htm" TargetMode="External"/><Relationship Id="rId127" Type="http://schemas.openxmlformats.org/officeDocument/2006/relationships/hyperlink" Target="http://www.sec.gov/Archives/edgar/data/0001598646/000104746914005459/a2219972zex-10_5.htm" TargetMode="External"/><Relationship Id="rId128" Type="http://schemas.openxmlformats.org/officeDocument/2006/relationships/hyperlink" Target="http://www.sec.gov/Archives/edgar/data/0001598646/000104746914005459/a2219972zex-10_6.htm" TargetMode="External"/><Relationship Id="rId129" Type="http://schemas.openxmlformats.org/officeDocument/2006/relationships/hyperlink" Target="http://www.sec.gov/Archives/edgar/data/0001598646/000104746914005459/a2219972zex-10_7.htm" TargetMode="External"/><Relationship Id="rId130" Type="http://schemas.openxmlformats.org/officeDocument/2006/relationships/hyperlink" Target="http://www.sec.gov/Archives/edgar/data/0001598646/000104746914005459/a2219972zex-10_9.htm" TargetMode="External"/><Relationship Id="rId131" Type="http://schemas.openxmlformats.org/officeDocument/2006/relationships/hyperlink" Target="http://www.sec.gov/Archives/edgar/data/1598646/000119312518189474/d588176dex991.htm" TargetMode="External"/><Relationship Id="rId132" Type="http://schemas.openxmlformats.org/officeDocument/2006/relationships/hyperlink" Target="http://www.sec.gov/Archives/edgar/data/0001598646/000119312515014828/d853928dex101.htm" TargetMode="External"/><Relationship Id="rId133" Type="http://schemas.openxmlformats.org/officeDocument/2006/relationships/hyperlink" Target="http://www.sec.gov/Archives/edgar/data/0001598646/000119312515096955/d890084dex101.htm" TargetMode="External"/><Relationship Id="rId134" Type="http://schemas.openxmlformats.org/officeDocument/2006/relationships/hyperlink" Target="http://www.sec.gov/Archives/edgar/data/0001598646/000119312515096955/d890084dex103.htm" TargetMode="External"/><Relationship Id="rId135" Type="http://schemas.openxmlformats.org/officeDocument/2006/relationships/hyperlink" Target="http://www.sec.gov/Archives/edgar/data/0001598646/000156459015003491/nerv-ex105_20150331184.htm" TargetMode="External"/><Relationship Id="rId138" Type="http://schemas.openxmlformats.org/officeDocument/2006/relationships/hyperlink" Target="http://www.sec.gov/Archives/edgar/data/1598646/000156459018018659/nerv-ex102_88.htm" TargetMode="External"/><Relationship Id="rId139" Type="http://schemas.openxmlformats.org/officeDocument/2006/relationships/hyperlink" Target="http://www.sec.gov/Archives/edgar/data/0001598646/000119312515305542/d20299dex101.htm" TargetMode="External"/><Relationship Id="rId140" Type="http://schemas.openxmlformats.org/officeDocument/2006/relationships/hyperlink" Target="http://www.sec.gov/Archives/edgar/data/0001598646/000156459015009483/nerv-ex102_99.htm" TargetMode="External"/><Relationship Id="rId141" Type="http://schemas.openxmlformats.org/officeDocument/2006/relationships/hyperlink" Target="http://www.sec.gov/Archives/edgar/data/0001598646/000119312516476859/d119464dex101.htm" TargetMode="External"/><Relationship Id="rId142" Type="http://schemas.openxmlformats.org/officeDocument/2006/relationships/hyperlink" Target="http://www.sec.gov/Archives/edgar/data/0001598646/000119312516509484/d137820dex101.htm" TargetMode="External"/><Relationship Id="rId143" Type="http://schemas.openxmlformats.org/officeDocument/2006/relationships/hyperlink" Target="http://www.sec.gov/Archives/edgar/data/0001598646/000156459016022499/nerv-ex101_183.htm" TargetMode="External"/><Relationship Id="rId144" Type="http://schemas.openxmlformats.org/officeDocument/2006/relationships/hyperlink" Target="http://www.sec.gov/Archives/edgar/data/0001598646/000156459016022499/nerv-ex102_182.htm" TargetMode="External"/><Relationship Id="rId145" Type="http://schemas.openxmlformats.org/officeDocument/2006/relationships/hyperlink" Target="http://www.sec.gov/Archives/edgar/data/0001598646/000156459016022499/nerv-ex103_181.htm" TargetMode="External"/><Relationship Id="rId146" Type="http://schemas.openxmlformats.org/officeDocument/2006/relationships/hyperlink" Target="http://www.sec.gov/Archives/edgar/data/0001598646/000156459016022499/nerv-ex104_179.htm" TargetMode="External"/><Relationship Id="rId147" Type="http://schemas.openxmlformats.org/officeDocument/2006/relationships/hyperlink" Target="http://www.sec.gov/Archives/edgar/data/0001598646/000156459016022499/nerv-ex105_180.htm" TargetMode="External"/><Relationship Id="rId148" Type="http://schemas.openxmlformats.org/officeDocument/2006/relationships/hyperlink" Target="http://www.sec.gov/Archives/edgar/data/0001598646/000119312516795845/d306566dex1001.htm" TargetMode="External"/><Relationship Id="rId149" Type="http://schemas.openxmlformats.org/officeDocument/2006/relationships/hyperlink" Target="http://www.sec.gov/Archives/edgar/data/0001598646/000156459017004048/nerv-ex1036_286.htm" TargetMode="External"/><Relationship Id="rId150" Type="http://schemas.openxmlformats.org/officeDocument/2006/relationships/hyperlink" Target="http://www.sec.gov/Archives/edgar/data/1598646/000119312517305938/d341528dex101.htm" TargetMode="External"/><Relationship Id="rId151" Type="http://schemas.openxmlformats.org/officeDocument/2006/relationships/hyperlink" Target="http://www.sec.gov/Archives/edgar/data/1598646/000119312517203538/d413527dex101.htm" TargetMode="External"/><Relationship Id="rId152" Type="http://schemas.openxmlformats.org/officeDocument/2006/relationships/hyperlink" Target="http://www.sec.gov/Archives/edgar/data/1598646/000119312517203538/d413527dex102.htm" TargetMode="External"/><Relationship Id="rId153" Type="http://schemas.openxmlformats.org/officeDocument/2006/relationships/hyperlink" Target="http://www.sec.gov/Archives/edgar/data/1598646/000119312517366344/d508860dex101.htm" TargetMode="External"/><Relationship Id="rId154" Type="http://schemas.openxmlformats.org/officeDocument/2006/relationships/hyperlink" Target="http://www.sec.gov/Archives/edgar/data/1598646/000119312517366344/d508860dex102.htm" TargetMode="External"/><Relationship Id="rId155" Type="http://schemas.openxmlformats.org/officeDocument/2006/relationships/hyperlink" Target="http://www.sec.gov/Archives/edgar/data/1598646/000119312517366344/d50886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2019-12-28T15:09:36Z</dcterms:created>
  <dcterms:modified xsi:type="dcterms:W3CDTF">2019-12-28T15:09:36Z</dcterms:modified>
</cp:coreProperties>
</file>