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b w:val="1"/>
          <w:bCs w:val="1"/>
          <w:color w:val="auto"/>
        </w:rPr>
        <w:t>QUARTERLY REPORT PURSUANT TO SECTION 13 OR 15(D) OF THE SECURITIES EXCHANGE ACT OF 1934</w:t>
      </w:r>
    </w:p>
    <w:p>
      <w:pPr>
        <w:spacing w:after="0" w:line="115" w:lineRule="exact"/>
        <w:rPr>
          <w:rFonts w:ascii="MS PGothic" w:cs="MS PGothic" w:eastAsia="MS PGothic" w:hAnsi="MS PGothic"/>
          <w:sz w:val="32"/>
          <w:szCs w:val="32"/>
          <w:color w:val="auto"/>
          <w:vertAlign w:val="superscript"/>
        </w:rPr>
      </w:pPr>
    </w:p>
    <w:p>
      <w:pPr>
        <w:ind w:left="3820"/>
        <w:spacing w:after="0"/>
        <w:rPr>
          <w:rFonts w:ascii="MS PGothic" w:cs="MS PGothic" w:eastAsia="MS PGothic" w:hAnsi="MS PGothic"/>
          <w:sz w:val="32"/>
          <w:szCs w:val="32"/>
          <w:color w:val="auto"/>
          <w:vertAlign w:val="superscript"/>
        </w:rPr>
      </w:pPr>
      <w:r>
        <w:rPr>
          <w:rFonts w:ascii="Arial" w:cs="Arial" w:eastAsia="Arial" w:hAnsi="Arial"/>
          <w:sz w:val="18"/>
          <w:szCs w:val="18"/>
          <w:b w:val="1"/>
          <w:bCs w:val="1"/>
          <w:color w:val="auto"/>
        </w:rPr>
        <w:t>For the quarterly period ended March 31, 2021</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16"/>
          <w:szCs w:val="16"/>
          <w:b w:val="1"/>
          <w:bCs w:val="1"/>
          <w:color w:val="auto"/>
        </w:rPr>
        <w:t>TRANSITION REPORT PURSUANT TO SECTION 13 OR 15(D) OF THE SECURITIES EXCHANGE ACT OF 1934</w:t>
      </w:r>
    </w:p>
    <w:p>
      <w:pPr>
        <w:spacing w:after="0" w:line="116"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9"/>
        </w:trPr>
        <w:tc>
          <w:tcPr>
            <w:tcW w:w="43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380" w:type="dxa"/>
            <w:vAlign w:val="bottom"/>
          </w:tcPr>
          <w:p>
            <w:pPr>
              <w:jc w:val="center"/>
              <w:ind w:right="1859"/>
              <w:spacing w:after="0"/>
              <w:rPr>
                <w:sz w:val="20"/>
                <w:szCs w:val="20"/>
                <w:color w:val="auto"/>
              </w:rPr>
            </w:pPr>
            <w:r>
              <w:rPr>
                <w:rFonts w:ascii="Arial" w:cs="Arial" w:eastAsia="Arial" w:hAnsi="Arial"/>
                <w:sz w:val="18"/>
                <w:szCs w:val="18"/>
                <w:b w:val="1"/>
                <w:bCs w:val="1"/>
                <w:color w:val="auto"/>
                <w:w w:val="89"/>
              </w:rPr>
              <w:t>1601 Trapelo Road, Suite 286</w:t>
            </w:r>
          </w:p>
        </w:tc>
        <w:tc>
          <w:tcPr>
            <w:tcW w:w="3080" w:type="dxa"/>
            <w:vAlign w:val="bottom"/>
          </w:tcPr>
          <w:p>
            <w:pPr>
              <w:spacing w:after="0"/>
              <w:rPr>
                <w:sz w:val="24"/>
                <w:szCs w:val="24"/>
                <w:color w:val="auto"/>
              </w:rPr>
            </w:pPr>
          </w:p>
        </w:tc>
      </w:tr>
      <w:tr>
        <w:trPr>
          <w:trHeight w:val="212"/>
        </w:trPr>
        <w:tc>
          <w:tcPr>
            <w:tcW w:w="43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Waltham, MA</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3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100330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55"/>
        </w:trPr>
        <w:tc>
          <w:tcPr>
            <w:tcW w:w="4520" w:type="dxa"/>
            <w:vAlign w:val="bottom"/>
            <w:tcBorders>
              <w:top w:val="single" w:sz="8" w:color="auto"/>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Title of each class</w:t>
            </w:r>
          </w:p>
        </w:tc>
        <w:tc>
          <w:tcPr>
            <w:tcW w:w="224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Trading Symbol(s)</w:t>
            </w:r>
          </w:p>
        </w:tc>
        <w:tc>
          <w:tcPr>
            <w:tcW w:w="4480" w:type="dxa"/>
            <w:vAlign w:val="bottom"/>
            <w:tcBorders>
              <w:top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Name of each exchange on which registered</w:t>
            </w:r>
          </w:p>
        </w:tc>
      </w:tr>
      <w:tr>
        <w:trPr>
          <w:trHeight w:val="155"/>
        </w:trPr>
        <w:tc>
          <w:tcPr>
            <w:tcW w:w="4520" w:type="dxa"/>
            <w:vAlign w:val="bottom"/>
            <w:tcBorders>
              <w:left w:val="single" w:sz="8" w:color="auto"/>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1"/>
              </w:rPr>
              <w:t>Common Stock, $0.0001 par value per share</w:t>
            </w:r>
          </w:p>
        </w:tc>
        <w:tc>
          <w:tcPr>
            <w:tcW w:w="22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NERV</w:t>
            </w:r>
          </w:p>
        </w:tc>
        <w:tc>
          <w:tcPr>
            <w:tcW w:w="44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The NASDAQ Global Market</w:t>
            </w:r>
          </w:p>
        </w:tc>
      </w:tr>
    </w:tbl>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$0.0001 par value per share, outstanding as of May 7, 2021 was 42,721,566.</w:t>
      </w:r>
    </w:p>
    <w:p>
      <w:pPr>
        <w:spacing w:after="0" w:line="96"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98" w:right="339" w:bottom="1440" w:gutter="0" w:footer="0" w:header="0"/>
        </w:sectPr>
      </w:pP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3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rPr>
              <w:t>Accelerated filer</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ind w:left="320"/>
              <w:spacing w:after="0"/>
              <w:rPr>
                <w:sz w:val="20"/>
                <w:szCs w:val="20"/>
                <w:color w:val="auto"/>
              </w:rPr>
            </w:pPr>
            <w:r>
              <w:rPr>
                <w:rFonts w:ascii="Arial" w:cs="Arial" w:eastAsia="Arial" w:hAnsi="Arial"/>
                <w:sz w:val="14"/>
                <w:szCs w:val="14"/>
                <w:color w:val="auto"/>
                <w:w w:val="93"/>
              </w:rPr>
              <w:t>Smaller reporting company</w:t>
            </w:r>
          </w:p>
        </w:tc>
      </w:tr>
      <w:tr>
        <w:trPr>
          <w:trHeight w:val="297"/>
        </w:trPr>
        <w:tc>
          <w:tcPr>
            <w:tcW w:w="33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16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1900" w:type="dxa"/>
            <w:vAlign w:val="bottom"/>
          </w:tcPr>
          <w:p>
            <w:pPr>
              <w:spacing w:after="0"/>
              <w:rPr>
                <w:sz w:val="24"/>
                <w:szCs w:val="24"/>
                <w:color w:val="auto"/>
              </w:rPr>
            </w:pP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060" w:val="left"/>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120"/>
            <w:col w:w="440"/>
          </w:cols>
          <w:pgMar w:left="320" w:top="59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spacing w:after="0"/>
              <w:rPr>
                <w:sz w:val="14"/>
                <w:szCs w:val="14"/>
                <w:color w:val="auto"/>
              </w:rPr>
            </w:pPr>
          </w:p>
        </w:tc>
        <w:tc>
          <w:tcPr>
            <w:tcW w:w="2560" w:type="dxa"/>
            <w:vAlign w:val="bottom"/>
            <w:gridSpan w:val="6"/>
            <w:vMerge w:val="restart"/>
          </w:tcPr>
          <w:p>
            <w:pPr>
              <w:jc w:val="center"/>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 Financial Information</w:t>
              </w:r>
            </w:hyperlink>
          </w:p>
        </w:tc>
        <w:tc>
          <w:tcPr>
            <w:tcW w:w="3480" w:type="dxa"/>
            <w:vAlign w:val="bottom"/>
            <w:gridSpan w:val="6"/>
            <w:vMerge w:val="restart"/>
          </w:tcPr>
          <w:p>
            <w:pPr>
              <w:spacing w:after="0"/>
              <w:rPr>
                <w:sz w:val="14"/>
                <w:szCs w:val="1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560" w:type="dxa"/>
            <w:vAlign w:val="bottom"/>
            <w:tcBorders>
              <w:bottom w:val="single" w:sz="8" w:color="0000EE"/>
            </w:tcBorders>
            <w:gridSpan w:val="6"/>
            <w:vMerge w:val="continue"/>
          </w:tcPr>
          <w:p>
            <w:pPr>
              <w:spacing w:after="0"/>
              <w:rPr>
                <w:sz w:val="14"/>
                <w:szCs w:val="14"/>
                <w:color w:val="auto"/>
              </w:rPr>
            </w:pPr>
          </w:p>
        </w:tc>
        <w:tc>
          <w:tcPr>
            <w:tcW w:w="348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98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2021 and December 31, 2020</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March 31, 2021 and 2020</w:t>
              </w:r>
            </w:hyperlink>
          </w:p>
        </w:tc>
        <w:tc>
          <w:tcPr>
            <w:tcW w:w="188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 for the three months ended March 31, 2021 and 2020</w:t>
              </w:r>
            </w:hyperlink>
          </w:p>
        </w:tc>
        <w:tc>
          <w:tcPr>
            <w:tcW w:w="1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2021 and 2020</w:t>
              </w:r>
            </w:hyperlink>
          </w:p>
        </w:tc>
        <w:tc>
          <w:tcPr>
            <w:tcW w:w="182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2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42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296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42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40" w:type="dxa"/>
            <w:vAlign w:val="bottom"/>
            <w:gridSpan w:val="12"/>
          </w:tcPr>
          <w:p>
            <w:pPr>
              <w:jc w:val="center"/>
              <w:ind w:right="3480"/>
              <w:spacing w:after="0"/>
              <w:rPr>
                <w:rFonts w:ascii="Arial" w:cs="Arial" w:eastAsia="Arial" w:hAnsi="Arial"/>
                <w:sz w:val="18"/>
                <w:szCs w:val="18"/>
                <w:b w:val="1"/>
                <w:bCs w:val="1"/>
                <w:color w:val="0000EE"/>
                <w:w w:val="96"/>
              </w:rPr>
            </w:pPr>
            <w:hyperlink w:anchor="page27">
              <w:r>
                <w:rPr>
                  <w:rFonts w:ascii="Arial" w:cs="Arial" w:eastAsia="Arial" w:hAnsi="Arial"/>
                  <w:sz w:val="18"/>
                  <w:szCs w:val="18"/>
                  <w:b w:val="1"/>
                  <w:bCs w:val="1"/>
                  <w:color w:val="0000EE"/>
                  <w:w w:val="96"/>
                </w:rPr>
                <w:t>PART II —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80" w:type="dxa"/>
            <w:vAlign w:val="bottom"/>
            <w:gridSpan w:val="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360" w:type="dxa"/>
            <w:vAlign w:val="bottom"/>
            <w:tcBorders>
              <w:top w:val="single" w:sz="8" w:color="0000EE"/>
            </w:tcBorders>
            <w:gridSpan w:val="4"/>
          </w:tcPr>
          <w:p>
            <w:pPr>
              <w:spacing w:after="0"/>
              <w:rPr>
                <w:sz w:val="24"/>
                <w:szCs w:val="24"/>
                <w:color w:val="auto"/>
              </w:rPr>
            </w:pPr>
          </w:p>
        </w:tc>
        <w:tc>
          <w:tcPr>
            <w:tcW w:w="358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08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06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7080" w:type="dxa"/>
            <w:vAlign w:val="bottom"/>
            <w:gridSpan w:val="1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764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42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10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right="4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2020 under Part I, Item IA, “Risk Factors.”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7"/>
                <w:szCs w:val="17"/>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68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80,139,593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25,356,952</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1,449,625</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1,983,264</w:t>
            </w:r>
          </w:p>
        </w:tc>
        <w:tc>
          <w:tcPr>
            <w:tcW w:w="120" w:type="dxa"/>
            <w:vAlign w:val="bottom"/>
            <w:shd w:val="clear" w:color="auto" w:fill="CFF0FC"/>
          </w:tcPr>
          <w:p>
            <w:pPr>
              <w:spacing w:after="0"/>
              <w:rPr>
                <w:sz w:val="19"/>
                <w:szCs w:val="19"/>
                <w:color w:val="auto"/>
              </w:rPr>
            </w:pPr>
          </w:p>
        </w:tc>
      </w:tr>
      <w:tr>
        <w:trPr>
          <w:trHeight w:val="223"/>
        </w:trPr>
        <w:tc>
          <w:tcPr>
            <w:tcW w:w="76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81,689,218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27,440,216</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58,953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101,786</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15,200,000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15,200,000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shd w:val="clear" w:color="auto" w:fill="CFF0FC"/>
          </w:tcPr>
          <w:p>
            <w:pPr>
              <w:spacing w:after="0"/>
              <w:rPr>
                <w:sz w:val="19"/>
                <w:szCs w:val="19"/>
                <w:color w:val="auto"/>
              </w:rPr>
            </w:pPr>
          </w:p>
        </w:tc>
      </w:tr>
      <w:tr>
        <w:trPr>
          <w:trHeight w:val="26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111,832,378</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57,626,209</w:t>
            </w:r>
          </w:p>
        </w:tc>
        <w:tc>
          <w:tcPr>
            <w:tcW w:w="120" w:type="dxa"/>
            <w:vAlign w:val="bottom"/>
            <w:tcBorders>
              <w:bottom w:val="single" w:sz="8" w:color="CFF0FC"/>
            </w:tcBorders>
          </w:tcPr>
          <w:p>
            <w:pPr>
              <w:spacing w:after="0"/>
              <w:rPr>
                <w:sz w:val="22"/>
                <w:szCs w:val="22"/>
                <w:color w:val="auto"/>
              </w:rPr>
            </w:pPr>
          </w:p>
        </w:tc>
      </w:tr>
      <w:tr>
        <w:trPr>
          <w:trHeight w:val="210"/>
        </w:trPr>
        <w:tc>
          <w:tcPr>
            <w:tcW w:w="7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80" w:type="dxa"/>
            <w:vAlign w:val="bottom"/>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1,129,627</w:t>
            </w:r>
          </w:p>
        </w:tc>
        <w:tc>
          <w:tcPr>
            <w:tcW w:w="30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995,614</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2,164,657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2,053,409</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64,350</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111,229</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3,358,634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3,160,252</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Deferred taxes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1,803,356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1,803,356</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the sale of future royalties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61,296,456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66,458,446</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4,963,608</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8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80" w:type="dxa"/>
            <w:vAlign w:val="bottom"/>
          </w:tcPr>
          <w:p>
            <w:pPr>
              <w:ind w:left="380"/>
              <w:spacing w:after="0"/>
              <w:rPr>
                <w:sz w:val="20"/>
                <w:szCs w:val="20"/>
                <w:color w:val="auto"/>
              </w:rPr>
            </w:pPr>
            <w:r>
              <w:rPr>
                <w:rFonts w:ascii="Arial" w:cs="Arial" w:eastAsia="Arial" w:hAnsi="Arial"/>
                <w:sz w:val="18"/>
                <w:szCs w:val="18"/>
                <w:color w:val="auto"/>
              </w:rPr>
              <w:t>or outstanding as of March 31, 2021 and December 31, 2020, respectively</w:t>
            </w:r>
          </w:p>
        </w:tc>
        <w:tc>
          <w:tcPr>
            <w:tcW w:w="28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Common stock; $0.0001 par value; 125,000,000 shares authorized; 42,721,566 shares issued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as of March 31, 2021 and December 31, 2020</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120" w:type="dxa"/>
            <w:vAlign w:val="bottom"/>
            <w:shd w:val="clear" w:color="auto" w:fill="CFF0FC"/>
          </w:tcPr>
          <w:p>
            <w:pPr>
              <w:spacing w:after="0"/>
              <w:rPr>
                <w:sz w:val="20"/>
                <w:szCs w:val="20"/>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338,969,840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337,453,776</w:t>
            </w:r>
          </w:p>
        </w:tc>
        <w:tc>
          <w:tcPr>
            <w:tcW w:w="120" w:type="dxa"/>
            <w:vAlign w:val="bottom"/>
          </w:tcPr>
          <w:p>
            <w:pPr>
              <w:spacing w:after="0"/>
              <w:rPr>
                <w:sz w:val="19"/>
                <w:szCs w:val="19"/>
                <w:color w:val="auto"/>
              </w:rPr>
            </w:pPr>
          </w:p>
        </w:tc>
      </w:tr>
      <w:tr>
        <w:trPr>
          <w:trHeight w:val="230"/>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(293,600,180)</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(284,795,447)</w:t>
            </w:r>
          </w:p>
        </w:tc>
      </w:tr>
      <w:tr>
        <w:trPr>
          <w:trHeight w:val="22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45,373,932</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52,662,601</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111,832,378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57,626,209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6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3,258,707</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8,082,510</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4,248,814</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4,189,068</w:t>
            </w:r>
          </w:p>
        </w:tc>
        <w:tc>
          <w:tcPr>
            <w:tcW w:w="120" w:type="dxa"/>
            <w:vAlign w:val="bottom"/>
            <w:shd w:val="clear" w:color="auto" w:fill="CFF0FC"/>
          </w:tcPr>
          <w:p>
            <w:pPr>
              <w:spacing w:after="0"/>
              <w:rPr>
                <w:sz w:val="19"/>
                <w:szCs w:val="19"/>
                <w:color w:val="auto"/>
              </w:rPr>
            </w:pPr>
          </w:p>
        </w:tc>
      </w:tr>
      <w:tr>
        <w:trPr>
          <w:trHeight w:val="22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7,507,521</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12,271,578</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(7,507,521)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(12,271,578)</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(4,856)</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(9,392)</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129,805</w:t>
            </w:r>
          </w:p>
        </w:tc>
        <w:tc>
          <w:tcPr>
            <w:tcW w:w="12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Non-cash interest expense for the sale of future royalties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(1,296,456)</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(8,804,733)</w:t>
            </w:r>
          </w:p>
        </w:tc>
        <w:tc>
          <w:tcPr>
            <w:tcW w:w="3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(12,151,165)</w:t>
            </w:r>
          </w:p>
        </w:tc>
        <w:tc>
          <w:tcPr>
            <w:tcW w:w="120" w:type="dxa"/>
            <w:vAlign w:val="bottom"/>
            <w:tcBorders>
              <w:bottom w:val="single" w:sz="8" w:color="CFF0FC"/>
            </w:tcBorders>
          </w:tcPr>
          <w:p>
            <w:pPr>
              <w:spacing w:after="0"/>
              <w:rPr>
                <w:sz w:val="22"/>
                <w:szCs w:val="22"/>
                <w:color w:val="auto"/>
              </w:rPr>
            </w:pPr>
          </w:p>
        </w:tc>
      </w:tr>
      <w:tr>
        <w:trPr>
          <w:trHeight w:val="210"/>
        </w:trPr>
        <w:tc>
          <w:tcPr>
            <w:tcW w:w="7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9"/>
        </w:trPr>
        <w:tc>
          <w:tcPr>
            <w:tcW w:w="76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r>
      <w:tr>
        <w:trPr>
          <w:trHeight w:val="210"/>
        </w:trPr>
        <w:tc>
          <w:tcPr>
            <w:tcW w:w="7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42,721,566</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39,177,592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400" w:type="dxa"/>
            <w:vAlign w:val="bottom"/>
          </w:tcPr>
          <w:p>
            <w:pPr>
              <w:spacing w:after="0"/>
              <w:rPr>
                <w:sz w:val="13"/>
                <w:szCs w:val="13"/>
                <w:color w:val="auto"/>
              </w:rPr>
            </w:pPr>
          </w:p>
        </w:tc>
        <w:tc>
          <w:tcPr>
            <w:tcW w:w="1340" w:type="dxa"/>
            <w:vAlign w:val="bottom"/>
          </w:tcPr>
          <w:p>
            <w:pPr>
              <w:jc w:val="right"/>
              <w:ind w:right="393"/>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Paid-In Capital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641"/>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2020</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39,084,121</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314,511,853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(286,736,218)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27,779,543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135,013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797,615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797,629</w:t>
            </w:r>
          </w:p>
        </w:tc>
        <w:tc>
          <w:tcPr>
            <w:tcW w:w="12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120" w:type="dxa"/>
            <w:vAlign w:val="bottom"/>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(12,151,165)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(12,151,165)</w:t>
            </w: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2020</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39,219,134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317,507,655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(298,887,383</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18,624,194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2021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42,721,566</w:t>
            </w:r>
          </w:p>
        </w:tc>
        <w:tc>
          <w:tcPr>
            <w:tcW w:w="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4,272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337,453,776</w:t>
            </w:r>
          </w:p>
        </w:tc>
        <w:tc>
          <w:tcPr>
            <w:tcW w:w="4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b w:val="1"/>
                <w:bCs w:val="1"/>
                <w:color w:val="auto"/>
              </w:rPr>
              <w:t>(284,795,447)</w:t>
            </w:r>
          </w:p>
        </w:tc>
        <w:tc>
          <w:tcPr>
            <w:tcW w:w="2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52,662,601</w:t>
            </w:r>
          </w:p>
        </w:tc>
        <w:tc>
          <w:tcPr>
            <w:tcW w:w="120" w:type="dxa"/>
            <w:vAlign w:val="bottom"/>
            <w:shd w:val="clear" w:color="auto" w:fill="CFF0FC"/>
          </w:tcPr>
          <w:p>
            <w:pPr>
              <w:spacing w:after="0"/>
              <w:rPr>
                <w:sz w:val="19"/>
                <w:szCs w:val="19"/>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1,516,064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1,516,064</w:t>
            </w:r>
          </w:p>
        </w:tc>
        <w:tc>
          <w:tcPr>
            <w:tcW w:w="12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(8,804,733)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(8,804,733)</w:t>
            </w:r>
          </w:p>
        </w:tc>
      </w:tr>
      <w:tr>
        <w:trPr>
          <w:trHeight w:val="223"/>
        </w:trPr>
        <w:tc>
          <w:tcPr>
            <w:tcW w:w="3400" w:type="dxa"/>
            <w:vAlign w:val="bottom"/>
          </w:tcPr>
          <w:p>
            <w:pPr>
              <w:spacing w:after="0"/>
              <w:rPr>
                <w:sz w:val="20"/>
                <w:szCs w:val="20"/>
                <w:color w:val="auto"/>
              </w:rPr>
            </w:pPr>
            <w:r>
              <w:rPr>
                <w:rFonts w:ascii="Arial" w:cs="Arial" w:eastAsia="Arial" w:hAnsi="Arial"/>
                <w:sz w:val="18"/>
                <w:szCs w:val="18"/>
                <w:b w:val="1"/>
                <w:bCs w:val="1"/>
                <w:color w:val="auto"/>
              </w:rPr>
              <w:t>Balances at March 31, 2021</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42,721,566</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338,969,840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(293,600,180</w:t>
            </w:r>
          </w:p>
        </w:tc>
        <w:tc>
          <w:tcPr>
            <w:tcW w:w="240" w:type="dxa"/>
            <w:vAlign w:val="bottom"/>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45,373,932</w:t>
            </w:r>
          </w:p>
        </w:tc>
        <w:tc>
          <w:tcPr>
            <w:tcW w:w="12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68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(8,804,733)</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(12,151,165)</w:t>
            </w: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marketable securities premium</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(64,959)</w:t>
            </w: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42,833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38,449</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1,516,064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1,296,456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6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533,639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330,619</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686,050</w:t>
            </w: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111,248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(202,930)</w:t>
            </w:r>
          </w:p>
        </w:tc>
      </w:tr>
      <w:tr>
        <w:trPr>
          <w:trHeight w:val="229"/>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(46,879)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(46,879)</w:t>
            </w: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(5,217,359)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(9,202,397)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20,900,000</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Purchase of marketable securities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(3,871,706)</w:t>
            </w:r>
          </w:p>
        </w:tc>
      </w:tr>
      <w:tr>
        <w:trPr>
          <w:trHeight w:val="223"/>
        </w:trPr>
        <w:tc>
          <w:tcPr>
            <w:tcW w:w="6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17,028,294</w:t>
            </w:r>
          </w:p>
        </w:tc>
        <w:tc>
          <w:tcPr>
            <w:tcW w:w="100" w:type="dxa"/>
            <w:vAlign w:val="bottom"/>
            <w:tcBorders>
              <w:bottom w:val="single" w:sz="8" w:color="CFF0FC"/>
            </w:tcBorders>
          </w:tcPr>
          <w:p>
            <w:pPr>
              <w:spacing w:after="0"/>
              <w:rPr>
                <w:sz w:val="19"/>
                <w:szCs w:val="19"/>
                <w:color w:val="auto"/>
              </w:rPr>
            </w:pPr>
          </w:p>
        </w:tc>
      </w:tr>
      <w:tr>
        <w:trPr>
          <w:trHeight w:val="223"/>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sale of future royalties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797,629</w:t>
            </w:r>
          </w:p>
        </w:tc>
        <w:tc>
          <w:tcPr>
            <w:tcW w:w="100" w:type="dxa"/>
            <w:vAlign w:val="bottom"/>
          </w:tcPr>
          <w:p>
            <w:pPr>
              <w:spacing w:after="0"/>
              <w:rPr>
                <w:sz w:val="19"/>
                <w:szCs w:val="19"/>
                <w:color w:val="auto"/>
              </w:rPr>
            </w:pPr>
          </w:p>
        </w:tc>
      </w:tr>
      <w:tr>
        <w:trPr>
          <w:trHeight w:val="223"/>
        </w:trPr>
        <w:tc>
          <w:tcPr>
            <w:tcW w:w="6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60,000,000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797,629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60" w:type="dxa"/>
            <w:vAlign w:val="bottom"/>
          </w:tcPr>
          <w:p>
            <w:pPr>
              <w:ind w:left="500"/>
              <w:spacing w:after="0"/>
              <w:rPr>
                <w:sz w:val="20"/>
                <w:szCs w:val="20"/>
                <w:color w:val="auto"/>
              </w:rPr>
            </w:pPr>
            <w:r>
              <w:rPr>
                <w:rFonts w:ascii="Arial" w:cs="Arial" w:eastAsia="Arial" w:hAnsi="Arial"/>
                <w:sz w:val="18"/>
                <w:szCs w:val="18"/>
                <w:color w:val="auto"/>
              </w:rPr>
              <w:t>Net increase in cash, cash equivalents and restricted cash</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54,782,641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8,623,526</w:t>
            </w:r>
          </w:p>
        </w:tc>
        <w:tc>
          <w:tcPr>
            <w:tcW w:w="100" w:type="dxa"/>
            <w:vAlign w:val="bottom"/>
          </w:tcPr>
          <w:p>
            <w:pPr>
              <w:spacing w:after="0"/>
              <w:rPr>
                <w:sz w:val="19"/>
                <w:szCs w:val="19"/>
                <w:color w:val="auto"/>
              </w:rPr>
            </w:pPr>
          </w:p>
        </w:tc>
      </w:tr>
      <w:tr>
        <w:trPr>
          <w:trHeight w:val="229"/>
        </w:trPr>
        <w:tc>
          <w:tcPr>
            <w:tcW w:w="68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25,456,952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21,512,623</w:t>
            </w:r>
          </w:p>
        </w:tc>
        <w:tc>
          <w:tcPr>
            <w:tcW w:w="100" w:type="dxa"/>
            <w:vAlign w:val="bottom"/>
            <w:shd w:val="clear" w:color="auto" w:fill="CFF0FC"/>
          </w:tcPr>
          <w:p>
            <w:pPr>
              <w:spacing w:after="0"/>
              <w:rPr>
                <w:sz w:val="19"/>
                <w:szCs w:val="19"/>
                <w:color w:val="auto"/>
              </w:rPr>
            </w:pPr>
          </w:p>
        </w:tc>
      </w:tr>
      <w:tr>
        <w:trPr>
          <w:trHeight w:val="263"/>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End of period</w:t>
            </w:r>
          </w:p>
        </w:tc>
        <w:tc>
          <w:tcPr>
            <w:tcW w:w="8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80,239,593</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30,136,149</w:t>
            </w:r>
          </w:p>
        </w:tc>
        <w:tc>
          <w:tcPr>
            <w:tcW w:w="100" w:type="dxa"/>
            <w:vAlign w:val="bottom"/>
            <w:tcBorders>
              <w:bottom w:val="single" w:sz="8" w:color="CFF0FC"/>
            </w:tcBorders>
          </w:tcPr>
          <w:p>
            <w:pPr>
              <w:spacing w:after="0"/>
              <w:rPr>
                <w:sz w:val="22"/>
                <w:szCs w:val="22"/>
                <w:color w:val="auto"/>
              </w:rPr>
            </w:pPr>
          </w:p>
        </w:tc>
      </w:tr>
      <w:tr>
        <w:trPr>
          <w:trHeight w:val="192"/>
        </w:trPr>
        <w:tc>
          <w:tcPr>
            <w:tcW w:w="686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8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8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8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80,139,593</w:t>
            </w:r>
          </w:p>
        </w:tc>
        <w:tc>
          <w:tcPr>
            <w:tcW w:w="300" w:type="dxa"/>
            <w:vAlign w:val="bottom"/>
          </w:tcPr>
          <w:p>
            <w:pPr>
              <w:spacing w:after="0"/>
              <w:rPr>
                <w:sz w:val="19"/>
                <w:szCs w:val="19"/>
                <w:color w:val="auto"/>
              </w:rPr>
            </w:pP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30,036,149</w:t>
            </w:r>
          </w:p>
        </w:tc>
        <w:tc>
          <w:tcPr>
            <w:tcW w:w="100" w:type="dxa"/>
            <w:vAlign w:val="bottom"/>
          </w:tcPr>
          <w:p>
            <w:pPr>
              <w:spacing w:after="0"/>
              <w:rPr>
                <w:sz w:val="19"/>
                <w:szCs w:val="19"/>
                <w:color w:val="auto"/>
              </w:rPr>
            </w:pPr>
          </w:p>
        </w:tc>
      </w:tr>
      <w:tr>
        <w:trPr>
          <w:trHeight w:val="230"/>
        </w:trPr>
        <w:tc>
          <w:tcPr>
            <w:tcW w:w="6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8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80,239,593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30,136,149</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March 31, 2021 and for the Three Months Ended March 31, 2021 and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Minerva Neurosciences, Inc. (“Minerva” or the “Company”) is a clinical-stage biopharmaceutical company focused on the development and commercialization of product candidates to treat patients suffering from central nervous system diseases (“CNS”). The Company’s lead product candidate is roluperidone (f/k/a MIN-101), a compound the Company is developing for the treatment of negative symptoms in patients with schizophrenia, and MIN-301, a compound the Company is developing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will be entitled to collect royalties in the mid-single digits on potential future worldwide sales of seltorexant in certain indications, with no further financial obligations to Janssen. In January 2021, the Company sold its rights to these potential royalties to Royalty Pharma (see Notes 5 and 6).</w:t>
      </w:r>
    </w:p>
    <w:p>
      <w:pPr>
        <w:spacing w:after="0" w:line="196"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Company holds the license to roluperidone from Mitsubishi Tanabe Pharma Corporation (“MTPC”) with the rights to develop, sell and import roluperidone globally, excluding most of Asia. The Company also has exclusive rights to develop and commercialize MIN-301.</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The accompanying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March 31, 2021, the Company has an accumulated deficit of approximately $293.6 million and net cash used in operating activities was approximately $5.2 million during the three months ended March 31, 2021. Management expects to continue to incur operating losses and negative cash flows from operations in the future. The Company has financed its operations to date from proceeds from the sale of common stock, warrants, loans and convertible promissory notes.</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March 31, 2021, the Company had cash, cash equivalents, and restricted cash of $80.2 million. In January 2021, Royalty Pharma acquired Minerva’s royalty interest in seltorexant for an upfront payment of $60 million and up to $95 million in additional milestone payments. The potential future milestone payments to Minerva will be contingent on the achievement of certain clinical, regulatory and commercialization milestones for seltorexant by Janssen.</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Seltorexant is currently in Phase 3 development for the treatment of MDD with insomnia symptoms by Janssen. The Company believes that its existing cash, cash equivalents, and restricted cash will be sufficient to meet its cash commitments for at least the next 12 months after the date that the condensed consolidated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8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On December 8, 2020 and January 11, 2021, purported stockholders of the Company filed two putative securities class action complaints in the United States District Court for the District of Massachusetts, entitled </w:t>
      </w:r>
      <w:r>
        <w:rPr>
          <w:rFonts w:ascii="Arial" w:cs="Arial" w:eastAsia="Arial" w:hAnsi="Arial"/>
          <w:sz w:val="17"/>
          <w:szCs w:val="17"/>
          <w:i w:val="1"/>
          <w:iCs w:val="1"/>
          <w:color w:val="auto"/>
        </w:rPr>
        <w:t>McCoy v. Minerva Neurosciences, Inc., et al., No. 1:20-cv-12176</w:t>
      </w:r>
      <w:r>
        <w:rPr>
          <w:rFonts w:ascii="Arial" w:cs="Arial" w:eastAsia="Arial" w:hAnsi="Arial"/>
          <w:sz w:val="17"/>
          <w:szCs w:val="17"/>
          <w:color w:val="auto"/>
        </w:rPr>
        <w:t xml:space="preserve"> and </w:t>
      </w:r>
      <w:r>
        <w:rPr>
          <w:rFonts w:ascii="Arial" w:cs="Arial" w:eastAsia="Arial" w:hAnsi="Arial"/>
          <w:sz w:val="17"/>
          <w:szCs w:val="17"/>
          <w:i w:val="1"/>
          <w:iCs w:val="1"/>
          <w:color w:val="auto"/>
        </w:rPr>
        <w:t>Ao v. Minerva</w:t>
      </w:r>
      <w:r>
        <w:rPr>
          <w:rFonts w:ascii="Arial" w:cs="Arial" w:eastAsia="Arial" w:hAnsi="Arial"/>
          <w:sz w:val="17"/>
          <w:szCs w:val="17"/>
          <w:color w:val="auto"/>
        </w:rPr>
        <w:t xml:space="preserve"> </w:t>
      </w:r>
      <w:r>
        <w:rPr>
          <w:rFonts w:ascii="Arial" w:cs="Arial" w:eastAsia="Arial" w:hAnsi="Arial"/>
          <w:sz w:val="17"/>
          <w:szCs w:val="17"/>
          <w:i w:val="1"/>
          <w:iCs w:val="1"/>
          <w:color w:val="auto"/>
        </w:rPr>
        <w:t>Neurosciences, Inc. et al., No. 1:21-cv-10051</w:t>
      </w:r>
      <w:r>
        <w:rPr>
          <w:rFonts w:ascii="Arial" w:cs="Arial" w:eastAsia="Arial" w:hAnsi="Arial"/>
          <w:sz w:val="17"/>
          <w:szCs w:val="17"/>
          <w:color w:val="auto"/>
        </w:rPr>
        <w:t>, respectively, against the Company and the Company’s Chairman and Chief Executive Officer (collectively,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Arial" w:cs="Arial" w:eastAsia="Arial" w:hAnsi="Arial"/>
          <w:sz w:val="17"/>
          <w:szCs w:val="17"/>
          <w:i w:val="1"/>
          <w:iCs w:val="1"/>
          <w:color w:val="auto"/>
        </w:rPr>
        <w:t>In re Minerva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Neurosciences, Inc. Securities Litigation, No. 1:20-cv-12176 </w:t>
      </w:r>
      <w:r>
        <w:rPr>
          <w:rFonts w:ascii="Arial" w:cs="Arial" w:eastAsia="Arial" w:hAnsi="Arial"/>
          <w:sz w:val="17"/>
          <w:szCs w:val="17"/>
          <w:color w:val="auto"/>
        </w:rPr>
        <w:t>and appointing lead plaintiffs and their counsel. On March 19, 2021, the parties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stipulated proposed order with the Court staying the Defendants’ response to the complaint until after plaintiffs file an amended complaint. We dispute these claims and intend to defend the matter vigorously.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Company’s business could be adversely affected by the effects of the ongoing COVID-19 pandemic, which continues to have a negative impact on the local, regional, national and global scale. In response to the pandemic, a number of jurisdictions in which the Company or its service providers operate implemented shelter-in-place or similar type restrictions, which limited on-site activity to certain service providers. Additionally, the Company’s headquarters are located in Massachusetts, which implemented such restrictions. In response, the Company implemented work-from-home policies for its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the Company’s workforce may return. The effects of the state executive order, local shelter-in-place orders, government-imposed quarantines and the Company’s work-from-home policies, including the uncertainty about their duration, may negatively impact productivity, disrupt our business and delay the clinical programs and timelines.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While the COVID-19 pandemic has not had a material adverse impact on the Company’s operations to date, this disruption, if sustained or recurrent,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Quarterly Report on Form 10-Q. Refer to Item 1A. “Risk Factors” in this Quarterly Report on Form 10-Q for a complete description of the material risks that the Company currently faces.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March 31, 2021, the results of operations for the three months ended March 31, 2021 and 2020 and cash flows for the three months ended March 31, 2021 and 2020. The results of operations for the three months ended March 31, 2021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2020 was derived from the audited annual financial statements. The accompanying unaudited condensed consolidated financial statements and notes thereto should be read in conjunction with the audited consolidated financial statements for the year ended December 31, 2020 included in the Company’s Annual Report on Form 10-K filed with the SEC on March 8, 2021.</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each of March 31, 2021 and December 31, 2020.</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Marketable securities consisted of corporate and U.S. government debt securities. Based on the Company’s intentions regarding its marketable securities, all marketable securities were classified as held-to-maturity and were carried under the amortized cost approach. The Company’s investments in marketable securities were classified as Level 2 within the fair value hierarchy. As of March 31, 2021, all marketable securities have matured.</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values of the research projects are recorded as intangible assets on the balance sheet, rather than expensed, regardless of whether these assets have an alternative future use.</w:t>
      </w:r>
    </w:p>
    <w:p>
      <w:pPr>
        <w:spacing w:after="0" w:line="16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months ended March 31, 2021 or 2020.</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An accounting policy change was made by the Company related to the accounting for non-employee awards on January 1, 2019 as a result of the adoption of ASU No. 2018-07, </w:t>
      </w:r>
      <w:r>
        <w:rPr>
          <w:rFonts w:ascii="Arial" w:cs="Arial" w:eastAsia="Arial" w:hAnsi="Arial"/>
          <w:sz w:val="18"/>
          <w:szCs w:val="18"/>
          <w:i w:val="1"/>
          <w:iCs w:val="1"/>
          <w:color w:val="auto"/>
        </w:rPr>
        <w:t>Stock Compensation (Topic 718): Improvements to Nonemployee Share-Based Payment Accounting</w:t>
      </w:r>
      <w:r>
        <w:rPr>
          <w:rFonts w:ascii="Arial" w:cs="Arial" w:eastAsia="Arial" w:hAnsi="Arial"/>
          <w:sz w:val="18"/>
          <w:szCs w:val="18"/>
          <w:color w:val="auto"/>
        </w:rPr>
        <w:t xml:space="preserve"> for which the Company now accounts for non-employee awards in the same manner as employee awards.</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Effective January 1, 2019, the Company adopted Financial Accounting Standards Board (“FASB”) Accounting Standards Codification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using the required modified retrospective approach and utilizing the effective date as its date of initial application, for which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2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21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8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March 31, 2021 and 2020.</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tested its goodwill for impairment as of November 30, 2020. There was no impairment of goodwill for the three months ended March 31, 2021 and 2020.</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The Company applies the revenue recognition guidance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When the Company enters into an arrangement that meets the definition of a collaboration under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year ended December 31, 2020, the Company recognized $41.2 million in collaborative revenue as a result of opting out of its agreement with Janssen (see Note 5).</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Liability related to the sale of future royalties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to be amortized to interest expense using the effective interest rate method over the life of the arrangement.</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liability related to sale of future royalties and the related interest expense are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prospectively recognize related non-cash interest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the sale of future royalties, please refer to Note 6, Sale of Future Royalties.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This update is intended to clarify that certain transactions between collaborative arrangement participants should be accounted for as revenue under Topic 606. The Company adopted the new standard on January 1, 2020.</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The Company adopted the new standard on January 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1,461,612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1,880,552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Accrued bonus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419,750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140,981</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Vacation pay</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severance</w:t>
            </w:r>
          </w:p>
        </w:tc>
        <w:tc>
          <w:tcPr>
            <w:tcW w:w="8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31,876</w:t>
            </w:r>
          </w:p>
        </w:tc>
        <w:tc>
          <w:tcPr>
            <w:tcW w:w="8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2,164,657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2,053,409</w:t>
            </w:r>
          </w:p>
        </w:tc>
        <w:tc>
          <w:tcPr>
            <w:tcW w:w="8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418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9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(8,804,733)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(12,151,165)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3"/>
              </w:rPr>
              <w:t>Weighted average shares of common stock outstanding</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42,721,566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39,177,592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w w:val="94"/>
              </w:rPr>
              <w:t>Net loss per share of common stock – basic and diluted</w:t>
            </w:r>
          </w:p>
        </w:tc>
        <w:tc>
          <w:tcPr>
            <w:tcW w:w="21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(0.31)</w:t>
            </w:r>
          </w:p>
        </w:tc>
        <w:tc>
          <w:tcPr>
            <w:tcW w:w="1120" w:type="dxa"/>
            <w:vAlign w:val="bottom"/>
          </w:tcPr>
          <w:p>
            <w:pPr>
              <w:spacing w:after="0"/>
              <w:rPr>
                <w:sz w:val="19"/>
                <w:szCs w:val="19"/>
                <w:color w:val="auto"/>
              </w:rPr>
            </w:pPr>
          </w:p>
        </w:tc>
      </w:tr>
      <w:tr>
        <w:trPr>
          <w:trHeight w:val="432"/>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40" w:type="dxa"/>
            <w:vAlign w:val="bottom"/>
          </w:tcPr>
          <w:p>
            <w:pPr>
              <w:jc w:val="right"/>
              <w:ind w:right="145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100"/>
        <w:spacing w:after="0" w:line="277" w:lineRule="auto"/>
        <w:rPr>
          <w:sz w:val="20"/>
          <w:szCs w:val="20"/>
          <w:color w:val="auto"/>
        </w:rPr>
      </w:pPr>
      <w:r>
        <w:rPr>
          <w:rFonts w:ascii="Arial" w:cs="Arial" w:eastAsia="Arial" w:hAnsi="Arial"/>
          <w:sz w:val="18"/>
          <w:szCs w:val="18"/>
          <w:color w:val="auto"/>
        </w:rPr>
        <w:t>The following securities outstanding at March 31, 2021 and 2020 have been excluded from the calculation of weighted average shares outstanding as their effect on the calculation of loss per share is antidilutive:</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82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16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9,921,311</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8,799,959</w:t>
            </w:r>
          </w:p>
        </w:tc>
        <w:tc>
          <w:tcPr>
            <w:tcW w:w="80" w:type="dxa"/>
            <w:vAlign w:val="bottom"/>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68,650</w:t>
            </w:r>
          </w:p>
        </w:tc>
        <w:tc>
          <w:tcPr>
            <w:tcW w:w="8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CO-DEVELOPMENT AND LICENSE AGREEMENT</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granted the Company an exclusive license to certain patent and patent applications to sell products containing any orexin 2 compound, controlled by Janssen and to seltorexant for any use in humans. The Company accounted for the Agreement as a joint risk-sharing collaboration in accordance with ASC 808, Collaborative Arrangements.</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2017, the Company entered into an amendment (the “Amendment”) to the Agreement whereby Janssen waived its right to royalties on seltorexant insomnia sales in the Minerva Territory, made an upfront payment to the Company of $30 million and agreed to waive development payments from the Company until completion of the Phase 2b development milestone, referred to as “Decision Point 4”.</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Subsequent to the results reported from three Phase 2b trials of seltorexant, in June 2020 the Company exercised its right to opt out of the Agreement with Janssen under a Settlement Agreement pursuant to which the Company and Janssen resolved certain disputes under the Agreement. As a result of the exercise of its right to opt out of the Agreement with Janssen, the Company will be entitled to collect a royalty on potential worldwide sales of seltorexant in certain indications in the mid-single digits, with no further financial obligations to Janssen.</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opting out of the Agreement with Janssen, the Company recognized $41.2 million in collaborative revenue during the second quarter of 2020 which had previously been included on the balance sheet under deferred revenue. The $41.2 million in collaborative revenue represents the $30 million payment made by Janssen and $11.2 million in previously accrued collaborative expenses forgiven by Janssen upon the effective date of the Amendment. The Company does not have any future performance obligations under the agreement and would recognize any future royalty revenues in the periods of the sale of the related products. In January 2021, the Company sold its rights to these potential royalties to Royalty Pharma. Please refer to Note 6 further discussion of the sale of future royalties.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SALE OF FUTURE ROYALTIES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On January 19, 2021, the Company entered into an agreement with Royalty Pharma under which Royalty Pharma acquired Minerva’s royalty interest in seltorexant for an upfront payment of $60 million and up to an additional $95 million in additional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in facilitating the transfer of royalties to Royalty Pharma and Royalty Pharma has recourse against the Company relating to the payments due from Janssen. As such, the Company applied the debt recognition guidance under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and recorded the upfront payment of $60 million as a liability related to the sale of future royalties (“Royalty Obligation”), which will be amortized under the interest method over the estimated life of the agreement. Also in accordance with ASC 470, </w:t>
      </w:r>
      <w:r>
        <w:rPr>
          <w:rFonts w:ascii="Arial" w:cs="Arial" w:eastAsia="Arial" w:hAnsi="Arial"/>
          <w:sz w:val="17"/>
          <w:szCs w:val="17"/>
          <w:i w:val="1"/>
          <w:iCs w:val="1"/>
          <w:color w:val="auto"/>
        </w:rPr>
        <w:t>Debt</w:t>
      </w:r>
      <w:r>
        <w:rPr>
          <w:rFonts w:ascii="Arial" w:cs="Arial" w:eastAsia="Arial" w:hAnsi="Arial"/>
          <w:sz w:val="17"/>
          <w:szCs w:val="17"/>
          <w:color w:val="auto"/>
        </w:rPr>
        <w:t>, the Company will account for any royalties received in the future as non-cash royalty revenue.</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royalties are remitted to the Company from Janssen and subsequently passed onto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additional milestone payments will also be recorded as a liability related to the sale of future royalties when they are received and amortized under the interest method over the estimated remaining life of the agreement. At execution, the Company’s estimate of this total interest expense resulted in an effective annual interest rate of approximately 10.5%. This estimate contains significant assumptions that impact both the amount recorded at execution and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5" w:name="page16"/>
    <w:bookmarkEnd w:id="15"/>
    <w:p>
      <w:pPr>
        <w:ind w:right="20"/>
        <w:spacing w:after="0" w:line="272" w:lineRule="auto"/>
        <w:rPr>
          <w:sz w:val="20"/>
          <w:szCs w:val="20"/>
          <w:color w:val="auto"/>
        </w:rPr>
      </w:pPr>
      <w:r>
        <w:rPr>
          <w:rFonts w:ascii="Arial" w:cs="Arial" w:eastAsia="Arial" w:hAnsi="Arial"/>
          <w:sz w:val="17"/>
          <w:szCs w:val="17"/>
          <w:color w:val="auto"/>
        </w:rPr>
        <w:t>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governmental health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of the Royalty Obligation since the transaction inception through March 31, 2021:</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Upfront payment from the sale of future royalties</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1,296,456</w:t>
            </w:r>
          </w:p>
        </w:tc>
        <w:tc>
          <w:tcPr>
            <w:tcW w:w="10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the sale of future royalties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61,296,456</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10, 2018, the Company entered into the Sales Agreement with Jefferies pursuant to which the Company may offer and sell, from time to time, through Jefferies, up to $50.0 million in shares of the Company's common stock, by any method permitted by law deemed to be an “at-the-market” offering as defined in Rule 415 promulgated under the Securities Act of 1933, as amended. During the year ended December 31, 2020, the Company issued and sold 3,381,608 shares of the Company's common stock under the Sales Agreement. The shares were sold at an average price of $3.7113 per share for aggregate net proceeds to the Company of approximately $12.1 million, after deducting sales commissions and offering costs payable by the Company</w:t>
      </w:r>
      <w:r>
        <w:rPr>
          <w:rFonts w:ascii="Arial" w:cs="Arial" w:eastAsia="Arial" w:hAnsi="Arial"/>
          <w:sz w:val="16"/>
          <w:szCs w:val="16"/>
          <w:b w:val="1"/>
          <w:bCs w:val="1"/>
          <w:i w:val="1"/>
          <w:iCs w:val="1"/>
          <w:color w:val="auto"/>
        </w:rPr>
        <w:t>.</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March 31, 2021.</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December 2013, the Company adopted the 2013 Equity Incentive Plan (as subsequently amended and restated, the “Plan”), which provides for the issuance of options, stock appreciation rights, stock awards and stock units. Pursuant to Nasdaq listing rules, the Company issued inducement awards in December 2017 to the Company’s President outside of the Plan in the form of an option to purchase 775,000 shares of the Company’s common stock and a RSU award to purchase 40,000 shares of the Company’s common stock. As of September 30, 2020, all remaining inducement awards have been canceled or expired. In June 2020, the Company increased the aggregate number of shares of common stock authorized for issuance under the Plan by 2,000,000 shares. Stock option activity for employees and non-employees for the three months ended March 31, 2021 is as follows: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10,050,523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(129,212)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color w:val="auto"/>
              </w:rPr>
              <w:t>Outstanding March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9,921,311</w:t>
            </w:r>
          </w:p>
        </w:tc>
        <w:tc>
          <w:tcPr>
            <w:tcW w:w="10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March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6,588,557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gridSpan w:val="2"/>
            <w:vMerge w:val="continue"/>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March 31, 2021 was $4.14 per share. Total unrecognized compensation costs related to non-vested stock options at March 31, 2021 were approximately $9.8 million and are expected to be recognized within future operating results over a weighted-average period of 1.83 years. The total intrinsic value of the options exercised during the three months ended March 31, 2021, and 2020 was zero and approximately $0.3 million, respectively.</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9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There were no stock options granted during the three months ended March 31, 2021, and 2020.</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The total unrecognized compensation costs related to non-vested RSUs at March 31, 2021 was zero. There were no unvested RSUs as of March 31, 2021 and December 31, 2020,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16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644,176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681,613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871,888</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1,516,574</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1,516,064</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2,198,187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709"/>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0" w:type="dxa"/>
            <w:vAlign w:val="bottom"/>
          </w:tcPr>
          <w:p>
            <w:pPr>
              <w:jc w:val="right"/>
              <w:ind w:right="149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 for the Company’s significant risks and uncertainties in regards to litigation.</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10 for the Company’s current lease commitments.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52"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in accordance with ASC 842.</w:t>
      </w:r>
    </w:p>
    <w:p>
      <w:pPr>
        <w:spacing w:after="0" w:line="2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Throughout the Term, the Company is responsible for paying certain costs and expenses, in addition to the rent, as specified in the 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a summary of the Sublease costs recognized under ASC 842 and other information pertaining to the Company’s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three months ended March 31, 2021:</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44,817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Sublease payments under the Company’s non-cancelable operating Sublease as of March 31, 2021 and December 31, 2020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gridSpan w:val="3"/>
            <w:vMerge w:val="restart"/>
          </w:tcPr>
          <w:p>
            <w:pPr>
              <w:ind w:left="1700"/>
              <w:spacing w:after="0"/>
              <w:rPr>
                <w:sz w:val="20"/>
                <w:szCs w:val="20"/>
                <w:color w:val="auto"/>
              </w:rPr>
            </w:pPr>
            <w:r>
              <w:rPr>
                <w:rFonts w:ascii="Arial" w:cs="Arial" w:eastAsia="Arial" w:hAnsi="Arial"/>
                <w:sz w:val="14"/>
                <w:szCs w:val="14"/>
                <w:b w:val="1"/>
                <w:bCs w:val="1"/>
                <w:color w:val="auto"/>
              </w:rPr>
              <w:t>Future Operating Sublease Payments</w:t>
            </w:r>
          </w:p>
        </w:tc>
        <w:tc>
          <w:tcPr>
            <w:tcW w:w="15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March 31, 2021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(excluding the three months ended March 31, 2021)</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65,153</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65,153</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Sublease liabilities at March 31, 2021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64,350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00" w:type="dxa"/>
            <w:vAlign w:val="bottom"/>
            <w:gridSpan w:val="2"/>
          </w:tcPr>
          <w:p>
            <w:pPr>
              <w:jc w:val="right"/>
              <w:ind w:right="209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6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tbl>
      <w:tblPr>
        <w:tblLayout w:type="fixed"/>
        <w:tblInd w:w="170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0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6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Sublease liabilities at December 31, 2020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Retention Program</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As previously announced, on October 9, 2020, the compensation committee of the board of directors of the Company adopted a retention program for certain of its key employees, pursuant to which the Company would provide certain cash and equity incentives designed to retain such employees, including its executive officers (the “Retention Program”).</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Retention Program, and in addition to other incentives, each participant other than the Company’s Chief Executive Officer (“CEO”) and Chief Financial Officer (“CFO”) are eligible to receive a guaranteed cash retention bonus equal to 50% of such participant’s target bonus for 2021 (which target bonus will be no less than such participant’s target bonus for 2020) to be paid on July 31, 2021, subject to continued employment through such date, and provided that any such payment will be credited against any bonus that may otherwise be due to such participant in the future, including any bonus that may be due pursuant to severance benefits.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On April 13, 2021, the compensation committee amended the Retention Program by adding the following terms and conditions (the “Supplemented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Retention Program”):</w:t>
      </w:r>
    </w:p>
    <w:p>
      <w:pPr>
        <w:spacing w:after="0" w:line="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CEO’s target bonus for 2021 and subsequent years was increased from 50% to 55%;</w:t>
      </w:r>
    </w:p>
    <w:p>
      <w:pPr>
        <w:spacing w:after="0" w:line="9"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participant will be eligible to receive a guaranteed cash retention bonus for the year ended December 31, 2021 equal to 50% (or 100% in the case of the CEO and the CFO, who will not have received a bonus payment on July 31, 2021 as other participants will have) of such participant’s then-current target annual bonus for 2021, subject to continued employment through the earlier of (a) January 2, 2022 and (b) the date the Company generally pays bonuses for 2021; and</w:t>
      </w:r>
    </w:p>
    <w:p>
      <w:pPr>
        <w:spacing w:after="0" w:line="1" w:lineRule="exact"/>
        <w:rPr>
          <w:rFonts w:ascii="Arial" w:cs="Arial" w:eastAsia="Arial" w:hAnsi="Arial"/>
          <w:sz w:val="18"/>
          <w:szCs w:val="18"/>
          <w:color w:val="auto"/>
        </w:rPr>
      </w:pPr>
    </w:p>
    <w:p>
      <w:pPr>
        <w:jc w:val="both"/>
        <w:ind w:left="500" w:right="20" w:hanging="492"/>
        <w:spacing w:after="0" w:line="255"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retains the right, in its sole discretion, to grant bonuses on an individual-by-individual basis that exceed their target bonus amounts at the sole discretion of the Board, based on a variety of factors including, but not limited to, achievement of set objectives or as otherwise directed by the Board.</w:t>
      </w:r>
    </w:p>
    <w:p>
      <w:pPr>
        <w:spacing w:after="0" w:line="1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forgoing description of the Supplemental Retention Program is qualified in its entirety by reference to the full text of the executive officer’s letter agreements, copies of which are filed with this Quarterly Report on Form 10-Q as Exhibits 10.1, 10.2 and 10.3.</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May 5, 2021, the Company entered into an office license agreement with BP Reservoir Place to license approximately 5,923 rentable square feet of office space located at 1601 Trapelo Road, Waltham, MA 02451. The term of the license agreement is scheduled to begin on August 1, 2021 and will expire on July 31, 2022, with an annual rate of $239,881.50 payable in equal monthly installments.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93" w:right="4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2020 as filed with the Securities and Exchange Commission on March 8,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developing roluperidone (f/k/a MIN-101) for the treatment of negative symptoms in patients with schizophrenia and MIN-301 for the treatment of Parkinson’s disease. In addition, we previously co-developed seltorexant (f/k/a MIN-202 or JNJ-42847922) with Janssen Pharmaceutica NV (“Janssen”) for the treatment of insomnia disorder and adjunctive treatment of Major Depressive Disorder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In January 2021, we sold our rights to these potential royalties to Royalty Pharma plc (“Royalty Pharma”).</w:t>
      </w:r>
    </w:p>
    <w:p>
      <w:pPr>
        <w:spacing w:after="0" w:line="17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On November 30, 2020 we received official meeting minutes from our November 10, 2020 Type C meeting with the U.S. Food and Drug Administration (“FDA”) regarding the development of roluperidone for treatment of negative symptoms of schizophrenia. The objective of this meeting was to obtain FDA input regarding the roluperidone data package and its readiness to support a New Drug Application (“NDA”). We summarized FDA’s comments in our 10-K filed on March 8, 2021, and we plan to continue to communicate with FDA regarding their comments and continue to move forward with the clinical pharmacology, non-clinical, and chemistry, manufacturing and controls work needed to support an NDA submission in 2022.</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Label Extension</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May 11, 2021, we announced results from the 40-week open-label extension (OLE) of the Company’s phase 3 trial of roluperidone for the treatment of negative symptoms (NS) of schizophrenia. The OLE followed the 12-week double-blind, placebo-controlled portion of this trial. During the 40-week OLE, both investigators and patients were blinded to the roluperidone dose received (see “About the trial” below).</w:t>
      </w:r>
    </w:p>
    <w:p>
      <w:pPr>
        <w:spacing w:after="0" w:line="1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Over the 40-week OLE period, 333 patients participated, of whom 166 patients received the 32 mg dose and 167 patients received the 64 mg dose. The mean improvement in negative symptoms was 6.8 points in the 32 mg arm and 7.5 points in the 64 mg arm. PSP total score improved by a mean of 12.3 points in the 32 mg arm and 14.5 points in the 64 mg arm, suggesting functional improvement.</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mean improvement in positive symptoms, as measured by the PANSS positive symptom subscore, was 1.9 points in the 32 mg arm and 1.8 points in the 64 mg arm.</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Reduced emotional experience, as measured by a sub-factor of the NSFS that assesses a patient’s motivation to take part in everyday life activities, had a mean improvement of 2.8 points in the 32 mg group and 3.0 points in the 64 mg group.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0" w:name="page21"/>
    <w:bookmarkEnd w:id="20"/>
    <w:p>
      <w:pPr>
        <w:ind w:right="40"/>
        <w:spacing w:after="0" w:line="342" w:lineRule="auto"/>
        <w:rPr>
          <w:sz w:val="20"/>
          <w:szCs w:val="20"/>
          <w:color w:val="auto"/>
        </w:rPr>
      </w:pPr>
      <w:r>
        <w:rPr>
          <w:rFonts w:ascii="Arial" w:cs="Arial" w:eastAsia="Arial" w:hAnsi="Arial"/>
          <w:sz w:val="16"/>
          <w:szCs w:val="16"/>
          <w:color w:val="auto"/>
        </w:rPr>
        <w:t>The relapse rate during the OLE, defined as patients being withdrawn from the trial due to worsening of symptoms of psychosis, was 15 patients out of 166 patients (9%) in the 32 mg arm and 10 patients out of 167 patients (6%) in the 64 mg arm. Over the one year duration the relapse rate was 11.7% overall.</w:t>
      </w:r>
    </w:p>
    <w:p>
      <w:pPr>
        <w:spacing w:after="0" w:line="1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Roluperidone at both doses was safe and well tolerated, and treatment-emergent adverse events (TEAE) were generally mild to moderate in severity. The most frequently reported TEAE in the overall group of 333 patients that participated in the OLE were headaches in 26 patients (7.8%), followed by worsening of schizophrenia in 18 patients (5.4%) and insomnia in 15 patients (4.5%). No other TEAE was reported by more than 4% of the patients. There was one death that occurred after treatment discontinuation (45 year old male) in the 64 mg arm due to treatment-unrelated respiratory failure. Twenty patients (6%) experienced serious adverse events, with the majority of them associated with the disease characteristics, and only 5 were judged by the investigator to be related to roluperidone. In total, 37 patients (11%) did not complete the OLE due to TEAE, with 25 patients (7.5%) due to relapse-related events and the remaining 12 patients due to a variety of other TEAE reported in ≤1% of the patients. Few QT prolongations were observed during the OLE, were generally transient in duration and only one in the 64 mg arm led to discontinuation from the study.</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previously announced, in the double-blind, placebo-controlled portion of the Phase 3 trial, a total of 515 patients were randomized in a 1:1:1 ratio to 32 mg/day roluperidone, 64 mg/day roluperidone, or placebo for 12 weeks, and 513 patients received study drugs. Of these, 333 patients (65%) entered the 40-week OLE, where patients receiving roluperidone continued to receive the same dose of roluperidone, while patients who received placebo during the double-blind phase were randomized at the beginning of the study to receive either 32 mg or 64 mg during the OLE. A total of 166 patients were treated with the 32 mg dose, and 167 patients with the 64 mg dose. A total of 202 of the 333 patients entering the OLE (61%) completed the 40-week period. Both investigators and patients were blinded to the roluperidone doses throughout the OLE. The OLE was designed to evaluate the safety of roluperidone after long-term exposure. Efficacy endpoints were also assessed throughout the 12-month duration of the study. Data collected during the OLE are not placebo-controlled and therefore their interpretation is limited.</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announced on May 29, 2020, the 12-week double-blind, placebo-controlled portion of the trial did not meet its primary or key secondary endpoints in the intent-to-treat population. The 32 mg and 64 mg doses were not statistically significantly different from placebo at week 12 on the primary endpoint of NSFS (p ≤0.259 and p ≤0.064, respectively), or on the key secondary endpoint, PSP total score (p ≤0.542 and nominal p ≤0.021, respectively). The subsequent analysis of the change in baseline in NSFS and PSP total score based on the modified ITT population treated with the 64 mg dose resulted in nominally statistically significant p ≤0.044 and p ≤0.017,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Bioequivalence Study</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April 23, 2021, we initiated subject screening in a pivotal bioequivalence study that will enroll approximately 48 healthy volunteers comparing the formulations employed in the Phase 2b and Phase 3 trials as well as at least one new formulation designed in conjunction with our commercial supplier to facilitate large scale manufacturing. Top line results for this study are expected in the third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June 2020 we exercised our right to opt out of our agreement with Janssen for the future Phase 3 development and commercialization of seltorexant. Under the terms of the opt-out agreement, we are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milestones, subject to completion of the Phase 3 program by Jansen and regulatory approvals.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None of our product candidates have been approved for commercialization and we have not received any revenue in connection with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of our product candidates.</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color w:val="auto"/>
        </w:rPr>
        <w:t xml:space="preserve">Collaborative Revenue. </w:t>
      </w:r>
      <w:r>
        <w:rPr>
          <w:rFonts w:ascii="Arial" w:cs="Arial" w:eastAsia="Arial" w:hAnsi="Arial"/>
          <w:sz w:val="18"/>
          <w:szCs w:val="18"/>
          <w:color w:val="auto"/>
        </w:rPr>
        <w:t>During 2020 we exercised our right to opt out of the joint development agreement with Janssen for the future development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seltorexant. As a result, we have no future obligations under the agreement and recognized approximately $41.2 million in collaborative revenue during 2020, which we had previously included on our balance sheet under deferred revenue.</w:t>
      </w:r>
    </w:p>
    <w:p>
      <w:pPr>
        <w:spacing w:after="0" w:line="18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consists of costs incurred in connection with the development of our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including: fees paid to consultants and clinical research organizations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620"/>
        <w:spacing w:after="0" w:line="277" w:lineRule="auto"/>
        <w:rPr>
          <w:sz w:val="20"/>
          <w:szCs w:val="20"/>
          <w:color w:val="auto"/>
        </w:rPr>
      </w:pPr>
      <w:r>
        <w:rPr>
          <w:rFonts w:ascii="Arial" w:cs="Arial" w:eastAsia="Arial" w:hAnsi="Arial"/>
          <w:sz w:val="18"/>
          <w:szCs w:val="18"/>
          <w:color w:val="auto"/>
        </w:rPr>
        <w:t>costs related to salaries, benefits, bonuses and stock-based compensation granted to employees in research and development functions. We expense research and development costs as they are incurred.</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 traded company, including increased audit and legal fees, costs of compliance with securities laws, corporate governance and other regulations, investor relations expenses and higher insurance premiums.</w:t>
      </w:r>
    </w:p>
    <w:p>
      <w:pPr>
        <w:spacing w:after="0" w:line="12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i w:val="1"/>
          <w:iCs w:val="1"/>
          <w:color w:val="auto"/>
        </w:rPr>
        <w:t xml:space="preserve">Foreign Exchange (Losses) Gains. </w:t>
      </w:r>
      <w:r>
        <w:rPr>
          <w:rFonts w:ascii="Arial" w:cs="Arial" w:eastAsia="Arial" w:hAnsi="Arial"/>
          <w:sz w:val="17"/>
          <w:szCs w:val="17"/>
          <w:color w:val="auto"/>
        </w:rPr>
        <w:t>Foreign exchange (losses) gains are comprised primarily of losses and gains of foreign currency transactions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 expenses denominated in Euros. Since our current clinical trials are conducted in Europe, we incur certain expenses in Euros and record these expenses in United States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 Income. </w:t>
      </w:r>
      <w:r>
        <w:rPr>
          <w:rFonts w:ascii="Arial" w:cs="Arial" w:eastAsia="Arial" w:hAnsi="Arial"/>
          <w:sz w:val="18"/>
          <w:szCs w:val="18"/>
          <w:color w:val="auto"/>
        </w:rPr>
        <w:t>Investment income consists of income earned on our cash equivalents and marketable securities.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Non-cash interest expense for the sale of future royalties. </w:t>
      </w:r>
      <w:r>
        <w:rPr>
          <w:rFonts w:ascii="Arial" w:cs="Arial" w:eastAsia="Arial" w:hAnsi="Arial"/>
          <w:sz w:val="18"/>
          <w:szCs w:val="18"/>
          <w:color w:val="auto"/>
        </w:rPr>
        <w:t>Non-cash interest expense for the sale of future royalties consists of the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Royalty Pharma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2021 versus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Research and development expenses were $3.3 million and $8.1 million for the three months ended March 31, 2021 and 2020, respectively, a decrease of approximately $4.8 million. The decrease in research and development expenses was primarily due to lower costs for the Phase 3 clinical trial of roluperidone as a result of the completion in May 2020 of the three-month core study portion of the trial. Non-cash stock compensation expense included in research and development expenses was $0.6 million and $0.7 million for the three months ended March 31, 2021 and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General and administrative expenses were $4.2 million for both the three months ended March 31, 2021 and 2020. General and administrative expenses included compensation costs, consulting expenses and insurance premiums. Non-cash stock compensation expense included in general and administrative expenses was $0.9 million and $1.5 million for the three months ended March 31, 2021 and 2020,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losses were $5 thousand and $9 thousand for the three months ended March 31, 2021 and 2020, respectively, a decrease of $4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foreign exchange losses was primarily due to a lower level of clinical activities in 2021 denominated in Euros.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was $4 thousand and $130 thousand for the three months ended March 31, 2021 and 2020, respectively, a decrease of $126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lower average balances for cash equivalents and marketable securities during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Non-cash interest expense for the sale of future royalties was $1.3 million and zero for the three months ended March 31, 2021 and 2020, respectively, an increase of $1.3 million. The increase was primarily due to the sale of our royalty interest in seltorexant to Royalty Pharma and the effective interest associated with the agreement under ASC 470,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March 31, 2021, we had an accumulated deficit of approximately $293.6 million. We anticipate that we will continue to incur net losses for the foreseeable future as we continue the development and potential commercialization of our product candidates and to support our operations as a public company. At March 31, 2021, we had approximately $80.2 million in cash, cash equivalents, and restricted cash. In January 2021, Royalty Pharma acquired our royalty interest in seltorexant for an upfront payment of $60 million and up to $95 million in additional milestone payments. The potential future milestone payments to us will be contingent on the achievement of certain clinical, regulatory and commercialization milestones for seltorexant by Janssen. Seltorexant is currently in Phase 3 development for the treatment of MDD with insomnia symptoms by Janssen. We believe that our existing cash, cash equivalents, and restricted cash will be sufficient to meet our cash commitments for at least the next 12 months after the date that the interim condensed financial statements are issued.</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August 2018 we entered into the Sales Agreement with Jefferies LLC pursuant to which we may offer and sell, from time to time, through Jefferies, up to $50.0 million in shares of our common stock, by any method permitted by law deemed to be an “at-the-market” offering as defined in Rule 415 promulgated under the Securities Act of 1933, as amended. During the year ended December 31, 2020, we issued and sold 3,381,608 shares of our common stock under the Sales Agreement. The shares were sold at an average price of $3.7113 per share for aggregate net proceeds to us of approximately $12.1 million, after deducting sales commissions and offering costs payable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Seltorexant Royalties</w:t>
      </w:r>
    </w:p>
    <w:p>
      <w:pPr>
        <w:spacing w:after="0" w:line="22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are entitled to collect royalties in the mid-single digits on potential future sales of seltorexant worldwide in certain indications, with no further financial obligations to Janssen.</w:t>
      </w:r>
    </w:p>
    <w:p>
      <w:pPr>
        <w:spacing w:after="0" w:line="1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January 19, 2021, we entered into an agreement with Royalty Pharma under which Royalty Pharma has acquired our royalty interest in seltorexant for an upfront payment of $60 million and up to $95 million in future milestone payments, contingent upon the achievement of certain clinical, regulatory and commercial milestones for seltorexant by Janssen.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date, we have not generated any revenue from sales of products. We have only generated collaborative revenue due to opting out of our license and co-development agreement with Janssen, and have only generated revenue from the one-time sale of our royalty interests in seltorexant to Royalty Pharma. We do not know when, or if, we will generate any revenue from sales of our products, or from the potential future royalty streams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line="217" w:lineRule="exact"/>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7"/>
          <w:szCs w:val="17"/>
          <w:color w:val="auto"/>
        </w:rPr>
        <w:t>‑</w:t>
      </w:r>
      <w:r>
        <w:rPr>
          <w:rFonts w:ascii="Arial" w:cs="Arial" w:eastAsia="Arial" w:hAnsi="Arial"/>
          <w:sz w:val="17"/>
          <w:szCs w:val="17"/>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7"/>
          <w:szCs w:val="17"/>
          <w:color w:val="auto"/>
        </w:rPr>
        <w:t>‑</w:t>
      </w:r>
      <w:r>
        <w:rPr>
          <w:rFonts w:ascii="Arial" w:cs="Arial" w:eastAsia="Arial" w:hAnsi="Arial"/>
          <w:sz w:val="17"/>
          <w:szCs w:val="17"/>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continuing COVID-19 pandemic may negatively impact the availability and cost of capital.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 set forth below.</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5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36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040" w:type="dxa"/>
            <w:vAlign w:val="bottom"/>
            <w:gridSpan w:val="5"/>
          </w:tcPr>
          <w:p>
            <w:pPr>
              <w:jc w:val="right"/>
              <w:ind w:right="150"/>
              <w:spacing w:after="0" w:line="155" w:lineRule="exact"/>
              <w:rPr>
                <w:sz w:val="20"/>
                <w:szCs w:val="20"/>
                <w:color w:val="auto"/>
              </w:rPr>
            </w:pPr>
            <w:r>
              <w:rPr>
                <w:rFonts w:ascii="Arial" w:cs="Arial" w:eastAsia="Arial" w:hAnsi="Arial"/>
                <w:sz w:val="14"/>
                <w:szCs w:val="14"/>
                <w:b w:val="1"/>
                <w:bCs w:val="1"/>
                <w:color w:val="auto"/>
              </w:rPr>
              <w:t>(dollars in millions)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17.0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w:t>
            </w:r>
          </w:p>
        </w:tc>
        <w:tc>
          <w:tcPr>
            <w:tcW w:w="720" w:type="dxa"/>
            <w:vAlign w:val="bottom"/>
            <w:tcBorders>
              <w:bottom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54.8</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of approximately $5.2 million during the three months ended March 31, 2021 was primarily due our net loss of $8.8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partially offset by stock-based compensation expense of $1.5 million, non-cash interest expense for the sale of future royalties of $1.3 million,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decrease in prepaid expense, a $0.1 million increase in accounts payable, and an increase in accrued expenses of approximately $0.2 million.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operating activities of approximately $9.2 million during the three months ended March 31, 2020 was primarily due to our net loss of</w:t>
      </w:r>
    </w:p>
    <w:p>
      <w:pPr>
        <w:spacing w:after="0" w:line="3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$12.2 million, a $0.2 decrease in accrued expenses, and amortization of investments of $0.1 million, partially offset by stock-based compensation expense of $2.2 million, a $0.8 increase in accounts payable, and a decrease in prepaid expense of $0.3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investing activities was zero during the three months ended March 31, 2021.</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cash provided by investing activities of approximately $17.0 million during the three months ended March 31, 2020 was primarily due to the maturity and redemption of marketable securities of $20.9 million, partially offset by the purchase of marketable securities of $3.9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Net cash provided by financing activities of $60 million during the three months ended March 31, 2021 was due to the proceeds from the sale of future royalties of $60 million.</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cash provided by financing activities of $0.8 million during the three months ended March 31, 2020 was due to the proceeds from the exercise of common stock options of $0.8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our Annual Report on Form 10-K for the fiscal year ended December 31, 2020, our most critical accounting policies and estimates upon which our financial status depends were identified as those relating to research and development costs; in-process research and development; goodwill; and income taxes. We reviewed our policies and determined that those policies and the accounting policies and estimates relating to the liability related to the sale of future royalties were our most critical accounting policies for the three months ended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related to the sale of future royalties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to be amortized to interest expense using the effective interest rate method over the life of the arrangement.</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liability related to sale of future royalties and the related interest expense are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prospectively recognize related non-cash interest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the sale of future royalties, please refer to Note 6, Sale of Future Royalties.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March 31, 2021. Based on the evaluation of our disclosure controls and procedures as of March 31, 2021, our Chief Executive Officer and Chief Financial Officer concluded that, as of such date, our disclosure controls and procedures were effective at a reasonable assurance level.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would have materially affected, or are reasonably likely to materially affect, our internal control over financial reporting.</w:t>
      </w:r>
    </w:p>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53" w:right="69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December 8, 2020 and January 11, 2021, purported stockholders of the Company filed two putative securities class action complaints in the United States District Court for the District of Massachusetts, entitled </w:t>
      </w:r>
      <w:r>
        <w:rPr>
          <w:rFonts w:ascii="Arial" w:cs="Arial" w:eastAsia="Arial" w:hAnsi="Arial"/>
          <w:sz w:val="17"/>
          <w:szCs w:val="17"/>
          <w:i w:val="1"/>
          <w:iCs w:val="1"/>
          <w:color w:val="auto"/>
        </w:rPr>
        <w:t>McCoy v. Minerva Neurosciences, Inc., et al., No. 1:20-cv-12176</w:t>
      </w:r>
      <w:r>
        <w:rPr>
          <w:rFonts w:ascii="Arial" w:cs="Arial" w:eastAsia="Arial" w:hAnsi="Arial"/>
          <w:sz w:val="17"/>
          <w:szCs w:val="17"/>
          <w:color w:val="auto"/>
        </w:rPr>
        <w:t xml:space="preserve"> and </w:t>
      </w:r>
      <w:r>
        <w:rPr>
          <w:rFonts w:ascii="Arial" w:cs="Arial" w:eastAsia="Arial" w:hAnsi="Arial"/>
          <w:sz w:val="17"/>
          <w:szCs w:val="17"/>
          <w:i w:val="1"/>
          <w:iCs w:val="1"/>
          <w:color w:val="auto"/>
        </w:rPr>
        <w:t>Ao v. Minerva</w:t>
      </w:r>
      <w:r>
        <w:rPr>
          <w:rFonts w:ascii="Arial" w:cs="Arial" w:eastAsia="Arial" w:hAnsi="Arial"/>
          <w:sz w:val="17"/>
          <w:szCs w:val="17"/>
          <w:color w:val="auto"/>
        </w:rPr>
        <w:t xml:space="preserve"> </w:t>
      </w:r>
      <w:r>
        <w:rPr>
          <w:rFonts w:ascii="Arial" w:cs="Arial" w:eastAsia="Arial" w:hAnsi="Arial"/>
          <w:sz w:val="17"/>
          <w:szCs w:val="17"/>
          <w:i w:val="1"/>
          <w:iCs w:val="1"/>
          <w:color w:val="auto"/>
        </w:rPr>
        <w:t>Neurosciences, Inc. et al., No. 1:21-cv-10051</w:t>
      </w:r>
      <w:r>
        <w:rPr>
          <w:rFonts w:ascii="Arial" w:cs="Arial" w:eastAsia="Arial" w:hAnsi="Arial"/>
          <w:sz w:val="17"/>
          <w:szCs w:val="17"/>
          <w:color w:val="auto"/>
        </w:rPr>
        <w:t>, respectively, against the Company and the Company’s Chairman and Chief Executive Officer (collectively,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Arial" w:cs="Arial" w:eastAsia="Arial" w:hAnsi="Arial"/>
          <w:sz w:val="17"/>
          <w:szCs w:val="17"/>
          <w:i w:val="1"/>
          <w:iCs w:val="1"/>
          <w:color w:val="auto"/>
        </w:rPr>
        <w:t>In re Minerva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Neurosciences, Inc. Securities Litigation, No. 1:20-cv-12176 </w:t>
      </w:r>
      <w:r>
        <w:rPr>
          <w:rFonts w:ascii="Arial" w:cs="Arial" w:eastAsia="Arial" w:hAnsi="Arial"/>
          <w:sz w:val="17"/>
          <w:szCs w:val="17"/>
          <w:color w:val="auto"/>
        </w:rPr>
        <w:t>and appointing lead plaintiffs and their counsel. On March 19, 2021, the parties filed a</w:t>
      </w:r>
      <w:r>
        <w:rPr>
          <w:rFonts w:ascii="Arial" w:cs="Arial" w:eastAsia="Arial" w:hAnsi="Arial"/>
          <w:sz w:val="17"/>
          <w:szCs w:val="17"/>
          <w:i w:val="1"/>
          <w:iCs w:val="1"/>
          <w:color w:val="auto"/>
        </w:rPr>
        <w:t xml:space="preserve"> </w:t>
      </w:r>
      <w:r>
        <w:rPr>
          <w:rFonts w:ascii="Arial" w:cs="Arial" w:eastAsia="Arial" w:hAnsi="Arial"/>
          <w:sz w:val="17"/>
          <w:szCs w:val="17"/>
          <w:color w:val="auto"/>
        </w:rPr>
        <w:t>stipulated proposed order with the Court staying the Defendants’ response to the complaint until after plaintiffs file an amended complaint. We dispute these claims and intend to defend the matter vigorously.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2020, as filed with the SEC on March 8, 2021. The risk factors set forth below are risk factors containing changes, which may be material, from the risk factors previously disclosed in Item 1A of our Annual Report on Form 10-K for the fiscal year ended December 31, 2020, as filed with the SEC.</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had an accumulated deficit of $293.6 million.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7" w:name="page28"/>
    <w:bookmarkEnd w:id="27"/>
    <w:p>
      <w:pPr>
        <w:ind w:right="34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As of March 31, 2021, we had cash, cash equivalents, and restricted cash of $80.2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right="580" w:hanging="493"/>
        <w:spacing w:after="0" w:line="258"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00" w:right="660" w:hanging="493"/>
        <w:spacing w:after="0" w:line="28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00" w:right="340" w:hanging="493"/>
        <w:spacing w:after="0" w:line="250"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00" w:right="20" w:hanging="493"/>
        <w:spacing w:after="0" w:line="260"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 and phased re-openings.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business could be adversely affected by the effects of health pandemics or epidemics, including the ongoing COVID-19 pandemic, which continues to have a negative impact on the local, regional, national and global scale. In response to the pandemic, a number of jurisdictions in which we or our service providers operate implemented shelter-in-place or similar type restrictions, which limited on-site activity to certain service providers. Additionally, our headquarters are located in Massachusetts, which implemented such restrictions. In response, we implemented work-from-home policies for our employees, which continue to be in effect. While certain jurisdictions, including Massachusetts have begun a phased re-opening of businesses and governmental agencies, there remain limitations on the physical operations of businesses and prohibitions on certain non-essential gatherings, and it is unclear if such phased re-openings will continue or be rolled back, and there is uncertainty about when, if, or how our workforce may return. The effects of the state executive order, local shelter-in-place orders, government-imposed quarantines and our work-from-home policies, including the uncertainty about their duration, may negatively impact productivity, disrupt our business and delay our clinical programs and timelines. The magnitude of these negative effects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t>In addition, our clinical trials may be affected by the COVID-19 pandemic. We may face difficulties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securities during the three months ended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three months ended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8620" w:type="dxa"/>
            <w:vAlign w:val="bottom"/>
            <w:gridSpan w:val="12"/>
            <w:vMerge w:val="restart"/>
          </w:tcPr>
          <w:p>
            <w:pPr>
              <w:ind w:left="37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4"/>
                <w:szCs w:val="14"/>
                <w:color w:val="auto"/>
              </w:rPr>
            </w:pP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SEC File No.</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20" w:type="dxa"/>
            <w:vAlign w:val="bottom"/>
            <w:tcBorders>
              <w:bottom w:val="single" w:sz="8" w:color="auto"/>
            </w:tcBorders>
            <w:gridSpan w:val="1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9080" w:type="dxa"/>
            <w:vAlign w:val="bottom"/>
            <w:gridSpan w:val="14"/>
          </w:tcPr>
          <w:p>
            <w:pPr>
              <w:spacing w:after="0"/>
              <w:rPr>
                <w:rFonts w:ascii="Arial" w:cs="Arial" w:eastAsia="Arial" w:hAnsi="Arial"/>
                <w:sz w:val="18"/>
                <w:szCs w:val="18"/>
                <w:color w:val="0000EE"/>
                <w:w w:val="98"/>
              </w:rPr>
            </w:pPr>
            <w:hyperlink r:id="rId50">
              <w:r>
                <w:rPr>
                  <w:rFonts w:ascii="Arial" w:cs="Arial" w:eastAsia="Arial" w:hAnsi="Arial"/>
                  <w:sz w:val="18"/>
                  <w:szCs w:val="18"/>
                  <w:color w:val="0000EE"/>
                  <w:w w:val="98"/>
                </w:rPr>
                <w:t>Amended and Restated Certificate of Incorporation of the Registrant (incorporated by reference to Exhibit 3.1 to the</w:t>
              </w:r>
            </w:hyperlink>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333-195169</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Registrant’s registration statement on Form S-1/A filed with the SEC on June 10, 2014)</w:t>
              </w:r>
            </w:hyperlink>
          </w:p>
        </w:tc>
        <w:tc>
          <w:tcPr>
            <w:tcW w:w="72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8700" w:type="dxa"/>
            <w:vAlign w:val="bottom"/>
            <w:tcBorders>
              <w:bottom w:val="single" w:sz="8" w:color="0000EE"/>
            </w:tcBorders>
            <w:gridSpan w:val="11"/>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Amended and Restated Bylaws of the Registrant (incorporated by reference to Exhibit 3.2 to the Registrant’s registration</w:t>
              </w:r>
            </w:hyperlink>
          </w:p>
        </w:tc>
        <w:tc>
          <w:tcPr>
            <w:tcW w:w="380" w:type="dxa"/>
            <w:vAlign w:val="bottom"/>
            <w:gridSpan w:val="3"/>
          </w:tcPr>
          <w:p>
            <w:pPr>
              <w:spacing w:after="0"/>
              <w:rPr>
                <w:sz w:val="24"/>
                <w:szCs w:val="24"/>
                <w:color w:val="auto"/>
              </w:rPr>
            </w:pPr>
          </w:p>
        </w:tc>
        <w:tc>
          <w:tcPr>
            <w:tcW w:w="1120" w:type="dxa"/>
            <w:vAlign w:val="bottom"/>
          </w:tcPr>
          <w:p>
            <w:pPr>
              <w:jc w:val="right"/>
              <w:ind w:right="96"/>
              <w:spacing w:after="0"/>
              <w:rPr>
                <w:sz w:val="20"/>
                <w:szCs w:val="20"/>
                <w:color w:val="auto"/>
              </w:rPr>
            </w:pPr>
            <w:r>
              <w:rPr>
                <w:rFonts w:ascii="Arial" w:cs="Arial" w:eastAsia="Arial" w:hAnsi="Arial"/>
                <w:sz w:val="18"/>
                <w:szCs w:val="18"/>
                <w:color w:val="auto"/>
              </w:rPr>
              <w:t>001-36517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statement on Form S-1/A filed with the SEC on November 4, 2019)</w:t>
              </w:r>
            </w:hyperlink>
          </w:p>
        </w:tc>
        <w:tc>
          <w:tcPr>
            <w:tcW w:w="4200" w:type="dxa"/>
            <w:vAlign w:val="bottom"/>
            <w:gridSpan w:val="11"/>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5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Remy Luthringer Supplemental Retention Benefits Letter Agreement (redacted)</w:t>
              </w:r>
            </w:hyperlink>
          </w:p>
        </w:tc>
        <w:tc>
          <w:tcPr>
            <w:tcW w:w="3320" w:type="dxa"/>
            <w:vAlign w:val="bottom"/>
            <w:gridSpan w:val="8"/>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53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Geoff Race Supplemental Retention Benefits Letter Agreement (redacted)</w:t>
              </w:r>
            </w:hyperlink>
          </w:p>
        </w:tc>
        <w:tc>
          <w:tcPr>
            <w:tcW w:w="3740" w:type="dxa"/>
            <w:vAlign w:val="bottom"/>
            <w:gridSpan w:val="10"/>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08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Form of Supplemental Retention Benefits Letter Agreement for Other Officers</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9080" w:type="dxa"/>
            <w:vAlign w:val="bottom"/>
            <w:gridSpan w:val="14"/>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Certification of Chief Executive Officer (Principal Executive Officer) pursuant to Section 302 of Sarbanes-Oxley Act of</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2002</w:t>
              </w:r>
            </w:hyperlink>
          </w:p>
        </w:tc>
        <w:tc>
          <w:tcPr>
            <w:tcW w:w="4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89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Chief Financial Officer (Principal Financial Officer) pursuant to Section 302 of Sarbanes-Oxley Act of 2002</w:t>
              </w:r>
            </w:hyperlink>
          </w:p>
        </w:tc>
        <w:tc>
          <w:tcPr>
            <w:tcW w:w="12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r>
              <w:rPr>
                <w:rFonts w:ascii="Arial" w:cs="Arial" w:eastAsia="Arial" w:hAnsi="Arial"/>
                <w:sz w:val="15"/>
                <w:szCs w:val="15"/>
                <w:color w:val="auto"/>
                <w:w w:val="91"/>
              </w:rPr>
              <w:t>+</w:t>
            </w:r>
          </w:p>
        </w:tc>
        <w:tc>
          <w:tcPr>
            <w:tcW w:w="120" w:type="dxa"/>
            <w:vAlign w:val="bottom"/>
          </w:tcPr>
          <w:p>
            <w:pPr>
              <w:spacing w:after="0"/>
              <w:rPr>
                <w:sz w:val="24"/>
                <w:szCs w:val="24"/>
                <w:color w:val="auto"/>
              </w:rPr>
            </w:pPr>
          </w:p>
        </w:tc>
        <w:tc>
          <w:tcPr>
            <w:tcW w:w="90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Certification of Chief Executive Officer (Principal Executive Officer) and Chief Financial Officer (Principal Financial</w:t>
              </w:r>
            </w:hyperlink>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Officer) pursuant to Section 906 of Sarbanes-Oxley Act of 2002</w:t>
              </w:r>
            </w:hyperlink>
          </w:p>
        </w:tc>
        <w:tc>
          <w:tcPr>
            <w:tcW w:w="3880" w:type="dxa"/>
            <w:vAlign w:val="bottom"/>
            <w:tcBorders>
              <w:top w:val="single" w:sz="8" w:color="0000EE"/>
            </w:tcBorders>
            <w:gridSpan w:val="7"/>
          </w:tcPr>
          <w:p>
            <w:pPr>
              <w:spacing w:after="0"/>
              <w:rPr>
                <w:sz w:val="17"/>
                <w:szCs w:val="17"/>
                <w:color w:val="auto"/>
              </w:rPr>
            </w:pPr>
          </w:p>
        </w:tc>
        <w:tc>
          <w:tcPr>
            <w:tcW w:w="58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908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101.SCH</w:t>
            </w:r>
          </w:p>
        </w:tc>
        <w:tc>
          <w:tcPr>
            <w:tcW w:w="90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90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908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90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90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1240" w:hanging="715"/>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cover page from Minerva Neuroscience’s Quarterly Report on Form 10-Q for the three months ended March 31, 2021 is formatted in Inline XBRL and it is contained in Exhibit 101</w:t>
      </w:r>
    </w:p>
    <w:p>
      <w:pPr>
        <w:spacing w:after="0" w:line="210" w:lineRule="exact"/>
        <w:rPr>
          <w:rFonts w:ascii="Arial" w:cs="Arial" w:eastAsia="Arial" w:hAnsi="Arial"/>
          <w:sz w:val="18"/>
          <w:szCs w:val="18"/>
          <w:color w:val="auto"/>
        </w:rPr>
      </w:pPr>
    </w:p>
    <w:p>
      <w:pPr>
        <w:ind w:left="380" w:right="300" w:hanging="372"/>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320" w:top="553" w:right="579" w:bottom="1440" w:gutter="0" w:footer="0" w:header="0"/>
        </w:sectPr>
      </w:pPr>
    </w:p>
    <w:bookmarkStart w:id="31" w:name="page32"/>
    <w:bookmarkEnd w:id="31"/>
    <w:p>
      <w:pPr>
        <w:ind w:left="10000"/>
        <w:spacing w:after="0"/>
        <w:rPr>
          <w:sz w:val="20"/>
          <w:szCs w:val="20"/>
          <w:color w:val="auto"/>
        </w:rPr>
      </w:pPr>
      <w:r>
        <w:rPr>
          <w:rFonts w:ascii="Arial" w:cs="Arial" w:eastAsia="Arial" w:hAnsi="Arial"/>
          <w:sz w:val="20"/>
          <w:szCs w:val="20"/>
          <w:b w:val="1"/>
          <w:bCs w:val="1"/>
          <w:color w:val="auto"/>
        </w:rPr>
        <w:t>EXHIBIT 10.1</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identified information identified with brackets (“[•••]”) has been excluded from this exhibit because it both (i) is not material and (ii) would be competitively harmful if publicly disclosed.</w:t>
      </w:r>
    </w:p>
    <w:p>
      <w:pPr>
        <w:spacing w:after="0" w:line="190"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10.1</w:t>
      </w:r>
      <w:r>
        <w:rPr>
          <w:sz w:val="20"/>
          <w:szCs w:val="20"/>
          <w:color w:val="auto"/>
        </w:rPr>
        <w:tab/>
      </w:r>
      <w:r>
        <w:rPr>
          <w:rFonts w:ascii="Arial" w:cs="Arial" w:eastAsia="Arial" w:hAnsi="Arial"/>
          <w:sz w:val="18"/>
          <w:szCs w:val="18"/>
          <w:color w:val="auto"/>
        </w:rPr>
        <w:t>Remy Luthringer Supplemental Retention Benefits Letter Agreement (redacted)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April 27,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Remy Luthringer, PhD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1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Supplemental Retention Benefit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Remy:</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You will recall that last year the Compensation Committee (the “</w:t>
      </w:r>
      <w:r>
        <w:rPr>
          <w:rFonts w:ascii="Arial" w:cs="Arial" w:eastAsia="Arial" w:hAnsi="Arial"/>
          <w:sz w:val="20"/>
          <w:szCs w:val="20"/>
          <w:u w:val="single" w:color="auto"/>
          <w:color w:val="auto"/>
        </w:rPr>
        <w:t>Committee</w:t>
      </w:r>
      <w:r>
        <w:rPr>
          <w:rFonts w:ascii="Arial" w:cs="Arial" w:eastAsia="Arial" w:hAnsi="Arial"/>
          <w:sz w:val="20"/>
          <w:szCs w:val="20"/>
          <w:color w:val="auto"/>
        </w:rPr>
        <w:t>”) of the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of Minerva Neurosciences, Inc. (the “</w:t>
      </w:r>
      <w:r>
        <w:rPr>
          <w:rFonts w:ascii="Arial" w:cs="Arial" w:eastAsia="Arial" w:hAnsi="Arial"/>
          <w:sz w:val="20"/>
          <w:szCs w:val="20"/>
          <w:u w:val="single" w:color="auto"/>
          <w:color w:val="auto"/>
        </w:rPr>
        <w:t>Company</w:t>
      </w:r>
      <w:r>
        <w:rPr>
          <w:rFonts w:ascii="Arial" w:cs="Arial" w:eastAsia="Arial" w:hAnsi="Arial"/>
          <w:sz w:val="20"/>
          <w:szCs w:val="20"/>
          <w:color w:val="auto"/>
        </w:rPr>
        <w:t>”) adopted a retention program for certain of its key employees, pursuant to which the Company provided certain cash and equity incentives to you as an inducement to retain your services as an employee (the “</w:t>
      </w:r>
      <w:r>
        <w:rPr>
          <w:rFonts w:ascii="Arial" w:cs="Arial" w:eastAsia="Arial" w:hAnsi="Arial"/>
          <w:sz w:val="20"/>
          <w:szCs w:val="20"/>
          <w:u w:val="single" w:color="auto"/>
          <w:color w:val="auto"/>
        </w:rPr>
        <w:t>Retention Program</w:t>
      </w:r>
      <w:r>
        <w:rPr>
          <w:rFonts w:ascii="Arial" w:cs="Arial" w:eastAsia="Arial" w:hAnsi="Arial"/>
          <w:sz w:val="20"/>
          <w:szCs w:val="20"/>
          <w:color w:val="auto"/>
        </w:rPr>
        <w:t>”) pursuant to a retention benefits letter agreement dated October 13, 2020 between you and the Company regarding the Retention Program (the “</w:t>
      </w:r>
      <w:r>
        <w:rPr>
          <w:rFonts w:ascii="Arial" w:cs="Arial" w:eastAsia="Arial" w:hAnsi="Arial"/>
          <w:sz w:val="20"/>
          <w:szCs w:val="20"/>
          <w:u w:val="single" w:color="auto"/>
          <w:color w:val="auto"/>
        </w:rPr>
        <w:t>Retention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Benefits Letter Agreement</w:t>
      </w:r>
      <w:r>
        <w:rPr>
          <w:rFonts w:ascii="Arial" w:cs="Arial" w:eastAsia="Arial" w:hAnsi="Arial"/>
          <w:sz w:val="20"/>
          <w:szCs w:val="20"/>
          <w:color w:val="auto"/>
        </w:rPr>
        <w:t>”).</w:t>
      </w:r>
    </w:p>
    <w:p>
      <w:pPr>
        <w:spacing w:after="0" w:line="194" w:lineRule="exact"/>
        <w:rPr>
          <w:sz w:val="20"/>
          <w:szCs w:val="20"/>
          <w:color w:val="auto"/>
        </w:rPr>
      </w:pPr>
    </w:p>
    <w:p>
      <w:pPr>
        <w:jc w:val="both"/>
        <w:ind w:firstLine="8"/>
        <w:spacing w:after="0" w:line="250" w:lineRule="auto"/>
        <w:tabs>
          <w:tab w:leader="none" w:pos="796"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Supplemental Retention Program</w:t>
      </w:r>
      <w:r>
        <w:rPr>
          <w:rFonts w:ascii="Arial" w:cs="Arial" w:eastAsia="Arial" w:hAnsi="Arial"/>
          <w:sz w:val="20"/>
          <w:szCs w:val="20"/>
          <w:color w:val="auto"/>
        </w:rPr>
        <w:t>. I am pleased to inform you that on April 13, 2021, the Committee supplemented the Retention Program. In recognition of the importance of your services to the Company, you have been selected to receive the following supplemental benefit, subject to the following terms and conditions:</w:t>
      </w:r>
    </w:p>
    <w:p>
      <w:pPr>
        <w:spacing w:after="0" w:line="186" w:lineRule="exact"/>
        <w:rPr>
          <w:sz w:val="20"/>
          <w:szCs w:val="20"/>
          <w:color w:val="auto"/>
        </w:rPr>
      </w:pPr>
    </w:p>
    <w:p>
      <w:pPr>
        <w:ind w:left="860" w:hanging="852"/>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your target bonus for 2021 and subsequent years will be increased from 50% to 55%;</w:t>
      </w:r>
    </w:p>
    <w:p>
      <w:pPr>
        <w:spacing w:after="0" w:line="215" w:lineRule="exact"/>
        <w:rPr>
          <w:rFonts w:ascii="Arial" w:cs="Arial" w:eastAsia="Arial" w:hAnsi="Arial"/>
          <w:sz w:val="20"/>
          <w:szCs w:val="20"/>
          <w:color w:val="auto"/>
        </w:rPr>
      </w:pPr>
    </w:p>
    <w:p>
      <w:pPr>
        <w:jc w:val="both"/>
        <w:ind w:left="860" w:hanging="852"/>
        <w:spacing w:after="0" w:line="250" w:lineRule="auto"/>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you will be eligible to receive a cash retention bonus for the year ending December 31, 2021 equal to 100% of your then-current target annual bonus for 2021, subject to your continued employment through the earlier of (a) January 2, 2022 and (b) the date the Company generally pays bonuses for 2021; and</w:t>
      </w:r>
    </w:p>
    <w:p>
      <w:pPr>
        <w:spacing w:after="0" w:line="185" w:lineRule="exact"/>
        <w:rPr>
          <w:rFonts w:ascii="Arial" w:cs="Arial" w:eastAsia="Arial" w:hAnsi="Arial"/>
          <w:sz w:val="20"/>
          <w:szCs w:val="20"/>
          <w:color w:val="auto"/>
        </w:rPr>
      </w:pPr>
    </w:p>
    <w:p>
      <w:pPr>
        <w:jc w:val="both"/>
        <w:ind w:left="860" w:hanging="852"/>
        <w:spacing w:after="0" w:line="250" w:lineRule="auto"/>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this amount will be in lieu of any discretionary bonus for 2021, although the Company retains the right, in its sole discretion, to grant additional bonuses based on a variety of factors including, but not limited to, achievement of set objectives or as otherwise directed by the Board.</w:t>
      </w:r>
    </w:p>
    <w:p>
      <w:pPr>
        <w:spacing w:after="0" w:line="186" w:lineRule="exact"/>
        <w:rPr>
          <w:sz w:val="20"/>
          <w:szCs w:val="20"/>
          <w:color w:val="auto"/>
        </w:rPr>
      </w:pPr>
    </w:p>
    <w:p>
      <w:pPr>
        <w:ind w:left="800" w:hanging="792"/>
        <w:spacing w:after="0"/>
        <w:tabs>
          <w:tab w:leader="none" w:pos="800"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Employment At-Will</w:t>
      </w:r>
      <w:r>
        <w:rPr>
          <w:rFonts w:ascii="Arial" w:cs="Arial" w:eastAsia="Arial" w:hAnsi="Arial"/>
          <w:sz w:val="19"/>
          <w:szCs w:val="19"/>
          <w:color w:val="auto"/>
        </w:rPr>
        <w:t>. Of course, as with all employees, your employment relationship with the Company remains at-will.</w:t>
      </w:r>
    </w:p>
    <w:p>
      <w:pPr>
        <w:spacing w:after="0" w:line="227" w:lineRule="exact"/>
        <w:rPr>
          <w:rFonts w:ascii="Arial" w:cs="Arial" w:eastAsia="Arial" w:hAnsi="Arial"/>
          <w:sz w:val="19"/>
          <w:szCs w:val="19"/>
          <w:color w:val="auto"/>
        </w:rPr>
      </w:pPr>
    </w:p>
    <w:p>
      <w:pPr>
        <w:jc w:val="both"/>
        <w:ind w:firstLine="8"/>
        <w:spacing w:after="0" w:line="250" w:lineRule="auto"/>
        <w:tabs>
          <w:tab w:leader="none" w:pos="796" w:val="left"/>
        </w:tabs>
        <w:numPr>
          <w:ilvl w:val="0"/>
          <w:numId w:val="8"/>
        </w:numPr>
        <w:rPr>
          <w:rFonts w:ascii="Arial" w:cs="Arial" w:eastAsia="Arial" w:hAnsi="Arial"/>
          <w:sz w:val="20"/>
          <w:szCs w:val="20"/>
          <w:color w:val="auto"/>
        </w:rPr>
      </w:pPr>
      <w:r>
        <w:rPr>
          <w:rFonts w:ascii="Arial" w:cs="Arial" w:eastAsia="Arial" w:hAnsi="Arial"/>
          <w:sz w:val="20"/>
          <w:szCs w:val="20"/>
          <w:u w:val="single" w:color="auto"/>
          <w:color w:val="auto"/>
        </w:rPr>
        <w:t>Effect of this Letter</w:t>
      </w:r>
      <w:r>
        <w:rPr>
          <w:rFonts w:ascii="Arial" w:cs="Arial" w:eastAsia="Arial" w:hAnsi="Arial"/>
          <w:sz w:val="20"/>
          <w:szCs w:val="20"/>
          <w:color w:val="auto"/>
        </w:rPr>
        <w:t>. This letter will take effect once signed by you and on behalf of the Company. As amended by this letter, the terms of your Employment Agreement and Retention Benefits Letter Agreement remain in effect, including, without limitation, the terms regarding termination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80" w:type="dxa"/>
            <w:vAlign w:val="bottom"/>
            <w:tcBorders>
              <w:top w:val="single" w:sz="8" w:color="auto"/>
            </w:tcBorders>
          </w:tcPr>
          <w:p>
            <w:pPr>
              <w:spacing w:after="0" w:line="227" w:lineRule="exact"/>
              <w:rPr>
                <w:sz w:val="20"/>
                <w:szCs w:val="20"/>
                <w:color w:val="auto"/>
              </w:rPr>
            </w:pPr>
            <w:r>
              <w:rPr>
                <w:rFonts w:ascii="Arial" w:cs="Arial" w:eastAsia="Arial" w:hAnsi="Arial"/>
                <w:sz w:val="20"/>
                <w:szCs w:val="20"/>
                <w:color w:val="auto"/>
              </w:rPr>
              <w:t>Geoff Race</w:t>
            </w:r>
          </w:p>
        </w:tc>
        <w:tc>
          <w:tcPr>
            <w:tcW w:w="2120" w:type="dxa"/>
            <w:vAlign w:val="bottom"/>
          </w:tcPr>
          <w:p>
            <w:pPr>
              <w:spacing w:after="0"/>
              <w:rPr>
                <w:sz w:val="19"/>
                <w:szCs w:val="19"/>
                <w:color w:val="auto"/>
              </w:rPr>
            </w:pPr>
          </w:p>
        </w:tc>
        <w:tc>
          <w:tcPr>
            <w:tcW w:w="4040" w:type="dxa"/>
            <w:vAlign w:val="bottom"/>
            <w:tcBorders>
              <w:top w:val="single" w:sz="8" w:color="auto"/>
            </w:tcBorders>
            <w:gridSpan w:val="2"/>
          </w:tcPr>
          <w:p>
            <w:pPr>
              <w:spacing w:after="0" w:line="227" w:lineRule="exact"/>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20"/>
                <w:szCs w:val="20"/>
                <w:color w:val="auto"/>
              </w:rPr>
              <w:t>CFO</w:t>
            </w:r>
          </w:p>
        </w:tc>
        <w:tc>
          <w:tcPr>
            <w:tcW w:w="2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0"/>
                <w:szCs w:val="20"/>
                <w:color w:val="auto"/>
              </w:rPr>
            </w:pPr>
            <w:r>
              <w:rPr>
                <w:rFonts w:ascii="Arial" w:cs="Arial" w:eastAsia="Arial" w:hAnsi="Arial"/>
                <w:sz w:val="20"/>
                <w:szCs w:val="20"/>
                <w:color w:val="auto"/>
              </w:rPr>
              <w:t>ACCEPTED AND AGREED:</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080" w:type="dxa"/>
            <w:vAlign w:val="bottom"/>
            <w:tcBorders>
              <w:bottom w:val="single" w:sz="8" w:color="auto"/>
            </w:tcBorders>
          </w:tcPr>
          <w:p>
            <w:pPr>
              <w:spacing w:after="0"/>
              <w:rPr>
                <w:sz w:val="24"/>
                <w:szCs w:val="24"/>
                <w:color w:val="auto"/>
              </w:rPr>
            </w:pPr>
          </w:p>
        </w:tc>
        <w:tc>
          <w:tcPr>
            <w:tcW w:w="21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080" w:type="dxa"/>
            <w:vAlign w:val="bottom"/>
          </w:tcPr>
          <w:p>
            <w:pPr>
              <w:spacing w:after="0"/>
              <w:rPr>
                <w:sz w:val="20"/>
                <w:szCs w:val="20"/>
                <w:color w:val="auto"/>
              </w:rPr>
            </w:pPr>
            <w:r>
              <w:rPr>
                <w:rFonts w:ascii="Arial" w:cs="Arial" w:eastAsia="Arial" w:hAnsi="Arial"/>
                <w:sz w:val="20"/>
                <w:szCs w:val="20"/>
                <w:color w:val="auto"/>
              </w:rPr>
              <w:t>Remy Luthringer</w:t>
            </w:r>
          </w:p>
        </w:tc>
        <w:tc>
          <w:tcPr>
            <w:tcW w:w="212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658"/>
        </w:trPr>
        <w:tc>
          <w:tcPr>
            <w:tcW w:w="5080" w:type="dxa"/>
            <w:vAlign w:val="bottom"/>
          </w:tcPr>
          <w:p>
            <w:pPr>
              <w:spacing w:after="0"/>
              <w:rPr>
                <w:sz w:val="20"/>
                <w:szCs w:val="20"/>
                <w:color w:val="auto"/>
              </w:rPr>
            </w:pPr>
            <w:r>
              <w:rPr>
                <w:rFonts w:ascii="Arial" w:cs="Arial" w:eastAsia="Arial" w:hAnsi="Arial"/>
                <w:sz w:val="20"/>
                <w:szCs w:val="20"/>
                <w:color w:val="auto"/>
              </w:rPr>
              <w:t>2</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2" w:right="339" w:bottom="1440" w:gutter="0" w:footer="0" w:header="0"/>
        </w:sectPr>
      </w:pPr>
    </w:p>
    <w:bookmarkStart w:id="33" w:name="page34"/>
    <w:bookmarkEnd w:id="33"/>
    <w:p>
      <w:pPr>
        <w:ind w:left="10000"/>
        <w:spacing w:after="0"/>
        <w:rPr>
          <w:sz w:val="20"/>
          <w:szCs w:val="20"/>
          <w:color w:val="auto"/>
        </w:rPr>
      </w:pPr>
      <w:r>
        <w:rPr>
          <w:rFonts w:ascii="Arial" w:cs="Arial" w:eastAsia="Arial" w:hAnsi="Arial"/>
          <w:sz w:val="20"/>
          <w:szCs w:val="20"/>
          <w:b w:val="1"/>
          <w:bCs w:val="1"/>
          <w:color w:val="auto"/>
        </w:rPr>
        <w:t>EXHIBIT 10.2</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identified information identified with brackets (“[•••]”) has been excluded from this exhibit because it both (i) is not material and (ii) would be competitively harmful if publicly disclosed.</w:t>
      </w:r>
    </w:p>
    <w:p>
      <w:pPr>
        <w:spacing w:after="0" w:line="204"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10.2</w:t>
      </w:r>
      <w:r>
        <w:rPr>
          <w:sz w:val="20"/>
          <w:szCs w:val="20"/>
          <w:color w:val="auto"/>
        </w:rPr>
        <w:tab/>
      </w:r>
      <w:r>
        <w:rPr>
          <w:rFonts w:ascii="Arial" w:cs="Arial" w:eastAsia="Arial" w:hAnsi="Arial"/>
          <w:sz w:val="16"/>
          <w:szCs w:val="16"/>
          <w:color w:val="auto"/>
        </w:rPr>
        <w:t>Geoff Race Supplemental Retention Benefits Letter Agreement (redacted)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April 27,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Geoff Race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Supplemental Retention Benefit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Geoff:</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You will recall that last year the Compensation Committee (the “</w:t>
      </w:r>
      <w:r>
        <w:rPr>
          <w:rFonts w:ascii="Arial" w:cs="Arial" w:eastAsia="Arial" w:hAnsi="Arial"/>
          <w:sz w:val="20"/>
          <w:szCs w:val="20"/>
          <w:u w:val="single" w:color="auto"/>
          <w:color w:val="auto"/>
        </w:rPr>
        <w:t>Committee</w:t>
      </w:r>
      <w:r>
        <w:rPr>
          <w:rFonts w:ascii="Arial" w:cs="Arial" w:eastAsia="Arial" w:hAnsi="Arial"/>
          <w:sz w:val="20"/>
          <w:szCs w:val="20"/>
          <w:color w:val="auto"/>
        </w:rPr>
        <w:t>”) of the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of Minerva Neurosciences, Inc. (the “</w:t>
      </w:r>
      <w:r>
        <w:rPr>
          <w:rFonts w:ascii="Arial" w:cs="Arial" w:eastAsia="Arial" w:hAnsi="Arial"/>
          <w:sz w:val="20"/>
          <w:szCs w:val="20"/>
          <w:u w:val="single" w:color="auto"/>
          <w:color w:val="auto"/>
        </w:rPr>
        <w:t>Company</w:t>
      </w:r>
      <w:r>
        <w:rPr>
          <w:rFonts w:ascii="Arial" w:cs="Arial" w:eastAsia="Arial" w:hAnsi="Arial"/>
          <w:sz w:val="20"/>
          <w:szCs w:val="20"/>
          <w:color w:val="auto"/>
        </w:rPr>
        <w:t>”) adopted a retention program for certain of its key employees, pursuant to which the Company provided certain cash and equity incentives to you as an inducement to retain your services as an employee (the “</w:t>
      </w:r>
      <w:r>
        <w:rPr>
          <w:rFonts w:ascii="Arial" w:cs="Arial" w:eastAsia="Arial" w:hAnsi="Arial"/>
          <w:sz w:val="20"/>
          <w:szCs w:val="20"/>
          <w:u w:val="single" w:color="auto"/>
          <w:color w:val="auto"/>
        </w:rPr>
        <w:t>Retention Program</w:t>
      </w:r>
      <w:r>
        <w:rPr>
          <w:rFonts w:ascii="Arial" w:cs="Arial" w:eastAsia="Arial" w:hAnsi="Arial"/>
          <w:sz w:val="20"/>
          <w:szCs w:val="20"/>
          <w:color w:val="auto"/>
        </w:rPr>
        <w:t>”) pursuant to a retention benefits letter agreement dated October 13, 2020 between you and the Company regarding the Retention Program (the “</w:t>
      </w:r>
      <w:r>
        <w:rPr>
          <w:rFonts w:ascii="Arial" w:cs="Arial" w:eastAsia="Arial" w:hAnsi="Arial"/>
          <w:sz w:val="20"/>
          <w:szCs w:val="20"/>
          <w:u w:val="single" w:color="auto"/>
          <w:color w:val="auto"/>
        </w:rPr>
        <w:t>Retention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Benefits Letter Agreement</w:t>
      </w:r>
      <w:r>
        <w:rPr>
          <w:rFonts w:ascii="Arial" w:cs="Arial" w:eastAsia="Arial" w:hAnsi="Arial"/>
          <w:sz w:val="20"/>
          <w:szCs w:val="20"/>
          <w:color w:val="auto"/>
        </w:rPr>
        <w:t>”).</w:t>
      </w:r>
    </w:p>
    <w:p>
      <w:pPr>
        <w:spacing w:after="0" w:line="181" w:lineRule="exact"/>
        <w:rPr>
          <w:sz w:val="20"/>
          <w:szCs w:val="20"/>
          <w:color w:val="auto"/>
        </w:rPr>
      </w:pPr>
    </w:p>
    <w:p>
      <w:pPr>
        <w:jc w:val="both"/>
        <w:ind w:left="160" w:hanging="147"/>
        <w:spacing w:after="0" w:line="250" w:lineRule="auto"/>
        <w:rPr>
          <w:sz w:val="20"/>
          <w:szCs w:val="20"/>
          <w:color w:val="auto"/>
        </w:rPr>
      </w:pPr>
      <w:r>
        <w:rPr>
          <w:rFonts w:ascii="Arial" w:cs="Arial" w:eastAsia="Arial" w:hAnsi="Arial"/>
          <w:sz w:val="20"/>
          <w:szCs w:val="20"/>
          <w:color w:val="auto"/>
        </w:rPr>
        <w:t>1.</w:t>
      </w:r>
      <w:r>
        <w:rPr>
          <w:rFonts w:ascii="Arial" w:cs="Arial" w:eastAsia="Arial" w:hAnsi="Arial"/>
          <w:sz w:val="20"/>
          <w:szCs w:val="20"/>
          <w:u w:val="single" w:color="auto"/>
          <w:color w:val="auto"/>
        </w:rPr>
        <w:t>Supplemental Retention Program</w:t>
      </w:r>
      <w:r>
        <w:rPr>
          <w:rFonts w:ascii="Arial" w:cs="Arial" w:eastAsia="Arial" w:hAnsi="Arial"/>
          <w:sz w:val="20"/>
          <w:szCs w:val="20"/>
          <w:color w:val="auto"/>
        </w:rPr>
        <w:t>. I am pleased to inform you that on April 13, 2021, the Committee supplemented the Retention Program. In recognition of the importance of your services to the Company, you have been selected to receive the following supplemental benefit, subject to the following terms and conditions:</w:t>
      </w:r>
    </w:p>
    <w:p>
      <w:pPr>
        <w:spacing w:after="0" w:line="172" w:lineRule="exact"/>
        <w:rPr>
          <w:sz w:val="20"/>
          <w:szCs w:val="20"/>
          <w:color w:val="auto"/>
        </w:rPr>
      </w:pPr>
    </w:p>
    <w:p>
      <w:pPr>
        <w:jc w:val="both"/>
        <w:ind w:left="580" w:hanging="572"/>
        <w:spacing w:after="0" w:line="250" w:lineRule="auto"/>
        <w:tabs>
          <w:tab w:leader="none" w:pos="580" w:val="left"/>
        </w:tabs>
        <w:numPr>
          <w:ilvl w:val="0"/>
          <w:numId w:val="9"/>
        </w:numPr>
        <w:rPr>
          <w:rFonts w:ascii="Arial" w:cs="Arial" w:eastAsia="Arial" w:hAnsi="Arial"/>
          <w:sz w:val="20"/>
          <w:szCs w:val="20"/>
          <w:color w:val="auto"/>
        </w:rPr>
      </w:pPr>
      <w:r>
        <w:rPr>
          <w:rFonts w:ascii="Arial" w:cs="Arial" w:eastAsia="Arial" w:hAnsi="Arial"/>
          <w:sz w:val="20"/>
          <w:szCs w:val="20"/>
          <w:color w:val="auto"/>
        </w:rPr>
        <w:t>you will be eligible to receive a cash retention bonus for the year ending December 31, 2021 equal to 100% of your then-current target annual bonus for 2021, subject to your continued employment through the earlier of (a) January 2, 2022 and (b) the date the Company generally pays bonuses for 2021; and</w:t>
      </w:r>
    </w:p>
    <w:p>
      <w:pPr>
        <w:spacing w:after="0" w:line="17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this amount will be in lieu of any discretionary bonus for 2021, although the Company retains the right, in its sole discretion, to grant additional bonuses based on a variety of factors including, but not limited to, achievement of set objectives or as otherwise directed by the Board.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2.</w:t>
      </w:r>
      <w:r>
        <w:rPr>
          <w:rFonts w:ascii="Arial" w:cs="Arial" w:eastAsia="Arial" w:hAnsi="Arial"/>
          <w:sz w:val="20"/>
          <w:szCs w:val="20"/>
          <w:u w:val="single" w:color="auto"/>
          <w:color w:val="auto"/>
        </w:rPr>
        <w:t>Employment At-Will</w:t>
      </w:r>
      <w:r>
        <w:rPr>
          <w:rFonts w:ascii="Arial" w:cs="Arial" w:eastAsia="Arial" w:hAnsi="Arial"/>
          <w:sz w:val="20"/>
          <w:szCs w:val="20"/>
          <w:color w:val="auto"/>
        </w:rPr>
        <w:t>. Of course, as with all employees, your employment relationship with the Company remains at-will.</w:t>
      </w:r>
    </w:p>
    <w:p>
      <w:pPr>
        <w:spacing w:after="0" w:line="202" w:lineRule="exact"/>
        <w:rPr>
          <w:sz w:val="20"/>
          <w:szCs w:val="20"/>
          <w:color w:val="auto"/>
        </w:rPr>
      </w:pPr>
    </w:p>
    <w:p>
      <w:pPr>
        <w:jc w:val="both"/>
        <w:ind w:left="160" w:hanging="147"/>
        <w:spacing w:after="0" w:line="250" w:lineRule="auto"/>
        <w:rPr>
          <w:sz w:val="20"/>
          <w:szCs w:val="20"/>
          <w:color w:val="auto"/>
        </w:rPr>
      </w:pPr>
      <w:r>
        <w:rPr>
          <w:rFonts w:ascii="Arial" w:cs="Arial" w:eastAsia="Arial" w:hAnsi="Arial"/>
          <w:sz w:val="20"/>
          <w:szCs w:val="20"/>
          <w:color w:val="auto"/>
        </w:rPr>
        <w:t>3.</w:t>
      </w:r>
      <w:r>
        <w:rPr>
          <w:rFonts w:ascii="Arial" w:cs="Arial" w:eastAsia="Arial" w:hAnsi="Arial"/>
          <w:sz w:val="20"/>
          <w:szCs w:val="20"/>
          <w:u w:val="single" w:color="auto"/>
          <w:color w:val="auto"/>
        </w:rPr>
        <w:t>Effect of this Letter</w:t>
      </w:r>
      <w:r>
        <w:rPr>
          <w:rFonts w:ascii="Arial" w:cs="Arial" w:eastAsia="Arial" w:hAnsi="Arial"/>
          <w:sz w:val="20"/>
          <w:szCs w:val="20"/>
          <w:color w:val="auto"/>
        </w:rPr>
        <w:t>. This letter will take effect once signed by you and on behalf of the Company. As amended by this letter, the terms of your Employment Agreement and Retention Benefits Letter Agreement remain in effect, including, without limitation, the terms regarding termination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5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Remy Luthringer, PhD</w:t>
            </w:r>
          </w:p>
        </w:tc>
        <w:tc>
          <w:tcPr>
            <w:tcW w:w="1680" w:type="dxa"/>
            <w:vAlign w:val="bottom"/>
          </w:tcPr>
          <w:p>
            <w:pPr>
              <w:spacing w:after="0"/>
              <w:rPr>
                <w:sz w:val="20"/>
                <w:szCs w:val="20"/>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Chairman and CEO</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500" w:type="dxa"/>
            <w:vAlign w:val="bottom"/>
          </w:tcPr>
          <w:p>
            <w:pPr>
              <w:spacing w:after="0"/>
              <w:rPr>
                <w:sz w:val="20"/>
                <w:szCs w:val="20"/>
                <w:color w:val="auto"/>
              </w:rPr>
            </w:pPr>
            <w:r>
              <w:rPr>
                <w:rFonts w:ascii="Arial" w:cs="Arial" w:eastAsia="Arial" w:hAnsi="Arial"/>
                <w:sz w:val="20"/>
                <w:szCs w:val="20"/>
                <w:color w:val="auto"/>
              </w:rPr>
              <w:t>ACCEPTED AND AGREED:</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500" w:type="dxa"/>
            <w:vAlign w:val="bottom"/>
            <w:tcBorders>
              <w:bottom w:val="single" w:sz="8" w:color="auto"/>
            </w:tcBorders>
          </w:tcPr>
          <w:p>
            <w:pPr>
              <w:spacing w:after="0"/>
              <w:rPr>
                <w:sz w:val="24"/>
                <w:szCs w:val="24"/>
                <w:color w:val="auto"/>
              </w:rPr>
            </w:pPr>
          </w:p>
        </w:tc>
        <w:tc>
          <w:tcPr>
            <w:tcW w:w="16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Arial" w:cs="Arial" w:eastAsia="Arial" w:hAnsi="Arial"/>
                <w:sz w:val="20"/>
                <w:szCs w:val="20"/>
                <w:color w:val="auto"/>
              </w:rPr>
              <w:t>Geoff Race</w:t>
            </w:r>
          </w:p>
        </w:tc>
        <w:tc>
          <w:tcPr>
            <w:tcW w:w="168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928"/>
        </w:trPr>
        <w:tc>
          <w:tcPr>
            <w:tcW w:w="4500" w:type="dxa"/>
            <w:vAlign w:val="bottom"/>
          </w:tcPr>
          <w:p>
            <w:pPr>
              <w:spacing w:after="0"/>
              <w:rPr>
                <w:sz w:val="20"/>
                <w:szCs w:val="20"/>
                <w:color w:val="auto"/>
              </w:rPr>
            </w:pPr>
            <w:r>
              <w:rPr>
                <w:rFonts w:ascii="Arial" w:cs="Arial" w:eastAsia="Arial" w:hAnsi="Arial"/>
                <w:sz w:val="20"/>
                <w:szCs w:val="20"/>
                <w:color w:val="auto"/>
              </w:rPr>
              <w:t>2</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52"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b w:val="1"/>
          <w:bCs w:val="1"/>
          <w:color w:val="auto"/>
        </w:rPr>
        <w:t>EXHIBIT 10.3</w:t>
      </w:r>
    </w:p>
    <w:p>
      <w:pPr>
        <w:spacing w:after="0" w:line="236" w:lineRule="exact"/>
        <w:rPr>
          <w:sz w:val="20"/>
          <w:szCs w:val="20"/>
          <w:color w:val="auto"/>
        </w:rPr>
      </w:pPr>
    </w:p>
    <w:p>
      <w:pPr>
        <w:spacing w:after="0"/>
        <w:tabs>
          <w:tab w:leader="none" w:pos="1820" w:val="left"/>
        </w:tabs>
        <w:rPr>
          <w:sz w:val="20"/>
          <w:szCs w:val="20"/>
          <w:color w:val="auto"/>
        </w:rPr>
      </w:pPr>
      <w:r>
        <w:rPr>
          <w:rFonts w:ascii="Arial" w:cs="Arial" w:eastAsia="Arial" w:hAnsi="Arial"/>
          <w:sz w:val="20"/>
          <w:szCs w:val="20"/>
          <w:color w:val="auto"/>
        </w:rPr>
        <w:t>EXHIBIT 10.3</w:t>
      </w:r>
      <w:r>
        <w:rPr>
          <w:sz w:val="20"/>
          <w:szCs w:val="20"/>
          <w:color w:val="auto"/>
        </w:rPr>
        <w:tab/>
      </w:r>
      <w:r>
        <w:rPr>
          <w:rFonts w:ascii="Arial" w:cs="Arial" w:eastAsia="Arial" w:hAnsi="Arial"/>
          <w:sz w:val="18"/>
          <w:szCs w:val="18"/>
          <w:color w:val="auto"/>
        </w:rPr>
        <w:t>Form of Executive Supplemental Retention Benefits Letter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April 27, 2021</w:t>
      </w:r>
    </w:p>
    <w:p>
      <w:pPr>
        <w:spacing w:after="0" w:line="200" w:lineRule="exact"/>
        <w:rPr>
          <w:sz w:val="20"/>
          <w:szCs w:val="20"/>
          <w:color w:val="auto"/>
        </w:rPr>
      </w:pPr>
    </w:p>
    <w:p>
      <w:pPr>
        <w:spacing w:after="0" w:line="25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u w:val="single" w:color="auto"/>
          <w:color w:val="auto"/>
        </w:rPr>
        <w:t>Supplemental Retention Benefit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__________:</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You will recall that last year the Compensation Committee (the “</w:t>
      </w:r>
      <w:r>
        <w:rPr>
          <w:rFonts w:ascii="Arial" w:cs="Arial" w:eastAsia="Arial" w:hAnsi="Arial"/>
          <w:sz w:val="20"/>
          <w:szCs w:val="20"/>
          <w:u w:val="single" w:color="auto"/>
          <w:color w:val="auto"/>
        </w:rPr>
        <w:t>Committee</w:t>
      </w:r>
      <w:r>
        <w:rPr>
          <w:rFonts w:ascii="Arial" w:cs="Arial" w:eastAsia="Arial" w:hAnsi="Arial"/>
          <w:sz w:val="20"/>
          <w:szCs w:val="20"/>
          <w:color w:val="auto"/>
        </w:rPr>
        <w:t>”) of the Board of Directors (the “</w:t>
      </w:r>
      <w:r>
        <w:rPr>
          <w:rFonts w:ascii="Arial" w:cs="Arial" w:eastAsia="Arial" w:hAnsi="Arial"/>
          <w:sz w:val="20"/>
          <w:szCs w:val="20"/>
          <w:u w:val="single" w:color="auto"/>
          <w:color w:val="auto"/>
        </w:rPr>
        <w:t>Board</w:t>
      </w:r>
      <w:r>
        <w:rPr>
          <w:rFonts w:ascii="Arial" w:cs="Arial" w:eastAsia="Arial" w:hAnsi="Arial"/>
          <w:sz w:val="20"/>
          <w:szCs w:val="20"/>
          <w:color w:val="auto"/>
        </w:rPr>
        <w:t>”) of Minerva Neurosciences, Inc. (the “</w:t>
      </w:r>
      <w:r>
        <w:rPr>
          <w:rFonts w:ascii="Arial" w:cs="Arial" w:eastAsia="Arial" w:hAnsi="Arial"/>
          <w:sz w:val="20"/>
          <w:szCs w:val="20"/>
          <w:u w:val="single" w:color="auto"/>
          <w:color w:val="auto"/>
        </w:rPr>
        <w:t>Company</w:t>
      </w:r>
      <w:r>
        <w:rPr>
          <w:rFonts w:ascii="Arial" w:cs="Arial" w:eastAsia="Arial" w:hAnsi="Arial"/>
          <w:sz w:val="20"/>
          <w:szCs w:val="20"/>
          <w:color w:val="auto"/>
        </w:rPr>
        <w:t>”) adopted a retention program for certain of its key employees, pursuant to which the Company provided certain cash and equity incentives designed to retain employees (the “</w:t>
      </w:r>
      <w:r>
        <w:rPr>
          <w:rFonts w:ascii="Arial" w:cs="Arial" w:eastAsia="Arial" w:hAnsi="Arial"/>
          <w:sz w:val="20"/>
          <w:szCs w:val="20"/>
          <w:u w:val="single" w:color="auto"/>
          <w:color w:val="auto"/>
        </w:rPr>
        <w:t>Retention Program</w:t>
      </w:r>
      <w:r>
        <w:rPr>
          <w:rFonts w:ascii="Arial" w:cs="Arial" w:eastAsia="Arial" w:hAnsi="Arial"/>
          <w:sz w:val="20"/>
          <w:szCs w:val="20"/>
          <w:color w:val="auto"/>
        </w:rPr>
        <w: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set forth in the retention benefits letter agreement dated October 13, 2020 between you and the Company regarding the Retention Program (the “</w:t>
      </w:r>
      <w:r>
        <w:rPr>
          <w:rFonts w:ascii="Arial" w:cs="Arial" w:eastAsia="Arial" w:hAnsi="Arial"/>
          <w:sz w:val="20"/>
          <w:szCs w:val="20"/>
          <w:u w:val="single" w:color="auto"/>
          <w:color w:val="auto"/>
        </w:rPr>
        <w:t>Retention Benefits Letter Agreement</w:t>
      </w:r>
      <w:r>
        <w:rPr>
          <w:rFonts w:ascii="Arial" w:cs="Arial" w:eastAsia="Arial" w:hAnsi="Arial"/>
          <w:sz w:val="20"/>
          <w:szCs w:val="20"/>
          <w:color w:val="auto"/>
        </w:rPr>
        <w:t>”), you are eligible to receive a guaranteed cash retention bonus equal to 50% of your target bonus for 2021 to be paid on July 31, 2021.</w:t>
      </w:r>
    </w:p>
    <w:p>
      <w:pPr>
        <w:spacing w:after="0" w:line="186" w:lineRule="exact"/>
        <w:rPr>
          <w:sz w:val="20"/>
          <w:szCs w:val="20"/>
          <w:color w:val="auto"/>
        </w:rPr>
      </w:pPr>
    </w:p>
    <w:p>
      <w:pPr>
        <w:jc w:val="both"/>
        <w:ind w:firstLine="8"/>
        <w:spacing w:after="0" w:line="250" w:lineRule="auto"/>
        <w:tabs>
          <w:tab w:leader="none" w:pos="796"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Supplemental Retention Program</w:t>
      </w:r>
      <w:r>
        <w:rPr>
          <w:rFonts w:ascii="Arial" w:cs="Arial" w:eastAsia="Arial" w:hAnsi="Arial"/>
          <w:sz w:val="20"/>
          <w:szCs w:val="20"/>
          <w:color w:val="auto"/>
        </w:rPr>
        <w:t>. I am pleased to inform you that on April 13, 2021, the Committee supplemented the Retention Program. In recognition of the importance of your services to the Company, you have been selected to receive the following supplemental benefit, subject to the following terms and conditions:</w:t>
      </w:r>
    </w:p>
    <w:p>
      <w:pPr>
        <w:spacing w:after="0" w:line="186" w:lineRule="exact"/>
        <w:rPr>
          <w:sz w:val="20"/>
          <w:szCs w:val="20"/>
          <w:color w:val="auto"/>
        </w:rPr>
      </w:pPr>
    </w:p>
    <w:p>
      <w:pPr>
        <w:jc w:val="both"/>
        <w:ind w:left="860" w:hanging="852"/>
        <w:spacing w:after="0" w:line="250" w:lineRule="auto"/>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you will be eligible to receive a cash retention bonus for the second half of the year ending December 31, 2021 equal to 50% of your then-current target annual bonus for 2021, subject to your continued employment through the earlier of (a) January 2, 2022 and (b) the date the Company generally pays bonuses for 2021; and</w:t>
      </w:r>
    </w:p>
    <w:p>
      <w:pPr>
        <w:spacing w:after="0" w:line="185" w:lineRule="exact"/>
        <w:rPr>
          <w:rFonts w:ascii="Arial" w:cs="Arial" w:eastAsia="Arial" w:hAnsi="Arial"/>
          <w:sz w:val="20"/>
          <w:szCs w:val="20"/>
          <w:color w:val="auto"/>
        </w:rPr>
      </w:pPr>
    </w:p>
    <w:p>
      <w:pPr>
        <w:jc w:val="both"/>
        <w:ind w:left="860" w:hanging="852"/>
        <w:spacing w:after="0" w:line="291"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amount, together with any amount paid to you on July 31, 2021 under the Retention Benefits Letter Agreement, will be in lieu of any discretionary bonus for 2021, although the Company retains the right, in its sole discretion, to grant additional bonuses based on a variety of factors including, but not limited to, achievement of set objectives or as otherwise directed by the Board.</w:t>
      </w:r>
    </w:p>
    <w:p>
      <w:pPr>
        <w:spacing w:after="0" w:line="152"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Employment At-Will</w:t>
      </w:r>
      <w:r>
        <w:rPr>
          <w:rFonts w:ascii="Arial" w:cs="Arial" w:eastAsia="Arial" w:hAnsi="Arial"/>
          <w:sz w:val="19"/>
          <w:szCs w:val="19"/>
          <w:color w:val="auto"/>
        </w:rPr>
        <w:t>. Of course, as with all employees, your employment relationship with the Company remains at-will.</w:t>
      </w:r>
    </w:p>
    <w:p>
      <w:pPr>
        <w:spacing w:after="0" w:line="227" w:lineRule="exact"/>
        <w:rPr>
          <w:rFonts w:ascii="Arial" w:cs="Arial" w:eastAsia="Arial" w:hAnsi="Arial"/>
          <w:sz w:val="19"/>
          <w:szCs w:val="19"/>
          <w:color w:val="auto"/>
        </w:rPr>
      </w:pPr>
    </w:p>
    <w:p>
      <w:pPr>
        <w:jc w:val="both"/>
        <w:ind w:firstLine="8"/>
        <w:spacing w:after="0" w:line="250" w:lineRule="auto"/>
        <w:tabs>
          <w:tab w:leader="none" w:pos="796"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Effect of this Letter</w:t>
      </w:r>
      <w:r>
        <w:rPr>
          <w:rFonts w:ascii="Arial" w:cs="Arial" w:eastAsia="Arial" w:hAnsi="Arial"/>
          <w:sz w:val="20"/>
          <w:szCs w:val="20"/>
          <w:color w:val="auto"/>
        </w:rPr>
        <w:t>. This letter will take effect once signed by you and on behalf of the Company. As amended by this letter, the terms of your Employment Agreement and Retention Benefits Letter Agreement remain in effect, including, without limitation, the terms regarding termination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20"/>
          <w:szCs w:val="20"/>
          <w:color w:val="auto"/>
        </w:rPr>
        <w:t>Thank you for your continued commitment to Minerva Neurosciences!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MINERVA NEUROSCIENCES, INC.</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5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Remy Luthringer, PhD</w:t>
            </w:r>
          </w:p>
        </w:tc>
        <w:tc>
          <w:tcPr>
            <w:tcW w:w="1680" w:type="dxa"/>
            <w:vAlign w:val="bottom"/>
          </w:tcPr>
          <w:p>
            <w:pPr>
              <w:spacing w:after="0"/>
              <w:rPr>
                <w:sz w:val="20"/>
                <w:szCs w:val="20"/>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Arial" w:cs="Arial" w:eastAsia="Arial" w:hAnsi="Arial"/>
                <w:sz w:val="20"/>
                <w:szCs w:val="20"/>
                <w:color w:val="auto"/>
              </w:rPr>
              <w:t>Chairman and CEO</w:t>
            </w: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500" w:type="dxa"/>
            <w:vAlign w:val="bottom"/>
          </w:tcPr>
          <w:p>
            <w:pPr>
              <w:spacing w:after="0"/>
              <w:rPr>
                <w:sz w:val="20"/>
                <w:szCs w:val="20"/>
                <w:color w:val="auto"/>
              </w:rPr>
            </w:pPr>
            <w:r>
              <w:rPr>
                <w:rFonts w:ascii="Arial" w:cs="Arial" w:eastAsia="Arial" w:hAnsi="Arial"/>
                <w:sz w:val="20"/>
                <w:szCs w:val="20"/>
                <w:color w:val="auto"/>
              </w:rPr>
              <w:t>ACCEPTED AND AGREED:</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500" w:type="dxa"/>
            <w:vAlign w:val="bottom"/>
            <w:tcBorders>
              <w:bottom w:val="single" w:sz="8" w:color="auto"/>
            </w:tcBorders>
          </w:tcPr>
          <w:p>
            <w:pPr>
              <w:spacing w:after="0"/>
              <w:rPr>
                <w:sz w:val="24"/>
                <w:szCs w:val="24"/>
                <w:color w:val="auto"/>
              </w:rPr>
            </w:pPr>
          </w:p>
        </w:tc>
        <w:tc>
          <w:tcPr>
            <w:tcW w:w="16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Arial" w:cs="Arial" w:eastAsia="Arial" w:hAnsi="Arial"/>
                <w:sz w:val="20"/>
                <w:szCs w:val="20"/>
                <w:color w:val="auto"/>
              </w:rPr>
              <w:t>Executive</w:t>
            </w:r>
          </w:p>
        </w:tc>
        <w:tc>
          <w:tcPr>
            <w:tcW w:w="168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901"/>
        </w:trPr>
        <w:tc>
          <w:tcPr>
            <w:tcW w:w="4500" w:type="dxa"/>
            <w:vAlign w:val="bottom"/>
          </w:tcPr>
          <w:p>
            <w:pPr>
              <w:spacing w:after="0"/>
              <w:rPr>
                <w:sz w:val="24"/>
                <w:szCs w:val="24"/>
                <w:color w:val="auto"/>
              </w:rPr>
            </w:pPr>
          </w:p>
        </w:tc>
        <w:tc>
          <w:tcPr>
            <w:tcW w:w="1680" w:type="dxa"/>
            <w:vAlign w:val="bottom"/>
          </w:tcPr>
          <w:p>
            <w:pPr>
              <w:jc w:val="right"/>
              <w:ind w:right="401"/>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52"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12, 2021</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Remy Luthringer Ph.D.</w:t>
            </w:r>
          </w:p>
        </w:tc>
      </w:tr>
      <w:tr>
        <w:trPr>
          <w:trHeight w:val="195"/>
        </w:trPr>
        <w:tc>
          <w:tcPr>
            <w:tcW w:w="6760" w:type="dxa"/>
            <w:vAlign w:val="bottom"/>
          </w:tcPr>
          <w:p>
            <w:pPr>
              <w:spacing w:after="0"/>
              <w:rPr>
                <w:sz w:val="16"/>
                <w:szCs w:val="16"/>
                <w:color w:val="auto"/>
              </w:rPr>
            </w:pPr>
          </w:p>
        </w:tc>
        <w:tc>
          <w:tcPr>
            <w:tcW w:w="4480" w:type="dxa"/>
            <w:vAlign w:val="bottom"/>
          </w:tcPr>
          <w:p>
            <w:pPr>
              <w:jc w:val="center"/>
              <w:spacing w:after="0" w:line="195" w:lineRule="exact"/>
              <w:rPr>
                <w:sz w:val="20"/>
                <w:szCs w:val="20"/>
                <w:color w:val="auto"/>
              </w:rPr>
            </w:pPr>
            <w:r>
              <w:rPr>
                <w:rFonts w:ascii="Arial" w:cs="Arial" w:eastAsia="Arial" w:hAnsi="Arial"/>
                <w:sz w:val="18"/>
                <w:szCs w:val="18"/>
                <w:color w:val="auto"/>
                <w:w w:val="92"/>
              </w:rPr>
              <w:t>Remy Luthringer Ph.D.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Executive Chairman and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12, 2021</w:t>
            </w: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Geoffrey Race</w:t>
            </w:r>
          </w:p>
        </w:tc>
      </w:tr>
      <w:tr>
        <w:trPr>
          <w:trHeight w:val="195"/>
        </w:trPr>
        <w:tc>
          <w:tcPr>
            <w:tcW w:w="6760" w:type="dxa"/>
            <w:vAlign w:val="bottom"/>
          </w:tcPr>
          <w:p>
            <w:pPr>
              <w:spacing w:after="0"/>
              <w:rPr>
                <w:sz w:val="16"/>
                <w:szCs w:val="16"/>
                <w:color w:val="auto"/>
              </w:rPr>
            </w:pPr>
          </w:p>
        </w:tc>
        <w:tc>
          <w:tcPr>
            <w:tcW w:w="4480" w:type="dxa"/>
            <w:vAlign w:val="bottom"/>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3"/>
              </w:rPr>
              <w:t>Chief Financial Officer and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Chief Business Officer</w:t>
            </w:r>
          </w:p>
        </w:tc>
      </w:tr>
      <w:tr>
        <w:trPr>
          <w:trHeight w:val="230"/>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2021,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6"/>
          <w:szCs w:val="16"/>
          <w:color w:val="auto"/>
        </w:rPr>
        <w:t>Remy Luthringer,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12, 2021</w:t>
      </w:r>
      <w:r>
        <w:rPr>
          <w:sz w:val="20"/>
          <w:szCs w:val="20"/>
          <w:color w:val="auto"/>
        </w:rPr>
        <w:tab/>
      </w:r>
      <w:r>
        <w:rPr>
          <w:rFonts w:ascii="Arial" w:cs="Arial" w:eastAsia="Arial" w:hAnsi="Arial"/>
          <w:sz w:val="16"/>
          <w:szCs w:val="16"/>
          <w:color w:val="auto"/>
        </w:rPr>
        <w:t>Geoffrey Race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Business Officer</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2"/>
      <w:numFmt w:val="decimal"/>
      <w:start w:val="104"/>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decimal"/>
      <w:start w:val="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0" Type="http://schemas.openxmlformats.org/officeDocument/2006/relationships/hyperlink" Target="http://www.sec.gov/Archives/edgar/data/0001598646/000104746914005459/a2219972zex-3_1.htm" TargetMode="External"/><Relationship Id="rId51" Type="http://schemas.openxmlformats.org/officeDocument/2006/relationships/hyperlink" Target="http://www.sec.gov/Archives/edgar/data/0001598646/000156459019039496/nerv-ex32_1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2021-05-12T06:03:39Z</dcterms:created>
  <dcterms:modified xsi:type="dcterms:W3CDTF">2021-05-12T06:03:39Z</dcterms:modified>
</cp:coreProperties>
</file>