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36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July 31, 2018 was 38,774,343.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2018 and December 31,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2018 and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 of Changes in Stockholders’ Equity for the six months ended June 30, 2018 and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2018 and 2017</w:t>
              </w:r>
            </w:hyperlink>
          </w:p>
        </w:tc>
        <w:tc>
          <w:tcPr>
            <w:tcW w:w="9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3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2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00" w:type="dxa"/>
            <w:vAlign w:val="bottom"/>
            <w:tcBorders>
              <w:bottom w:val="single" w:sz="8" w:color="CFF0FC"/>
            </w:tcBorders>
          </w:tcPr>
          <w:p>
            <w:pPr>
              <w:spacing w:after="0"/>
              <w:rPr>
                <w:sz w:val="16"/>
                <w:szCs w:val="16"/>
                <w:color w:val="auto"/>
              </w:rPr>
            </w:pPr>
          </w:p>
        </w:tc>
        <w:tc>
          <w:tcPr>
            <w:tcW w:w="7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68,688,605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26,051,821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39,798,752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102,109,419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3,229,438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111,816,795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129,540,424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noncurrent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Equipment, net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160,943,213</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10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1,396,670</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3,962,664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1,309,843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2,311,462</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5,017,975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4,057,488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50,281,731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52,101,114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or outstanding as of June 30, 2018 and December 31, 2017</w:t>
            </w: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98"/>
              </w:rPr>
              <w:t>Common stock; $0.0001 par value; 125,000,000 shares authorized; 38,749,343 shares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and outstanding as of June 30, 2018 and December 31, 2017</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299,986,819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295,975,010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(189,329,212)</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(164,381,441)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110,661,482</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131,597,444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160,943,213</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9,062,234</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7,144,133</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17,511,501</w:t>
            </w:r>
          </w:p>
        </w:tc>
        <w:tc>
          <w:tcPr>
            <w:tcW w:w="16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14,758,464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3,872,309</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2,601,408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8,166,854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5,472,150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12,934,543</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9,745,541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25,678,355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20,230,614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(12,934,543)</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(9,745,541)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(25,678,355)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(20,230,614)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gains (losses)</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(20,115)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411,542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155,657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825,849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214,319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(35,781)</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(170,125)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(106,430)</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(12,529,508)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(9,780,124)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(24,947,771)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(20,424,720)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36,719,541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36,048,300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3"/>
                <w:szCs w:val="13"/>
                <w:color w:val="auto"/>
              </w:rPr>
            </w:pPr>
          </w:p>
        </w:tc>
        <w:tc>
          <w:tcPr>
            <w:tcW w:w="13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35,024,002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$ 238,836,940</w:t>
            </w: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(132,858,234)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105,982,208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060" w:type="dxa"/>
            <w:vAlign w:val="bottom"/>
          </w:tcPr>
          <w:p>
            <w:pPr>
              <w:jc w:val="right"/>
              <w:spacing w:after="0"/>
              <w:rPr>
                <w:sz w:val="20"/>
                <w:szCs w:val="20"/>
                <w:color w:val="auto"/>
              </w:rPr>
            </w:pPr>
            <w:r>
              <w:rPr>
                <w:rFonts w:ascii="Arial" w:cs="Arial" w:eastAsia="Arial" w:hAnsi="Arial"/>
                <w:sz w:val="18"/>
                <w:szCs w:val="18"/>
                <w:color w:val="auto"/>
              </w:rPr>
              <w:t>1,621,073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9,356,671</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576,162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2,541,584</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2,541,584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(20,424,720)</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(20,424,720)</w:t>
            </w: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2017</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36,759,003</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3,676</w:t>
            </w:r>
          </w:p>
        </w:tc>
        <w:tc>
          <w:tcPr>
            <w:tcW w:w="2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$ 251,311,357</w:t>
            </w:r>
          </w:p>
        </w:tc>
        <w:tc>
          <w:tcPr>
            <w:tcW w:w="2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(153,282,954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98,032,079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Balances at January 1, 2018</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38,749,343</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3,875</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$ 295,975,010</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 (164,381,441)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9"/>
              </w:rPr>
              <w:t>131,597,444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4,011,809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(24,947,771)</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(24,947,771)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$ 299,986,819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(189,329,212</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110,661,482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(24,947,771)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(20,424,720)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Accretion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(82,869)</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4,011,809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(1,930,254)</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(125,793)</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871,614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Accrued collaborative expenses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4,098,287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(22,157,102)</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(12,888,690)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75,351,000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(7,934,482)</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(27,366,415)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67,416,518</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(27,366,415)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Costs paid in connection with public offering</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warrants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576,174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(2,602,632)</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(2,425,966)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(2,602,632)</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7,465,858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42,656,784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(32,789,247)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26,131,821</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82,980,609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68,788,605</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50,191,362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public offering costs included in accounts payable or in accrued</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expenses and other current liabilities</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68,688,605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50,191,362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68,788,605</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50,271,362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2018 and for the Six Months Ended June 30,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2018, the Company has an accumulated deficit of approximately $189.3 million and net cash used in operating activities was approximately $22.2 million during the six months ended June 30, 2018. Management expects to continue to incur operating losses and negative cash flows from operations. The Company has financed its operations to date from proceeds from the sale of common stock, warrants, loans and convertible promissory notes.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2018, the Company had cash, cash equivalents, restricted cash and marketable securities of $108.6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2018, the results of operations for the three and six months ended June 30, 2018 and 2017 and cash flows for the six months ended June 30, 2018 and 2017. The results of operations for the three and six months ended June 30, 2018,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2017 was derived from the audited annual financial statements. The accompanying unaudited condensed consolidated financial statements and notes thereto should be read in conjunction with the audited consolidated financial statements for the year ended December 31, 2017 included in the Company’s Annual Report on Form 10-K filed with the SEC on March 12,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$100 thousand and $80 thousand at June 30, 2018 and December 31,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eleven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June 30, 2018, remaining final maturities of marketable securities ranged from July 2018 to February 2019, with a weighted average remaining maturity of approximately 2.5 months. The following table provides the amortized cost basis, aggregate fair value, net unrealized (gains)/losses and the net carrying value of investments in held-to-maturity securities as of June 30,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June 30,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940" w:type="dxa"/>
            <w:vAlign w:val="bottom"/>
          </w:tcPr>
          <w:p>
            <w:pPr>
              <w:jc w:val="right"/>
              <w:ind w:right="102"/>
              <w:spacing w:after="0" w:line="147" w:lineRule="exact"/>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2"/>
                <w:szCs w:val="12"/>
                <w:color w:val="auto"/>
              </w:rPr>
            </w:pPr>
          </w:p>
        </w:tc>
        <w:tc>
          <w:tcPr>
            <w:tcW w:w="880" w:type="dxa"/>
            <w:vAlign w:val="bottom"/>
            <w:gridSpan w:val="3"/>
          </w:tcPr>
          <w:p>
            <w:pPr>
              <w:jc w:val="right"/>
              <w:ind w:right="100"/>
              <w:spacing w:after="0" w:line="147"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7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26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40" w:type="dxa"/>
            <w:vAlign w:val="bottom"/>
          </w:tcPr>
          <w:p>
            <w:pPr>
              <w:jc w:val="right"/>
              <w:ind w:right="8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2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$26,821,004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$26,759,574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(61,430)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$26,821,004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2,994,853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2,994,853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2,994,853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9,982,895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9,976,900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9,982,895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39,798,752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39,731,327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(67,425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39,798,752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six months ended June 30, 2018 or 2017.</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100"/>
        <w:spacing w:after="0" w:line="264" w:lineRule="auto"/>
        <w:rPr>
          <w:sz w:val="20"/>
          <w:szCs w:val="20"/>
          <w:color w:val="auto"/>
        </w:rPr>
      </w:pPr>
      <w:r>
        <w:rPr>
          <w:rFonts w:ascii="Arial" w:cs="Arial" w:eastAsia="Arial" w:hAnsi="Arial"/>
          <w:sz w:val="18"/>
          <w:szCs w:val="18"/>
          <w:color w:val="auto"/>
        </w:rPr>
        <w:t>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cash equivalents and marketable securities (current and non-current).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June 30, 2018 and 2017.</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six months ended June 30, 2018 and 2017.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Accounting Standards Codification (“ASC”)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When the Company enters into an arrangement that meets the definition of a collaboration under ASC 808, Collaboration Arrangements,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applies the revenue recognition guidance in accordance with FASB ASC 606, Revenue from Contracts with Customers. Using FASB ASC 606, Revenue that is unearned is deferred. Deferred revenue expected to be recognized as revenue more than one year subsequent to the balance sheet date is classified as long-term deferred revenue.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Subsequently, the FASB also issued ASU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 which adjusted the effective date of ASU 2014-09; ASU No. 2016-08,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Principal versus Agent Considerations (Reporting Revenue Gross versus Net) </w:t>
      </w:r>
      <w:r>
        <w:rPr>
          <w:rFonts w:ascii="Arial" w:cs="Arial" w:eastAsia="Arial" w:hAnsi="Arial"/>
          <w:sz w:val="18"/>
          <w:szCs w:val="18"/>
          <w:color w:val="auto"/>
        </w:rPr>
        <w:t xml:space="preserve">, which amends the principal-versus-agent implementation guidance and illustrations in ASU 2014-09; ASU No. 2016-10,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Identifying Performance Obligations and Licensing </w:t>
      </w:r>
      <w:r>
        <w:rPr>
          <w:rFonts w:ascii="Arial" w:cs="Arial" w:eastAsia="Arial" w:hAnsi="Arial"/>
          <w:sz w:val="18"/>
          <w:szCs w:val="18"/>
          <w:color w:val="auto"/>
        </w:rPr>
        <w:t>, which clarifies identifying performance obligation and licensing implementation guidance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illustrations in ASU 2014-09; and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 which addresses implementation issues and is intended to reduce the cost and complexity of applying the new revenue standard in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“Revenue ASUs”).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collaboration agreements and assessed the differences in accounting for such contracts under this guidance compared with current revenue accounting standards. The Company adopted the new standard on January 1, 2018 using the modified retrospective method. The adoption of this standard did not have a material impact on the Company’s consolidated financial statements.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 Classification of Certain Cash Receipts and Cash Payments (Topic 230).</w:t>
      </w:r>
      <w:r>
        <w:rPr>
          <w:rFonts w:ascii="Arial" w:cs="Arial" w:eastAsia="Arial" w:hAnsi="Arial"/>
          <w:sz w:val="17"/>
          <w:szCs w:val="17"/>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The Company adopted the new standard on January 1, 2018. The adoption of this standard did not have a material impact on the Company’s consolidated financial statements.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The new standard requires an entity to include amounts described as restricted cash and restricted cash equivalents with cash and cash equivalents when reconciling the beginning-of-period and end-of-period total amounts shown on the statement of cash flows. The Company adopted the new standard on January 1, 2018. The adoption of this standard did not have a material impact on the Company’s consolidated financial statements. Cash, cash equivalents, and restricted cash reported on the Consolidated Statements of Cash Flows includes restricted cash of $80 thousand as of December 31, 2016, June 30, 2017, December 31, 2017 and $100 thousand as of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Although the Company is currently assessing the impact of adoption of ASU 2016-02 on its consolidated financial statements, the Company currently believes the most significant changes will be related to the recognition of new right-of-use assets and lease liabilities on the Company’s balance sheet for operating leases. Refer to Note 9, Commitments and Contingencies, for the Company's current lease commitments.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2017, the FASB issued ASU No. 2017-4,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March 2017, the FASB issued ASU No. 2017-8,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The new standard is intended to enhance the accounting for the amortization of premiums for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Stock Compensation (Topic 718): Improvements to Nonemployee Share-Based Payment Accounting</w:t>
      </w:r>
      <w:r>
        <w:rPr>
          <w:rFonts w:ascii="Arial" w:cs="Arial" w:eastAsia="Arial" w:hAnsi="Arial"/>
          <w:sz w:val="17"/>
          <w:szCs w:val="17"/>
          <w:color w:val="auto"/>
        </w:rPr>
        <w:t xml:space="preserve">. The new standard is intended to reduce the cost and complexity and to improve financial reporting for nonemployee share-based payments. This update expands the scope of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Arial" w:cs="Arial" w:eastAsia="Arial" w:hAnsi="Arial"/>
          <w:sz w:val="17"/>
          <w:szCs w:val="17"/>
          <w:i w:val="1"/>
          <w:iCs w:val="1"/>
          <w:color w:val="auto"/>
        </w:rPr>
        <w:t>Subtopic 505-50, Equity-Equity-Based payments to Non-Employees</w:t>
      </w:r>
      <w:r>
        <w:rPr>
          <w:rFonts w:ascii="Arial" w:cs="Arial" w:eastAsia="Arial" w:hAnsi="Arial"/>
          <w:sz w:val="17"/>
          <w:szCs w:val="17"/>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Arial" w:cs="Arial" w:eastAsia="Arial" w:hAnsi="Arial"/>
          <w:sz w:val="17"/>
          <w:szCs w:val="17"/>
          <w:i w:val="1"/>
          <w:iCs w:val="1"/>
          <w:color w:val="auto"/>
        </w:rPr>
        <w:t>Topic 606, Revenue from Contracts with Customers</w:t>
      </w:r>
      <w:r>
        <w:rPr>
          <w:rFonts w:ascii="Arial" w:cs="Arial" w:eastAsia="Arial" w:hAnsi="Arial"/>
          <w:sz w:val="17"/>
          <w:szCs w:val="17"/>
          <w:color w:val="auto"/>
        </w:rPr>
        <w:t>. The adoption of this guidance is not expected to have a material impact on the Company’s condensed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1,053,801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1,162,441</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bonus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811,867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5,899</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Interest payable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20,508</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Vacation pay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2,311,462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80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(12,529,508)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(9,780,124)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(24,947,771)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(20,424,720)</w:t>
            </w:r>
          </w:p>
        </w:tc>
        <w:tc>
          <w:tcPr>
            <w:tcW w:w="80" w:type="dxa"/>
            <w:vAlign w:val="bottom"/>
            <w:shd w:val="clear" w:color="auto" w:fill="CFF0FC"/>
          </w:tcPr>
          <w:p>
            <w:pPr>
              <w:spacing w:after="0"/>
              <w:rPr>
                <w:sz w:val="19"/>
                <w:szCs w:val="19"/>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38,749,343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36,719,541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38,749,343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36,048,300</w:t>
            </w:r>
          </w:p>
        </w:tc>
        <w:tc>
          <w:tcPr>
            <w:tcW w:w="80" w:type="dxa"/>
            <w:vAlign w:val="bottom"/>
          </w:tcPr>
          <w:p>
            <w:pPr>
              <w:spacing w:after="0"/>
              <w:rPr>
                <w:sz w:val="20"/>
                <w:szCs w:val="20"/>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 basic and diluted</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(0.57)</w:t>
            </w:r>
          </w:p>
        </w:tc>
      </w:tr>
    </w:tbl>
    <w:p>
      <w:pPr>
        <w:spacing w:after="0" w:line="2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securities outstanding at June 30, 2018 and 2017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6,655,150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3,891,596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185,950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6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drew down the initial Term Loans in the aggregate principal amount of $10 million (the “Term A Loans”), on January 16, 2015. The Term A Loans bear interest at a fixed rate of 7.05% per annum.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4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In August 2015, the Lenders and the Company entered into a First Amendment to the Loan Agreement, amending certain milestones related to the six month extension of the interest-only repayment period of the Term A Loans. By raising at least $30.0 million in gross capital (including at least $20.0 million from the sale of equity securities) and completing the first dosing of its Phase 2 clinical trial for MIN-117 prior to December 31, 2015, the Company achieved the interest-only milestones under the Loan Agreement and elected to extend the interest-only period an additional six months and reduce the repayment term by six months. Through August 1, 2016, the Company was obligated only to make monthly interest payments on the outstanding principal balance on the Term A Loans, followed by 24 months of equal principal and interest payments.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4" w:name="page15"/>
    <w:bookmarkEnd w:id="14"/>
    <w:p>
      <w:pPr>
        <w:ind w:right="80"/>
        <w:spacing w:after="0" w:line="286" w:lineRule="auto"/>
        <w:rPr>
          <w:sz w:val="20"/>
          <w:szCs w:val="20"/>
          <w:color w:val="auto"/>
        </w:rPr>
      </w:pPr>
      <w:r>
        <w:rPr>
          <w:rFonts w:ascii="Arial" w:cs="Arial" w:eastAsia="Arial" w:hAnsi="Arial"/>
          <w:sz w:val="17"/>
          <w:szCs w:val="17"/>
          <w:color w:val="auto"/>
        </w:rPr>
        <w:t>On or prior to March 31, 2016, the Company was permitted to borrow additional term loans in the aggregate principal amount up to $5 million, subject to the satisfaction of certain borrowing conditions, including the Company’s achievement of primary endpoints on its Phase 2a trials for MIN-117 and seltorexant programs. In June 2016, the Company irrevocably elected not to borrow the additional $5 million available under the Term Loans.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paid a facility fee at the time of borrowing of $75 thousand for access to the Term Loans and will be required to pay a final payment of 5.1% of the total amount borrowed, which has been included as a component of the debt discount and is amortized to interest expense over the term of the loans. The outstanding Term A Loans and debt discount are as follows:</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June 30, 2018</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A Loans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888,071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debt discount and financing costs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(1,396,670)</w:t>
            </w: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portion of final payment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509,173</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three months ended June 30, 2018 and 2017, the Company recognized interest expense of $43 thousand and $0.2 million, respectively, including $12 thousand and $0.1 million, respectively, related to the debt discount. For the six months ended June 30, 2018 and 2017, the Company recognized interest expense of $0.1 million and $0.4 million respectively, including $37 thousand and $0.1 million, respectively, related to the debt discount.</w:t>
      </w:r>
    </w:p>
    <w:p>
      <w:pPr>
        <w:spacing w:after="0" w:line="14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Term Loans mature on August 1, 2018. The Company may prepay all, but not less than all, of the loaned amount upon 30 days’ advance notice to the Lenders, provided that the Company will be obligated to pay a prepayment fee equal to (i) 3% of the outstanding balance, if the loan is prepaid within</w:t>
      </w:r>
    </w:p>
    <w:p>
      <w:pPr>
        <w:jc w:val="both"/>
        <w:ind w:right="400"/>
        <w:spacing w:after="0" w:line="255" w:lineRule="auto"/>
        <w:rPr>
          <w:sz w:val="20"/>
          <w:szCs w:val="20"/>
          <w:color w:val="auto"/>
        </w:rPr>
      </w:pPr>
      <w:r>
        <w:rPr>
          <w:rFonts w:ascii="Arial" w:cs="Arial" w:eastAsia="Arial" w:hAnsi="Arial"/>
          <w:sz w:val="18"/>
          <w:szCs w:val="18"/>
          <w:color w:val="auto"/>
        </w:rPr>
        <w:t>24 months of the funding date, (ii) 2% of the outstanding balance, if the loan is prepaid between 24 and 36 months of the funding date and (iii) 1% of the outstanding balance, if the loan is prepaid thereafter (each, a “Prepayment Fee”). The expected remaining repayment of the $10.0 million Term A Loan principal is $888,071 during 2018.</w:t>
      </w:r>
    </w:p>
    <w:p>
      <w:pPr>
        <w:spacing w:after="0" w:line="2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other than its intellectual property. The Company has also agreed not to pledge or otherwise encumber its intellectual property assets, except that it may grant certain exclusive and non-exclusive licenses of its intellectual property as set forth in the Loan Agreement. In addition, the Company pledged all of its equity interests in Minerva Neurosciences Securities Corporation and 65% of its equity interests in Mind-NRG, Sarl as security for its obligations under the Loan Agreement.</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Upon the occurrence of certain events, including but not limited to the Company’s failure to satisfy its payment obligations under the Loan Agreement, the breach of certain of its other covenants under the Loan Agreement, or the occurrence of a material adverse change, the Lenders will have the right, among other remedies, to declare all principal and interest immediately due and payable, to take control of the Company’s cash in its SVB deposit account, and will have the right to receive the final payment fee and, if the payment of principal and interest is due prior to maturity, the applicable Prepayment Fee. As of June 30, 2018, the Company was in compliance with all covenants set forth in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2" w:lineRule="exact"/>
        <w:rPr>
          <w:sz w:val="20"/>
          <w:szCs w:val="20"/>
          <w:color w:val="auto"/>
        </w:rPr>
      </w:pPr>
    </w:p>
    <w:p>
      <w:pPr>
        <w:ind w:right="40"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related to seltorexant to sell seltorexant outside the Minerva Territory. In consideration of the licenses granted on July 7, 2014, the Company made a license fee payment of $22.0 million, which was included as a component of research and development expense in 2014.</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original Agreement contains certain provisions, which include the Company’s ability to opt-out of the Agreement upon completion of certain milestones. If the Company elects to participate in the development program through to the potential commercial approval of seltorexant, the Company will pay a quarterly royalty percentage to the licensor in the high single digits on aggregate net sales for seltorexant products sold by the Company, its affiliates and sublicensees in the Minerva Territory. The licensor will pay a quarterly royalty percentage to the Company in the high single digits on aggregate net sales for seltorexant products sold by the licensor outside the Minerva Territory. In accordance with the development agreement, the Company will pay 40% of seltorexant development costs related to the joint development of any seltorexant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140"/>
        <w:spacing w:after="0" w:line="255" w:lineRule="auto"/>
        <w:rPr>
          <w:sz w:val="20"/>
          <w:szCs w:val="20"/>
          <w:color w:val="auto"/>
        </w:rPr>
      </w:pPr>
      <w:r>
        <w:rPr>
          <w:rFonts w:ascii="Arial" w:cs="Arial" w:eastAsia="Arial" w:hAnsi="Arial"/>
          <w:sz w:val="18"/>
          <w:szCs w:val="18"/>
          <w:color w:val="auto"/>
        </w:rPr>
        <w:t>The Company’s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seltorexant and the Minerva Territory will be expanded to also include all of North America. The Company would then owe Janssen a reduced royalty in the mid-single digits for all sales in the Minerva Territory. Janssen may also terminate the Agreement for the Company’s material breach or certain insolvency events, including if the Company is unable to fund its portion of the development costs.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accounts for the Agreement as a joint risk-sharing collaboration in accordance with ASC 808, Collaboration Arrangements.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zero in accrued collaborative expenses, as of June 30, 2018 and December 31, 2017, related to the Agreement. In the six months ended June 30, 2018 and 2017, the Company paid zero and $2.5 million, respectively, related to development activities under the Agreement.</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has exercised their right to withdraw from the Agreement, the Company has paid Janssen $3.5 million and have incurred direct expenses of $0.3 million related to development activities under the current phase of development. During the three months ended June 30, 2018 and 2017, the Company recorded an expense of zero and $3.6 million, respectively, for certain development activities in accordance with the terms of the Agreement. During the six months ended June 30, 2018 and 2017, the Company recorded an expense of zero and $6.6 million, respectively, for certain development activities in accordance with the terms of the Agreement.</w:t>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June 2017, the Company entered into an amendment to the Agreement (“the Amendment”).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amended Agreement, Janssen has waived its right to royalties on seltorexant insomnia sales in the Minerva Territory. The Company retains all of its rights to seltorexant, including commercialization of the molecule for the treatment of insomnia and as an as adjunctive therapy for MDD, which include an exclusive license in the Minerva Territory, with royalties payable by the Company to Janssen on seltorexant MDD sales.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Amendment,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June 30, 2018 and December 31, 2017, respectively.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Amendment, the Company assumed strategic control of the clinical development of seltorexant for insomnia and has no further financial obligations until the Phase 2b development milestone has been completed,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the Company elects to continue past “Decision Point 4” into Phase 3, the Company would be obligated to fund the clinical trials related to insomnia, and receive $40 million in milestone payments from Janssen, and would also be responsible for 40% of all costs incurred in the Phase 3 MDD program.</w:t>
      </w:r>
    </w:p>
    <w:p>
      <w:pPr>
        <w:spacing w:after="0" w:line="19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solely dependent on future developments and therefore are considered non-substantive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August 2017, in connection with the Amendment (see Note 6), the Company repurchased all of the approximately 3.9 million shares of its common stock previously owned by Johnson &amp; Johnson Innovation-JJDC Inc. at a per share price of $0.0001, for an aggregate purchase price of approximately $389.</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March 2017, certain investors in the Company’s March 2015 private placement exercised their warrants at an exercise price of $5.772 per share and received an aggregate of 1,621,073 shares of the Company’s common stock. The Company received gross proceeds of approximately $9.4 million from the exercise of these warrants. As of June 30, 2018, there are no remaining warrants outstanding under the Company’s March 2015 private placement.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June 30, 2018.</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outside of the Plan in the form of an option to purchase 775,000 shares of the Company’s common stock and a restricted stock unit award to purchase 40,000 shares of the Company’s common stock. In June 2018, the Company increased the aggregate number of shares of common stock authorized for issuance under the 2013 Plan by 2,500,000 shares. Stock option activity for employees and non-employees under the Plan for the six months ended June 30, 2018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Shares Issuable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gridSpan w:val="2"/>
          </w:tcPr>
          <w:p>
            <w:pPr>
              <w:jc w:val="center"/>
              <w:ind w:left="76"/>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6,132,650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Outstanding June 30,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6,655,150</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June 30,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2,927,683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9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gridSpan w:val="2"/>
            <w:vMerge w:val="continue"/>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June 30, 2018 was $4.95 per share. Total unrecognized compensation costs related to non-vested stock options at June 30, 2018 was approximately $16.6 million and is expected to be recognized within future operating results over a weighted-average period of 2.9 years. The total intrinsic value of the options exercised during the six months ended June 30, 2017 was approximately $0.7 million.</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expected term of the employee-related options was estimated using the “simplified” method as defined by the Securities and Exchange Commission’s Staff Accounting Bulletin No. 107, Share-Based Payment.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uses the Black Scholes model to estimate the fair value of stock options granted. For stock options granted during the six months ended June 30, 2018 and 2017,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5.5-6.25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2.33-2.80%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91"/>
              </w:rPr>
              <w:t>1.83-2.02%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76-83%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90"/>
              </w:rPr>
              <w:t>79-84%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4.66</w:t>
            </w: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73"/>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Stock-Based Awards Granted to Non-employees- </w:t>
      </w:r>
      <w:r>
        <w:rPr>
          <w:rFonts w:ascii="Arial" w:cs="Arial" w:eastAsia="Arial" w:hAnsi="Arial"/>
          <w:sz w:val="18"/>
          <w:szCs w:val="18"/>
          <w:color w:val="333333"/>
        </w:rPr>
        <w:t>The Company from time to time grants options to purchase common stock to non-employees for services</w:t>
      </w:r>
      <w:r>
        <w:rPr>
          <w:rFonts w:ascii="Arial" w:cs="Arial" w:eastAsia="Arial" w:hAnsi="Arial"/>
          <w:sz w:val="18"/>
          <w:szCs w:val="18"/>
          <w:color w:val="auto"/>
        </w:rPr>
        <w:t xml:space="preserve"> </w:t>
      </w:r>
      <w:r>
        <w:rPr>
          <w:rFonts w:ascii="Arial" w:cs="Arial" w:eastAsia="Arial" w:hAnsi="Arial"/>
          <w:sz w:val="18"/>
          <w:szCs w:val="18"/>
          <w:color w:val="333333"/>
        </w:rPr>
        <w:t>rendered and records expense ratably over the vesting period of each award. The Company estimates the fair value of the stock options using the Black-Scholes valuation model at each reporting date. The Company granted 40,000 stock options to non-employees during the six months ended June 30, 2018. The Company recorded stock-based compensation expense for stock options granted to non-employees of $0.5 million and $0.2 million during the six months ended June 30, 2018 and 2017,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8.2-9.6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4"/>
              <w:spacing w:after="0"/>
              <w:rPr>
                <w:sz w:val="20"/>
                <w:szCs w:val="20"/>
                <w:color w:val="auto"/>
              </w:rPr>
            </w:pPr>
            <w:r>
              <w:rPr>
                <w:rFonts w:ascii="Arial" w:cs="Arial" w:eastAsia="Arial" w:hAnsi="Arial"/>
                <w:sz w:val="18"/>
                <w:szCs w:val="18"/>
                <w:color w:val="auto"/>
                <w:w w:val="92"/>
              </w:rPr>
              <w:t>9.2-9.8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4"/>
              <w:spacing w:after="0"/>
              <w:rPr>
                <w:sz w:val="20"/>
                <w:szCs w:val="20"/>
                <w:color w:val="auto"/>
              </w:rPr>
            </w:pPr>
            <w:r>
              <w:rPr>
                <w:rFonts w:ascii="Arial" w:cs="Arial" w:eastAsia="Arial" w:hAnsi="Arial"/>
                <w:sz w:val="18"/>
                <w:szCs w:val="18"/>
                <w:color w:val="auto"/>
                <w:w w:val="91"/>
              </w:rPr>
              <w:t>2.46-2.84%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4"/>
              <w:spacing w:after="0"/>
              <w:rPr>
                <w:sz w:val="20"/>
                <w:szCs w:val="20"/>
                <w:color w:val="auto"/>
              </w:rPr>
            </w:pPr>
            <w:r>
              <w:rPr>
                <w:rFonts w:ascii="Arial" w:cs="Arial" w:eastAsia="Arial" w:hAnsi="Arial"/>
                <w:sz w:val="18"/>
                <w:szCs w:val="18"/>
                <w:color w:val="auto"/>
                <w:w w:val="91"/>
              </w:rPr>
              <w:t>2.26-2.30%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88"/>
              </w:rPr>
              <w:t>83-110%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4"/>
              <w:spacing w:after="0"/>
              <w:rPr>
                <w:sz w:val="20"/>
                <w:szCs w:val="20"/>
                <w:color w:val="auto"/>
              </w:rPr>
            </w:pPr>
            <w:r>
              <w:rPr>
                <w:rFonts w:ascii="Arial" w:cs="Arial" w:eastAsia="Arial" w:hAnsi="Arial"/>
                <w:sz w:val="18"/>
                <w:szCs w:val="18"/>
                <w:color w:val="auto"/>
                <w:w w:val="87"/>
              </w:rPr>
              <w:t>111-113%</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4"/>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4"/>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4"/>
              <w:spacing w:after="0"/>
              <w:rPr>
                <w:sz w:val="20"/>
                <w:szCs w:val="20"/>
                <w:color w:val="auto"/>
              </w:rPr>
            </w:pPr>
            <w:r>
              <w:rPr>
                <w:rFonts w:ascii="Arial" w:cs="Arial" w:eastAsia="Arial" w:hAnsi="Arial"/>
                <w:sz w:val="18"/>
                <w:szCs w:val="18"/>
                <w:color w:val="auto"/>
              </w:rPr>
              <w:t>7.35</w:t>
            </w:r>
          </w:p>
        </w:tc>
        <w:tc>
          <w:tcPr>
            <w:tcW w:w="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74"/>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FF0FC"/>
          </w:tcPr>
          <w:p>
            <w:pPr>
              <w:spacing w:after="0"/>
              <w:rPr>
                <w:sz w:val="20"/>
                <w:szCs w:val="20"/>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RSU activity under the Plan for the six months ended June 30, 2018 is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11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r>
      <w:tr>
        <w:trPr>
          <w:trHeight w:val="162"/>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116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2018</w:t>
            </w: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June 30, 2018</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June 30, 2018 was approximately $1.8 million and is expected to be recognized within future operating results over a period of 2.6 years.</w:t>
      </w:r>
    </w:p>
    <w:p>
      <w:pPr>
        <w:spacing w:after="0" w:line="18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Company recognized stock-based compensation expense for the six months ended June 30, 2018 and 2017 of $4.0 million and $2.5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30, 2021, with a monthly rental rate starting at $14,808 and escalating to a maximum monthly rental rate of $16,288 in the final 12 months of the term. The Sublandlord has agreed to provide the Premises to the Company free of charge for the first two months of the term.</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2017 as filed with the Securities and Exchange Commission on March 12,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product portfolio and potential indications include: roluperidone for the treatment of schizophrenia; seltorexant (also known as MIN-202 or JNJ-42847922), which we are co-developing with Janssen Pharmaceutica NV, or Janssen, for the treatment of insomnia disorder and Major Depressive Disorder, or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19, 2017, we announced the screening of the first patient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drug will continue receiving their original dose and patients on placebo will receive either 32 mg or 64 mg of roluperidone.</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approximately 500 patients will be enrolled in this trial at approximately 60 clinical sites in the U.S. and Europe, with about 30 percent of patients coming from the U.S. Patients will be initially randomized equally to receive one of the two doses of roluperidone or placebo for 12 weeks. Thereafter, all patients will continue treatment with roluperidone for the 40-week extension period. Top-line results from the 12-week double blind phase of this trial are expected in the first half of 2019.</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or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or CGI-S, score and safety and tolerability.</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severe symptoms of excitement/hyperactivity, suspiciousness, 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wash-out before receiving study drug. These parameters were applied in screening the population treated in the Phase 2b trial.</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Chemistry, Manufacturing and Controls (CMC) program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CMC scale-up program for roluperidone is ongoing to ensure consistency between the drug batches to be used during pivotal,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Journal of Clinical Psychiatry Publication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announced on May 17, 2018 that The Journal of Clinical Psychiatry has published online results demonstrating cognitive improvements in patients with schizophrenia treated with roluperidone. The results also demonstrated that cognitive improvements correlate with previously reported improvements in negative symptoms.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initiated a Phase 2b trial in MDD in the U.S. and Europe on April 9, 2018. The primary objective of the trial is to evaluate the efficacy of two fixed doses of MIN-117, 5.0 mg and 2.5 mg,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using the Clinical Global Impression of Severity Scale (CGI-S) and Clinical Global Impression of Improvement Scale (CGI-I); and (3) safety over six weeks of treatment.</w:t>
      </w:r>
    </w:p>
    <w:p>
      <w:pPr>
        <w:spacing w:after="0" w:line="1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study population will consist of adults with a diagnosis of moderate or severe MDD with anxious distress and without psychotic features. Based upon previous clinical observations, we believe that patients with MDD who also have symptoms of anxiety may benefit from treatment with MIN-117.</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Approximately 324 patients are expected to be enrolled at approximately 40 sites in the U.S. and Europe. Patients will be randomized to one of three arms, including placebo and the two dosage arms, in a 2:1:1 ratio, resulting in approximately 162 patients in the placebo group and 81 patients in each of the two MIN-117 treatment groups. The study design includes a screening phase of up to three weeks, a six-week double-blind treatment phase and a two-week post-study follow-up period. Top line results of the trial are expected in the first half of 2019. In preparation for this trial, a food effect study was recently completed, and the preliminary data show that food has no effect on the exposure PK parameters, therefore allowing dosing with or without food.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September 5, 2017, we announced the enrollment of the first patient in a Phase 2b trial of seltorexant as adjunctive therapy to antidepressants in adult patients with MDD who have responded inadequately to antidepressant therapy (the 2001 trial). The primary objectives of this multi-center, double-blind, randomized, parallel group, placebo-controlled, adaptive-dose finding study are to assess the dose-response relationship and antidepressant effects of up to three doses of seltorexant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at approximately 85 clinical sites in the U.S., Europe, Russia and Japan</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December 21, 2017, we announced the enrollment of the first patient in a Phase 2b clinical trial comparing seltorexant versus quetiapine as adjunctive therapy in patients with MDD who have responded inadequately to antidepressant therapy (the 2002 trial).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trial consists of three phases: a screening phase lasting up to four weeks, a six-month double-blind treatment phase and a two-week follow-up</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phase. Approximately 100 patients 18 to 64 years of age are planned to be randomized at approximately 34 sites in the U.S. to receive either flexibly dosed seltorexant, 20 mg or 40 mg, or flexibly dosed quetiapine XR, 150 mg or 300 mg. Subjects will continue to take their baseline antidepressant therapy of either an SSRI (selective serotonin reuptake inhibitor) or an SNRI (serotonin-norepinephrine reuptake inhibitor) at the same dose throughout the screening, double-blind and follow-up phases.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Enrollment in the 2002 study was temporarily suspended during the first quarter of 2018 due to a drug packaging issue. This issue has been resolved, and enrollment was restarted in the second quarter of 2018. We are also conducting preclinical fertility studies in female rats to assess the potential relevance to exposing women of child bearing potential to seltorexant.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6, 2017, we announced the enrollment of the first patient in a Phase 2b clinical trial of seltorexant in patients with insomnia disorder (the 2005 trial). This multicenter, double-blind, randomized, parallel-group, active- and placebo-controlled dose finding study is designed to assess the efficacy and safety of seltorexant in both adult and elderly subjects with insomnia disorder. The primary objective of this trial is to assess the dose-response of three doses of seltorexant (5, 10 and 20 mg daily) compared to placebo on sleep onset as measured by the latency to persistent sleep (LPS) using polysomnography (PSG). The key secondary objective is to assess the dose-response of these three doses compared to placebo on wake after sleep onset (WASO) over the first six hours using PSG. In addition, the effects of seltorexant on sleep and cognition will be compared to those effects of zolpidem to determine potential differences between the compounds.</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 total of approximately 360 patients 18 to 85 years of age will be randomized in this study at clinical sites in the United States, European Union and Japan. The duration of participation in this study for an individual subject will be up to 61 days, including screening and follow-up.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previously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or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None of our product candidates have been approved for commercialization and we have not received any revenue in connection with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of our product candidates. We are evaluating the revenue implications of our Amendment to Co-Development and License Agreement with Janssen.</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future, we expect research and development expenses to continue to be our largest category of operating expenses and to increase as we continue our planned pre-clinical and clinical trials for our product candidates and as we hire additional research and development staff.</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 w:name="page23"/>
    <w:bookmarkEnd w:id="22"/>
    <w:p>
      <w:pPr>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versus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Total research and development expenses were $9.1 million for the three months ended June 30, 2018 compared to $7.1 million for the same period in 2017, an increase in total expense of $2.0 million. The increase in research and development expenses primarily reflects higher development expenses for the Phase 3 clinical trial of roluperidone and the Phase 2b clinical trial of MIN-117. These amounts were partially offset by lower development expenses for the seltorexant program due to the Amendment to our Co-Development and License Agreement with Janssen. We expect research and development expenses to increase during 2018 as we increase patient enrollment and related support activities for the roluperidone and MIN-117 clinical trials.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general and administrative expenses were $3.9 million for the three months ended June 30, 2018 compared to $2.6 million for the same period in 2017, an increase of approximately $1.3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2018 as we begin to invest in the infrastructure necessary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Foreign exchange gains were $29 thousand for the three months ended June 30, 2018 compared to losses of $20 thousand for the same period in 2017, an increase of $49 thousand. The gain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$0.4 million for the three months ended June 30, 2018 compared to $0.2 million for the same period in 2017, an increase of $0.2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due to an increase in investment income on cash equivalents and marketable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was $36 thousand for the three months ended June 30, 2018 compared to $170 thousand for the same period in 2017, a decrease of $134 thousand. This decrease was due to a lower outstanding principal balance on our Term A loans.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Comparison of Six Months Ended June 30, 2018 versus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Total research and development expenses were $17.5 million for the six months ended June 30, 2018 compared to $14.8 million for the same period in 2017, an increase in total expense of $2.7 million. The increase in research and development expenses primarily reflects higher development expenses for the Phase 3 clinical trial of roluperidone and the Phase 2b clinical trial of MIN-117. These amounts were partially offset by lower development expenses for the seltorexant program due to the Amendment to our Co-Development and License Agreement with Janssen. We expect research and development expenses to increase during 2018 as we increase patient enrollment and related support activities for the roluperidone and MIN-117 clinical trials.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general and administrative expenses were $8.2 million for the six months ended June 30, 2018 compared to $5.5 million for the same period in 2017, an increase of approximately $2.7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2018 as we begin to invest in the infrastructure necessary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Foreign exchange gains were $11 thousand for the six months ended June 30, 2018 compared to losses of $37 thousand for the same period in 2017, an increase of $48 thousand. The loss was primarily due to certain expenses of Mind-NRG and clinical activities denominated in Euros.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Investment income was $0.8 million for the six months ended June 30, 2018 compared to $0.2 million for the same period in 2017, an increase of $0.6 million. The increase was due to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$0.1 million for the six months ended June 30, 2018 compared to $0.4 million for the same period in 2017, a decrease of $0.3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to a lower outstanding principal balance on our Term A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June 30, 2018, we had an accumulated deficit of approximately $189.3 million. We anticipate that we will continue to incur net losses for the foreseeable future as we continue the development and potential commercialization of our product candidates and to support our operations as a public company. At June 30, 2018, we had approximately $108.6 million in cash, cash equivalents, restricted cash, and marketable securities. We believe that our existing cash, cash equivalents, restricted cash,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several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Under our $10.0 million Term A Loan, we have made principal repayments of approximately $9.1 million. We expect to make additional principal repayments of approximately $0.9 million in 2018, in accordance with the terms of the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significant sources and uses of cash for the six months ended June 30,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0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used in operating activities of approximately $22.2 million during the six months ended June 30, 2018 was primarily due to our net loss of $24.9 million, an increase in prepaid expense of $2.0 million, amortization of investments of $0.1 million and $0.1 million decrease in accounts payable, partially offset by stock-based compensation expense of $4.0 million and a $0.9 million increase in accrued expenses.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operating activities of approximately $12.9 million during the six months ended June 30, 2017 was primarily due to our net loss of $20.4 million and an increase in accounts payable of $0.1 million, partially offset by a $4.0 million increase in accrued collaborative expense, stock-based compensation expense of $2.5 million, a $0.6 million increase in accrued expenses, an decrease in prepaid expenses of $0.4 million and amortization of investments and debt discount of $0.1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provided by investing activities of approximately $67.5 million during the six months ended June 30, 2018 was primarily due to the maturity and redemption of marketable securities of $75.4 million, partially offset by the purchase of marketable securities of $7.9 million.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cash used in investing activities of approximately $27.4 million during the six months ended June 30, 2017 was primarily due to the purchase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financing activities of $2.6 million during the six months ended June 30, 2018 was due to principal repayments under the Term A loans of $2.6 million.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cash provided by financing activities of $7.5 million during the six months ended June 30, 2017 was primarily due to the proceeds from the exercise of common stock warrants of $9.4 million and the proceeds from the exercise of common stock options of $0.6 million, partially offset by the principal repayments under the Term A loans of $2.4 million and $0.1 million for fees paid in connection with the public offering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2018, there were no material changes in our contractual obligations and commitments from those disclosed in our Annual Report on Form 10-K for the year ended December 31, 2017 as filed with the SEC on March 12,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our Annual Report on Form 10-K for the fiscal year ended December 31, 2017, our most critical accounting policies and estimates upon which our financial status depends were identified as those relating to stock-based compensation; research and development costs; in-process research and development; goodwill; income taxes; Jumpstart Our Business Startups Act; net operating losses and tax credit carryforwards; and impairment of long-lived assets. We reviewed our policies and determined that those policies remain our most critical accounting policies for the six months ended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risk is the potential loss arising from adverse changes in market rates and market prices such as interest rates, foreign currency exchange rates, and changes in the market value of equity instruments. We do not believe we are currently exposed to any material market risk because the interest rate under our Term A loan is fixed, our exposure for fluctuations in foreign exchange rates is not material and we do not hold equity instruments. As of June 30, 2018, we had $39.8 million of marketable securities, which consisted primarily of corporate bonds, with fixed interest rates. These securities have a weighted-average remaining maturity of 2.5 months. Due to the overall short-term remaining maturities of our marketable securities, our interest rate exposure is not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2018. Based on the evaluation of our disclosure controls and procedures as of June 30, 2018,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2017, as filed with the SEC on March 12, 2018. The risk factors set forth below are risk factors containing changes, which may be material, from the risk factors previously disclosed in Item 1A of our Annual Report on Form 10-K for the fiscal year ended December 31, 2017,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profitable and have incurred losses in each period since our inception in 2007. For the six months ended June 30, 2018, and 2017, we reported net losses of $24.9 million and $20.4 million, respectively. As of June 30, 2018, we had an accumulated deficit of $189.3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June 30, 2018, we had cash, cash equivalents, restricted cash, and marketable securities of $108.6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560"/>
        <w:spacing w:after="0" w:line="342" w:lineRule="auto"/>
        <w:rPr>
          <w:sz w:val="20"/>
          <w:szCs w:val="20"/>
          <w:color w:val="auto"/>
        </w:rPr>
      </w:pPr>
      <w:r>
        <w:rPr>
          <w:rFonts w:ascii="Arial" w:cs="Arial" w:eastAsia="Arial" w:hAnsi="Arial"/>
          <w:sz w:val="16"/>
          <w:szCs w:val="16"/>
          <w:color w:val="auto"/>
        </w:rPr>
        <w:t>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820" w:hanging="519"/>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80" w:hanging="519"/>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2018, we had twelve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did not sell any unregistered securities during the three months ended June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repurchase any securities during the three months ended June 30,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8"/>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9"/>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12"/>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1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ind w:left="1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80" w:type="dxa"/>
            <w:vAlign w:val="bottom"/>
            <w:tcBorders>
              <w:bottom w:val="single" w:sz="8" w:color="0000EE"/>
            </w:tcBorders>
            <w:gridSpan w:val="9"/>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Amended and Restated Certificate of Incorporation of the Registrant (incorporated by reference to Exhibit 3.1 to the</w:t>
              </w:r>
            </w:hyperlink>
          </w:p>
        </w:tc>
        <w:tc>
          <w:tcPr>
            <w:tcW w:w="86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6"/>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 xml:space="preserve">Registrant’s registration 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EE"/>
                <w:w w:val="96"/>
              </w:rPr>
            </w:pPr>
            <w:hyperlink r:id="rId49">
              <w:r>
                <w:rPr>
                  <w:rFonts w:ascii="Arial" w:cs="Arial" w:eastAsia="Arial" w:hAnsi="Arial"/>
                  <w:sz w:val="18"/>
                  <w:szCs w:val="18"/>
                  <w:color w:val="0000EE"/>
                  <w:w w:val="96"/>
                </w:rPr>
                <w:t xml:space="preserve">Amended and </w:t>
              </w:r>
              <w:r>
                <w:rPr>
                  <w:rFonts w:ascii="Arial" w:cs="Arial" w:eastAsia="Arial" w:hAnsi="Arial"/>
                  <w:sz w:val="18"/>
                  <w:szCs w:val="18"/>
                  <w:color w:val="0000EE"/>
                  <w:highlight w:val="white"/>
                  <w:w w:val="96"/>
                </w:rPr>
                <w:t>Restated Bylaws of</w:t>
              </w:r>
              <w:r>
                <w:rPr>
                  <w:rFonts w:ascii="Arial" w:cs="Arial" w:eastAsia="Arial" w:hAnsi="Arial"/>
                  <w:sz w:val="18"/>
                  <w:szCs w:val="18"/>
                  <w:color w:val="0000EE"/>
                  <w:w w:val="96"/>
                </w:rPr>
                <w:t xml:space="preserve"> the Registrant (incorporated by reference to Exhibit </w:t>
              </w:r>
              <w:r>
                <w:rPr>
                  <w:rFonts w:ascii="Arial" w:cs="Arial" w:eastAsia="Arial" w:hAnsi="Arial"/>
                  <w:sz w:val="18"/>
                  <w:szCs w:val="18"/>
                  <w:color w:val="0000EE"/>
                  <w:highlight w:val="white"/>
                  <w:w w:val="96"/>
                </w:rPr>
                <w:t>3.2 to</w:t>
              </w:r>
              <w:r>
                <w:rPr>
                  <w:rFonts w:ascii="Arial" w:cs="Arial" w:eastAsia="Arial" w:hAnsi="Arial"/>
                  <w:sz w:val="18"/>
                  <w:szCs w:val="18"/>
                  <w:color w:val="0000EE"/>
                  <w:w w:val="96"/>
                </w:rPr>
                <w:t xml:space="preserve"> the Registrant’s registration</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 xml:space="preserve">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w:t>
              </w:r>
              <w:r>
                <w:rPr>
                  <w:rFonts w:ascii="Arial" w:cs="Arial" w:eastAsia="Arial" w:hAnsi="Arial"/>
                  <w:sz w:val="18"/>
                  <w:szCs w:val="18"/>
                  <w:color w:val="0000EE"/>
                  <w:highlight w:val="white"/>
                </w:rPr>
                <w:t>June 10, 2014</w:t>
              </w:r>
              <w:r>
                <w:rPr>
                  <w:rFonts w:ascii="Arial" w:cs="Arial" w:eastAsia="Arial" w:hAnsi="Arial"/>
                  <w:sz w:val="18"/>
                  <w:szCs w:val="18"/>
                  <w:color w:val="0000EE"/>
                </w:rPr>
                <w:t>)</w:t>
              </w:r>
            </w:hyperlink>
          </w:p>
        </w:tc>
        <w:tc>
          <w:tcPr>
            <w:tcW w:w="54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bottom w:val="single" w:sz="8" w:color="0000EE"/>
            </w:tcBorders>
            <w:gridSpan w:val="10"/>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2013 Equity Incentive Plan of the Registrant (incorporated by reference to Exhibit 99.1 to the</w:t>
              </w:r>
            </w:hyperlink>
          </w:p>
        </w:tc>
        <w:tc>
          <w:tcPr>
            <w:tcW w:w="780" w:type="dxa"/>
            <w:vAlign w:val="bottom"/>
            <w:gridSpan w:val="6"/>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Registrant’s Current Report on Form 8-K filed with the SEC on June 11, 2018)</w:t>
              </w:r>
            </w:hyperlink>
          </w:p>
        </w:tc>
        <w:tc>
          <w:tcPr>
            <w:tcW w:w="354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Amended and Restated Non-Employee Director Compensation Plan of the Registrant</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5"/>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14"/>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50" w:lineRule="exact"/>
        <w:rPr>
          <w:sz w:val="20"/>
          <w:szCs w:val="20"/>
          <w:color w:val="auto"/>
        </w:rPr>
      </w:pPr>
    </w:p>
    <w:p>
      <w:pPr>
        <w:ind w:left="520" w:right="3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337" w:right="6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NON-EMPLOYEE DIRECTOR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Approved: March 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April 1, 2018</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as of April 1, 2018, each non-employee member of the board of directors (the “Board”) of Minerva Neurosciences, Inc. (the “Company”) will receive an annual cash retainer of $35,000, the Lead Independent Director will receive an additional cash retainer of $10,000, and the Non-Employee Chairman of the Board will receive an additional annual cash retainer of $50,000. The chairpersons of the Audit Committee, Compensation Committee and Nominating and Corporate Governance Committee will receive additional annual cash retainers of $15,000, $12,000 and $8,000, respectively. Other members of the Audit Committee, Compensation Committee and Nominating and Corporate Governance Committee will receive additional annual cash retainers of $7,500, $6,000 and $4,000, respectively. Each newly elected non-employee director will also receive a one-time grant of an option to purchase 40,000 shares of the Company’s common stock promptly following election or appointment to the Board (the “Director Welcome Options”). The Director Welcome Options will vest monthly over three years, provided that the applicable non-employee director is, as of such vesting date, then a director of the Company. In addition, each non-employee director will be granted options to purchase 20,000 shares of the Company’s common stock per year (the “Annual Grants”). The Annual Grants will vest in equal quarterly installments over one year, provided that the applicable non-employee director is, as of such vesting date, then a director of the Company.</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attending meetings of the Board or of any committee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of this Non-Employee Director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3"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retainer for Non-employee Chairman of the Board - $85,000</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retainer for Lead Independent Director - $45,000</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retainer per Board member (other than Chairman) - $35,000</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Committee chair annual retainers:</w:t>
      </w:r>
    </w:p>
    <w:p>
      <w:pPr>
        <w:spacing w:after="0" w:line="2" w:lineRule="exact"/>
        <w:rPr>
          <w:sz w:val="20"/>
          <w:szCs w:val="20"/>
          <w:color w:val="auto"/>
        </w:rPr>
      </w:pPr>
    </w:p>
    <w:p>
      <w:pPr>
        <w:ind w:left="1520" w:hanging="378"/>
        <w:spacing w:after="0"/>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$15,000 Audit</w:t>
      </w:r>
    </w:p>
    <w:p>
      <w:pPr>
        <w:ind w:left="1520" w:hanging="378"/>
        <w:spacing w:after="0" w:line="232" w:lineRule="auto"/>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$12,000 Compensation</w:t>
      </w:r>
    </w:p>
    <w:p>
      <w:pPr>
        <w:ind w:left="1520" w:hanging="378"/>
        <w:spacing w:after="0" w:line="232" w:lineRule="auto"/>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$ 8,000 Nominating and Governance</w:t>
      </w: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member annual retainers:</w:t>
      </w:r>
    </w:p>
    <w:p>
      <w:pPr>
        <w:spacing w:after="0" w:line="9" w:lineRule="exact"/>
        <w:rPr>
          <w:rFonts w:ascii="Arial" w:cs="Arial" w:eastAsia="Arial" w:hAnsi="Arial"/>
          <w:sz w:val="18"/>
          <w:szCs w:val="18"/>
          <w:color w:val="auto"/>
        </w:rPr>
      </w:pPr>
    </w:p>
    <w:p>
      <w:pPr>
        <w:ind w:left="1520" w:hanging="378"/>
        <w:spacing w:after="0" w:line="232" w:lineRule="auto"/>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$7,500 Audit</w:t>
      </w:r>
    </w:p>
    <w:p>
      <w:pPr>
        <w:ind w:left="1520" w:hanging="378"/>
        <w:spacing w:after="0" w:line="232" w:lineRule="auto"/>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$6,000 Compensation</w:t>
      </w:r>
    </w:p>
    <w:p>
      <w:pPr>
        <w:ind w:left="1520" w:hanging="378"/>
        <w:spacing w:after="0" w:line="232" w:lineRule="auto"/>
        <w:tabs>
          <w:tab w:leader="none" w:pos="15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$4,000 Nominating and Governance</w:t>
      </w: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Retainers are paid on a quarterly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left="760" w:right="320" w:hanging="374"/>
        <w:spacing w:after="0" w:line="250"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grant per Board member - 40,000 options vesting monthly over 3 years, provided that the applicable non-employee director is, as of such vesting date, then a director of the Company</w:t>
      </w:r>
    </w:p>
    <w:p>
      <w:pPr>
        <w:ind w:left="760" w:right="240" w:hanging="374"/>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grant per Board member - 20,000 options vesting quarterly over 1 year, provided that the applicable non-employee director is, as of such vesting date, then a director of the Company</w:t>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2,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2,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right="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2018,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8" Type="http://schemas.openxmlformats.org/officeDocument/2006/relationships/hyperlink" Target="http://www.sec.gov/Archives/edgar/data/0001598646/000104746914005459/a2219972zex-3_1.htm" TargetMode="External"/><Relationship Id="rId49" Type="http://schemas.openxmlformats.org/officeDocument/2006/relationships/hyperlink" Target="http://www.sec.gov/Archives/edgar/data/0001598646/000104746914005459/a2219972zex-3_2.htm" TargetMode="External"/><Relationship Id="rId50" Type="http://schemas.openxmlformats.org/officeDocument/2006/relationships/hyperlink" Target="http://www.sec.gov/Archives/edgar/data/1598646/000119312518189474/d58817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2019-12-28T20:32:19Z</dcterms:created>
  <dcterms:modified xsi:type="dcterms:W3CDTF">2019-12-28T20:32:19Z</dcterms:modified>
</cp:coreProperties>
</file>