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3820" w:right="1660" w:hanging="3812"/>
        <w:spacing w:after="0" w:line="375"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3676015</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Minerva Neurosciences,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26-0784194</w:t>
            </w:r>
          </w:p>
        </w:tc>
      </w:tr>
      <w:tr>
        <w:trPr>
          <w:trHeight w:val="216"/>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8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1500 District Avenue</w:t>
            </w:r>
          </w:p>
        </w:tc>
        <w:tc>
          <w:tcPr>
            <w:tcW w:w="3120" w:type="dxa"/>
            <w:vAlign w:val="bottom"/>
          </w:tcPr>
          <w:p>
            <w:pPr>
              <w:spacing w:after="0"/>
              <w:rPr>
                <w:sz w:val="24"/>
                <w:szCs w:val="24"/>
                <w:color w:val="auto"/>
              </w:rPr>
            </w:pPr>
          </w:p>
        </w:tc>
      </w:tr>
      <w:tr>
        <w:trPr>
          <w:trHeight w:val="216"/>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Burlington, MA</w:t>
            </w:r>
          </w:p>
        </w:tc>
        <w:tc>
          <w:tcPr>
            <w:tcW w:w="3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238"/>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600-7373</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6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r>
      <w:tr>
        <w:trPr>
          <w:trHeight w:val="212"/>
        </w:trPr>
        <w:tc>
          <w:tcPr>
            <w:tcW w:w="432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Title of each class</w:t>
            </w:r>
          </w:p>
        </w:tc>
        <w:tc>
          <w:tcPr>
            <w:tcW w:w="2640" w:type="dxa"/>
            <w:vAlign w:val="bottom"/>
            <w:tcBorders>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Borders>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3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6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NERV</w:t>
            </w:r>
          </w:p>
        </w:tc>
        <w:tc>
          <w:tcPr>
            <w:tcW w:w="4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9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Accelerated filer</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0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spacing w:after="0"/>
              <w:rPr>
                <w:sz w:val="23"/>
                <w:szCs w:val="23"/>
                <w:color w:val="auto"/>
              </w:rPr>
            </w:pPr>
          </w:p>
        </w:tc>
        <w:tc>
          <w:tcPr>
            <w:tcW w:w="1800" w:type="dxa"/>
            <w:vAlign w:val="bottom"/>
          </w:tcPr>
          <w:p>
            <w:pPr>
              <w:spacing w:after="0"/>
              <w:rPr>
                <w:sz w:val="23"/>
                <w:szCs w:val="23"/>
                <w:color w:val="auto"/>
              </w:rPr>
            </w:pPr>
          </w:p>
        </w:tc>
      </w:tr>
    </w:tbl>
    <w:p>
      <w:pPr>
        <w:spacing w:after="0" w:line="74"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7500" w:val="left"/>
          <w:tab w:leader="none" w:pos="81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$0.0001 par value per share, outstanding as of April 30, 2026, was 46,588,709.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950595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120" w:type="dxa"/>
            <w:vAlign w:val="bottom"/>
            <w:gridSpan w:val="12"/>
            <w:vMerge w:val="restart"/>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20" w:type="dxa"/>
            <w:vAlign w:val="bottom"/>
            <w:gridSpan w:val="12"/>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4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580" w:type="dxa"/>
            <w:vAlign w:val="bottom"/>
            <w:tcBorders>
              <w:top w:val="single" w:sz="8" w:color="0000EE"/>
            </w:tcBorders>
            <w:gridSpan w:val="6"/>
          </w:tcPr>
          <w:p>
            <w:pPr>
              <w:spacing w:after="0"/>
              <w:rPr>
                <w:sz w:val="24"/>
                <w:szCs w:val="24"/>
                <w:color w:val="auto"/>
              </w:rPr>
            </w:pPr>
          </w:p>
        </w:tc>
        <w:tc>
          <w:tcPr>
            <w:tcW w:w="354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62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 as of March 31, 2026 and December 31, 2025</w:t>
            </w:r>
          </w:p>
        </w:tc>
        <w:tc>
          <w:tcPr>
            <w:tcW w:w="326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6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2026 and 2025</w:t>
            </w:r>
          </w:p>
        </w:tc>
        <w:tc>
          <w:tcPr>
            <w:tcW w:w="190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4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Redeemable Preferred Stock and Stockholders’ Deficit for the Three Months Ended March</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31, 2026 and 2025</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77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2026 and 2025</w:t>
            </w:r>
          </w:p>
        </w:tc>
        <w:tc>
          <w:tcPr>
            <w:tcW w:w="184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8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24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11"/>
          </w:tcPr>
          <w:p>
            <w:pPr>
              <w:jc w:val="center"/>
              <w:ind w:right="364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5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380" w:type="dxa"/>
            <w:vAlign w:val="bottom"/>
            <w:tcBorders>
              <w:top w:val="single" w:sz="8" w:color="0000EE"/>
            </w:tcBorders>
            <w:gridSpan w:val="4"/>
          </w:tcPr>
          <w:p>
            <w:pPr>
              <w:spacing w:after="0"/>
              <w:rPr>
                <w:sz w:val="24"/>
                <w:szCs w:val="24"/>
                <w:color w:val="auto"/>
              </w:rPr>
            </w:pPr>
          </w:p>
        </w:tc>
        <w:tc>
          <w:tcPr>
            <w:tcW w:w="364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EE"/>
            </w:tcBorders>
            <w:gridSpan w:val="2"/>
          </w:tcPr>
          <w:p>
            <w:pPr>
              <w:spacing w:after="0"/>
              <w:rPr>
                <w:sz w:val="17"/>
                <w:szCs w:val="17"/>
                <w:color w:val="auto"/>
              </w:rPr>
            </w:pPr>
          </w:p>
        </w:tc>
        <w:tc>
          <w:tcPr>
            <w:tcW w:w="822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EE"/>
            </w:tcBorders>
            <w:gridSpan w:val="6"/>
          </w:tcPr>
          <w:p>
            <w:pPr>
              <w:spacing w:after="0"/>
              <w:rPr>
                <w:sz w:val="17"/>
                <w:szCs w:val="17"/>
                <w:color w:val="auto"/>
              </w:rPr>
            </w:pPr>
          </w:p>
        </w:tc>
        <w:tc>
          <w:tcPr>
            <w:tcW w:w="520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EE"/>
            </w:tcBorders>
            <w:gridSpan w:val="2"/>
          </w:tcPr>
          <w:p>
            <w:pPr>
              <w:spacing w:after="0"/>
              <w:rPr>
                <w:sz w:val="17"/>
                <w:szCs w:val="17"/>
                <w:color w:val="auto"/>
              </w:rPr>
            </w:pPr>
          </w:p>
        </w:tc>
        <w:tc>
          <w:tcPr>
            <w:tcW w:w="8240" w:type="dxa"/>
            <w:vAlign w:val="bottom"/>
            <w:gridSpan w:val="1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12"/>
        </w:trPr>
        <w:tc>
          <w:tcPr>
            <w:tcW w:w="10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669"/>
        </w:trPr>
        <w:tc>
          <w:tcPr>
            <w:tcW w:w="10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20" w:type="dxa"/>
            <w:vAlign w:val="bottom"/>
            <w:gridSpan w:val="15"/>
          </w:tcPr>
          <w:p>
            <w:pPr>
              <w:jc w:val="right"/>
              <w:ind w:right="12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2025 under Part I, Item IA, “Risk Factors.”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and service marks appearing in this Quarterly Report on Form 10-Q are the property of their respective owners.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0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540" w:type="dxa"/>
            <w:vAlign w:val="bottom"/>
            <w:shd w:val="clear" w:color="auto" w:fill="CFF0FC"/>
          </w:tcPr>
          <w:p>
            <w:pPr>
              <w:ind w:left="35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32,659,770</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82,301,813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45,405,126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941,883</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697,676</w:t>
            </w:r>
          </w:p>
        </w:tc>
        <w:tc>
          <w:tcPr>
            <w:tcW w:w="100" w:type="dxa"/>
            <w:vAlign w:val="bottom"/>
          </w:tcPr>
          <w:p>
            <w:pPr>
              <w:spacing w:after="0"/>
              <w:rPr>
                <w:sz w:val="18"/>
                <w:szCs w:val="18"/>
                <w:color w:val="auto"/>
              </w:rPr>
            </w:pPr>
          </w:p>
        </w:tc>
      </w:tr>
      <w:tr>
        <w:trPr>
          <w:trHeight w:val="209"/>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79,106,779</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83,099,489</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94,027,156</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97,968,888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b w:val="1"/>
                <w:bCs w:val="1"/>
                <w:color w:val="auto"/>
              </w:rPr>
              <w:t>Liabilities, Redeemable Preferred Stock and Stockholders’ Deficit</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2,118,225</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639,707</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2,363,968</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1,650,766</w:t>
            </w:r>
          </w:p>
        </w:tc>
        <w:tc>
          <w:tcPr>
            <w:tcW w:w="100" w:type="dxa"/>
            <w:vAlign w:val="bottom"/>
          </w:tcPr>
          <w:p>
            <w:pPr>
              <w:spacing w:after="0"/>
              <w:rPr>
                <w:sz w:val="18"/>
                <w:szCs w:val="18"/>
                <w:color w:val="auto"/>
              </w:rPr>
            </w:pPr>
          </w:p>
        </w:tc>
      </w:tr>
      <w:tr>
        <w:trPr>
          <w:trHeight w:val="209"/>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4,482,193</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2,290,473</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278,596,901</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171,464,575</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343,079,094</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233,755,048</w:t>
            </w:r>
          </w:p>
        </w:tc>
        <w:tc>
          <w:tcPr>
            <w:tcW w:w="100" w:type="dxa"/>
            <w:vAlign w:val="bottom"/>
          </w:tcPr>
          <w:p>
            <w:pPr>
              <w:spacing w:after="0"/>
              <w:rPr>
                <w:sz w:val="18"/>
                <w:szCs w:val="18"/>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200,000 shares authorized; 3,296 issued and</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liquidation preference of $0 as of March 31, 2026 and December 31, 2025</w:t>
            </w: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4,961,922</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4,961,922</w:t>
            </w:r>
          </w:p>
        </w:tc>
        <w:tc>
          <w:tcPr>
            <w:tcW w:w="100" w:type="dxa"/>
            <w:vAlign w:val="bottom"/>
            <w:shd w:val="clear" w:color="auto" w:fill="CFF0FC"/>
          </w:tcPr>
          <w:p>
            <w:pPr>
              <w:spacing w:after="0"/>
              <w:rPr>
                <w:sz w:val="20"/>
                <w:szCs w:val="20"/>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250,000,000 shares authorized; 43,841,998 shares issued and</w:t>
            </w:r>
          </w:p>
        </w:tc>
        <w:tc>
          <w:tcPr>
            <w:tcW w:w="3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as of March 31, 2026 and 43,274,398 shares issued and outstanding as of December 31,</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shd w:val="clear" w:color="auto" w:fill="CFF0FC"/>
          </w:tcPr>
          <w:p>
            <w:pPr>
              <w:spacing w:after="0"/>
              <w:rPr>
                <w:sz w:val="20"/>
                <w:szCs w:val="20"/>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560,185,880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548,047,331</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(814,204,124)</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(688,799,740)</w:t>
            </w:r>
          </w:p>
        </w:tc>
      </w:tr>
      <w:tr>
        <w:trPr>
          <w:trHeight w:val="20"/>
        </w:trPr>
        <w:tc>
          <w:tcPr>
            <w:tcW w:w="75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0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(254,013,860)</w:t>
            </w:r>
          </w:p>
        </w:tc>
        <w:tc>
          <w:tcPr>
            <w:tcW w:w="2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(140,748,082)</w:t>
            </w:r>
          </w:p>
        </w:tc>
      </w:tr>
      <w:tr>
        <w:trPr>
          <w:trHeight w:val="249"/>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 redeemable preferred stock and stockholders’ deficit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94,027,156</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97,968,888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-2974340</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-2956560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-2974340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-1842770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-316865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ind w:left="42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4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6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5,254,966</w:t>
            </w:r>
          </w:p>
        </w:tc>
        <w:tc>
          <w:tcPr>
            <w:tcW w:w="3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1,362,438</w:t>
            </w: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11,416,586</w:t>
            </w:r>
          </w:p>
        </w:tc>
        <w:tc>
          <w:tcPr>
            <w:tcW w:w="3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2,540,446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1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16,671,552</w:t>
            </w:r>
          </w:p>
        </w:tc>
        <w:tc>
          <w:tcPr>
            <w:tcW w:w="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3,902,884</w:t>
            </w:r>
          </w:p>
        </w:tc>
        <w:tc>
          <w:tcPr>
            <w:tcW w:w="100" w:type="dxa"/>
            <w:vAlign w:val="bottom"/>
          </w:tcPr>
          <w:p>
            <w:pPr>
              <w:spacing w:after="0"/>
              <w:rPr>
                <w:sz w:val="18"/>
                <w:szCs w:val="18"/>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(16,671,552)</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(3,902,884)</w:t>
            </w:r>
          </w:p>
        </w:tc>
      </w:tr>
      <w:tr>
        <w:trPr>
          <w:trHeight w:val="216"/>
        </w:trPr>
        <w:tc>
          <w:tcPr>
            <w:tcW w:w="5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1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(1,804)</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(8,376)</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629,602</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158,288</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of the warrant liability</w:t>
            </w:r>
          </w:p>
        </w:tc>
        <w:tc>
          <w:tcPr>
            <w:tcW w:w="1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(109,360,630)</w:t>
            </w: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6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(125,404,384)</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(3,752,972)</w:t>
            </w:r>
          </w:p>
        </w:tc>
      </w:tr>
      <w:tr>
        <w:trPr>
          <w:trHeight w:val="20"/>
        </w:trPr>
        <w:tc>
          <w:tcPr>
            <w:tcW w:w="5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(0.50)</w:t>
            </w:r>
          </w:p>
        </w:tc>
      </w:tr>
      <w:tr>
        <w:trPr>
          <w:trHeight w:val="20"/>
        </w:trPr>
        <w:tc>
          <w:tcPr>
            <w:tcW w:w="5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6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6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43,900,426</w:t>
            </w:r>
          </w:p>
        </w:tc>
        <w:tc>
          <w:tcPr>
            <w:tcW w:w="3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7,568,981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-1473835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-633730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ind w:left="42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Preferred Stock and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860" w:type="dxa"/>
            <w:vAlign w:val="bottom"/>
          </w:tcPr>
          <w:p>
            <w:pPr>
              <w:spacing w:after="0"/>
              <w:rPr>
                <w:sz w:val="3"/>
                <w:szCs w:val="3"/>
                <w:color w:val="auto"/>
              </w:rPr>
            </w:pPr>
          </w:p>
        </w:tc>
        <w:tc>
          <w:tcPr>
            <w:tcW w:w="154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Convertible Series A</w:t>
            </w: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500" w:type="dxa"/>
            <w:vAlign w:val="bottom"/>
            <w:gridSpan w:val="4"/>
            <w:vMerge w:val="restart"/>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860" w:type="dxa"/>
            <w:vAlign w:val="bottom"/>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50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January 1, 2025</w:t>
            </w: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shd w:val="clear" w:color="auto" w:fill="CFF0FC"/>
          </w:tcPr>
          <w:p>
            <w:pPr>
              <w:jc w:val="center"/>
              <w:ind w:left="1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1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6,993,406</w:t>
            </w:r>
          </w:p>
        </w:tc>
        <w:tc>
          <w:tcPr>
            <w:tcW w:w="440" w:type="dxa"/>
            <w:vAlign w:val="bottom"/>
            <w:gridSpan w:val="2"/>
            <w:shd w:val="clear" w:color="auto" w:fill="CFF0FC"/>
          </w:tcPr>
          <w:p>
            <w:pPr>
              <w:jc w:val="right"/>
              <w:ind w:right="6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699</w:t>
            </w:r>
          </w:p>
        </w:tc>
        <w:tc>
          <w:tcPr>
            <w:tcW w:w="3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369,682,764</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(395,376,563)</w:t>
            </w:r>
          </w:p>
        </w:tc>
        <w:tc>
          <w:tcPr>
            <w:tcW w:w="30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shd w:val="clear" w:color="auto" w:fill="CFF0FC"/>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(25,693,100)</w:t>
            </w: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297,229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297,229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(3,752,972)</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(3,752,972)</w:t>
            </w:r>
          </w:p>
        </w:tc>
        <w:tc>
          <w:tcPr>
            <w:tcW w:w="0" w:type="dxa"/>
            <w:vAlign w:val="bottom"/>
          </w:tcPr>
          <w:p>
            <w:pPr>
              <w:spacing w:after="0"/>
              <w:rPr>
                <w:sz w:val="1"/>
                <w:szCs w:val="1"/>
                <w:color w:val="auto"/>
              </w:rPr>
            </w:pPr>
          </w:p>
        </w:tc>
      </w:tr>
      <w:tr>
        <w:trPr>
          <w:trHeight w:val="142"/>
        </w:trPr>
        <w:tc>
          <w:tcPr>
            <w:tcW w:w="286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March 31, 2025</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CFF0FC"/>
              <w:bottom w:val="single" w:sz="8" w:color="CFF0FC"/>
              <w:right w:val="single" w:sz="8" w:color="auto"/>
            </w:tcBorders>
          </w:tcPr>
          <w:p>
            <w:pPr>
              <w:spacing w:after="0"/>
              <w:rPr>
                <w:sz w:val="12"/>
                <w:szCs w:val="12"/>
                <w:color w:val="auto"/>
              </w:rPr>
            </w:pPr>
          </w:p>
        </w:tc>
        <w:tc>
          <w:tcPr>
            <w:tcW w:w="60" w:type="dxa"/>
            <w:vAlign w:val="bottom"/>
            <w:tcBorders>
              <w:top w:val="single" w:sz="8" w:color="CFF0FC"/>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6,993,406</w:t>
            </w:r>
          </w:p>
        </w:tc>
        <w:tc>
          <w:tcPr>
            <w:tcW w:w="26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699</w:t>
            </w:r>
          </w:p>
        </w:tc>
        <w:tc>
          <w:tcPr>
            <w:tcW w:w="22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369,979,993</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(399,129,535</w:t>
            </w:r>
          </w:p>
        </w:tc>
        <w:tc>
          <w:tcPr>
            <w:tcW w:w="140" w:type="dxa"/>
            <w:vAlign w:val="bottom"/>
            <w:tcBorders>
              <w:top w:val="single" w:sz="8" w:color="CFF0FC"/>
              <w:bottom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CFF0FC"/>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(29,148,843)</w:t>
            </w:r>
          </w:p>
        </w:tc>
        <w:tc>
          <w:tcPr>
            <w:tcW w:w="100" w:type="dxa"/>
            <w:vAlign w:val="bottom"/>
            <w:tcBorders>
              <w:top w:val="single" w:sz="8" w:color="CFF0FC"/>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at January 1, 2026</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3,296</w:t>
            </w:r>
          </w:p>
        </w:tc>
        <w:tc>
          <w:tcPr>
            <w:tcW w:w="34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4,961,922</w:t>
            </w:r>
          </w:p>
        </w:tc>
        <w:tc>
          <w:tcPr>
            <w:tcW w:w="220" w:type="dxa"/>
            <w:vAlign w:val="bottom"/>
            <w:tcBorders>
              <w:right w:val="single" w:sz="8" w:color="auto"/>
            </w:tcBorders>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43,274,398</w:t>
            </w:r>
          </w:p>
        </w:tc>
        <w:tc>
          <w:tcPr>
            <w:tcW w:w="44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4,327</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548,047,331</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(688,799,740)</w:t>
            </w:r>
          </w:p>
        </w:tc>
        <w:tc>
          <w:tcPr>
            <w:tcW w:w="3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(140,748,082)</w:t>
            </w: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8,710,302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8,710,302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tranche A warrants</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567,600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3,428,247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3,428,304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(125,404,384)</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(125,404,384)</w:t>
            </w:r>
          </w:p>
        </w:tc>
        <w:tc>
          <w:tcPr>
            <w:tcW w:w="0" w:type="dxa"/>
            <w:vAlign w:val="bottom"/>
          </w:tcPr>
          <w:p>
            <w:pPr>
              <w:spacing w:after="0"/>
              <w:rPr>
                <w:sz w:val="1"/>
                <w:szCs w:val="1"/>
                <w:color w:val="auto"/>
              </w:rPr>
            </w:pPr>
          </w:p>
        </w:tc>
      </w:tr>
      <w:tr>
        <w:trPr>
          <w:trHeight w:val="142"/>
        </w:trPr>
        <w:tc>
          <w:tcPr>
            <w:tcW w:w="286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March 31, 2026</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3,296</w:t>
            </w:r>
          </w:p>
        </w:tc>
        <w:tc>
          <w:tcPr>
            <w:tcW w:w="24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4,961,922</w:t>
            </w:r>
          </w:p>
        </w:tc>
        <w:tc>
          <w:tcPr>
            <w:tcW w:w="220" w:type="dxa"/>
            <w:vAlign w:val="bottom"/>
            <w:tcBorders>
              <w:top w:val="single" w:sz="8" w:color="CFF0FC"/>
              <w:bottom w:val="single" w:sz="8" w:color="CFF0FC"/>
              <w:right w:val="single" w:sz="8" w:color="auto"/>
            </w:tcBorders>
          </w:tcPr>
          <w:p>
            <w:pPr>
              <w:spacing w:after="0"/>
              <w:rPr>
                <w:sz w:val="12"/>
                <w:szCs w:val="12"/>
                <w:color w:val="auto"/>
              </w:rPr>
            </w:pPr>
          </w:p>
        </w:tc>
        <w:tc>
          <w:tcPr>
            <w:tcW w:w="60" w:type="dxa"/>
            <w:vAlign w:val="bottom"/>
            <w:tcBorders>
              <w:top w:val="single" w:sz="8" w:color="CFF0FC"/>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43,841,998</w:t>
            </w:r>
          </w:p>
        </w:tc>
        <w:tc>
          <w:tcPr>
            <w:tcW w:w="26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4,384</w:t>
            </w:r>
          </w:p>
        </w:tc>
        <w:tc>
          <w:tcPr>
            <w:tcW w:w="22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560,185,880</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(814,204,124</w:t>
            </w:r>
          </w:p>
        </w:tc>
        <w:tc>
          <w:tcPr>
            <w:tcW w:w="140" w:type="dxa"/>
            <w:vAlign w:val="bottom"/>
            <w:tcBorders>
              <w:top w:val="single" w:sz="8" w:color="CFF0FC"/>
              <w:bottom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top w:val="single" w:sz="8" w:color="CFF0FC"/>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(254,013,860</w:t>
            </w:r>
          </w:p>
        </w:tc>
        <w:tc>
          <w:tcPr>
            <w:tcW w:w="100" w:type="dxa"/>
            <w:vAlign w:val="bottom"/>
            <w:tcBorders>
              <w:top w:val="single" w:sz="8" w:color="CFF0FC"/>
              <w:bottom w:val="single" w:sz="8" w:color="CFF0FC"/>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-727710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-727710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-727710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-727710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-727710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-727710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-128270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-128270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-128270</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-128270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-128270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-128270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 w:name="page7"/>
    <w:bookmarkEnd w:id="6"/>
    <w:p>
      <w:pPr>
        <w:ind w:left="42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6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(125,404,384)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(3,752,972)</w:t>
            </w: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Accretion of marketable securities</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(136,741)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8,710,302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297,229</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fair value of the warrant liability</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109,360,630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(218,488)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272,097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1,465,073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(967,898)</w:t>
            </w:r>
          </w:p>
        </w:tc>
      </w:tr>
      <w:tr>
        <w:trPr>
          <w:trHeight w:val="216"/>
        </w:trPr>
        <w:tc>
          <w:tcPr>
            <w:tcW w:w="7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796,544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(5,427,064)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(4,071,960)</w:t>
            </w:r>
          </w:p>
        </w:tc>
      </w:tr>
      <w:tr>
        <w:trPr>
          <w:trHeight w:val="209"/>
        </w:trPr>
        <w:tc>
          <w:tcPr>
            <w:tcW w:w="76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(45,294,104)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(45,294,104)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exercise of Tranche A warrants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paid in connection with private placements</w:t>
            </w:r>
          </w:p>
        </w:tc>
        <w:tc>
          <w:tcPr>
            <w:tcW w:w="3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(90,875)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1,079,125</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10"/>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(49,642,043)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(4,071,960)</w:t>
            </w:r>
          </w:p>
        </w:tc>
      </w:tr>
      <w:tr>
        <w:trPr>
          <w:trHeight w:val="216"/>
        </w:trPr>
        <w:tc>
          <w:tcPr>
            <w:tcW w:w="7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82,401,813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21,462,008</w:t>
            </w:r>
          </w:p>
        </w:tc>
        <w:tc>
          <w:tcPr>
            <w:tcW w:w="100" w:type="dxa"/>
            <w:vAlign w:val="bottom"/>
          </w:tcPr>
          <w:p>
            <w:pPr>
              <w:spacing w:after="0"/>
              <w:rPr>
                <w:sz w:val="18"/>
                <w:szCs w:val="18"/>
                <w:color w:val="auto"/>
              </w:rPr>
            </w:pPr>
          </w:p>
        </w:tc>
      </w:tr>
      <w:tr>
        <w:trPr>
          <w:trHeight w:val="25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32,759,770</w:t>
            </w:r>
          </w:p>
        </w:tc>
        <w:tc>
          <w:tcPr>
            <w:tcW w:w="1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17,390,048</w:t>
            </w:r>
          </w:p>
        </w:tc>
        <w:tc>
          <w:tcPr>
            <w:tcW w:w="100" w:type="dxa"/>
            <w:vAlign w:val="bottom"/>
            <w:shd w:val="clear" w:color="auto" w:fill="CFF0FC"/>
          </w:tcPr>
          <w:p>
            <w:pPr>
              <w:spacing w:after="0"/>
              <w:rPr>
                <w:sz w:val="21"/>
                <w:szCs w:val="21"/>
                <w:color w:val="auto"/>
              </w:rPr>
            </w:pPr>
          </w:p>
        </w:tc>
      </w:tr>
      <w:tr>
        <w:trPr>
          <w:trHeight w:val="174"/>
        </w:trPr>
        <w:tc>
          <w:tcPr>
            <w:tcW w:w="766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the Condensed Consolidated Statements of Cash Flows to the</w:t>
            </w: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32,659,770</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17,290,048</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4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32,759,770</w:t>
            </w:r>
          </w:p>
        </w:tc>
        <w:tc>
          <w:tcPr>
            <w:tcW w:w="1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17,390,048</w:t>
            </w:r>
          </w:p>
        </w:tc>
        <w:tc>
          <w:tcPr>
            <w:tcW w:w="100" w:type="dxa"/>
            <w:vAlign w:val="bottom"/>
            <w:shd w:val="clear" w:color="auto" w:fill="CFF0FC"/>
          </w:tcPr>
          <w:p>
            <w:pPr>
              <w:spacing w:after="0"/>
              <w:rPr>
                <w:sz w:val="21"/>
                <w:szCs w:val="21"/>
                <w:color w:val="auto"/>
              </w:rPr>
            </w:pPr>
          </w:p>
        </w:tc>
      </w:tr>
      <w:tr>
        <w:trPr>
          <w:trHeight w:val="197"/>
        </w:trPr>
        <w:tc>
          <w:tcPr>
            <w:tcW w:w="76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issuance costs included in 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104,320</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offering costs included in accrued expenses and other current liabilities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20,978</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upon exercise of warrants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2,228,304</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-3710940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-3710940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-3145155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-2305050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-1456690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-1439545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-736600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-719455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March 31, 2026 and for the Three Months Ended March 31, 2026 and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ind w:right="1120"/>
        <w:spacing w:after="0" w:line="282"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certain proprietary product candidates to treat patients suffering from central nervous system (“CNS”) diseases.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lead product candidate, roluperidone, is in development for the treatment of negative symptoms in patients diagnosed with schizophrenia. In August 2022, the Company submitted a New Drug Application (“NDA”) with the U.S. Food and Drug Administration (“FDA”) for roluperidone for the treatment of negative symptoms in schizophrenia. On February 26, 2024, the FDA issued a Complete Response Letter (“CRL”) regarding the NDA for roluperidone. Subsequent to the CRL, the Company has had multiple interactions with the FDA to confirm the design of an additional Phase 3 confirmatory clinical trial to address the deficiencies cited in the CRL and resubmit the NDA.</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Consistent with the previous Phase 2b (C03) and Phase 3 (C07) clinical trials of roluperidone, the new Phase 3 confirmatory trial, which the Company refers to as the C19 trial, will include patients diagnosed with schizophrenia who present with stable impairing negative symptoms and stable positive symptoms for the six months prior to entering the trial. The Company agreed with the FDA that best efforts will be made to secure 25-30% of patients from the United States, subject to competitive recruitment. The FDA confirmed that roluperidone can be studied in monotherapy where patients will receive a double-blinded single daily 64 mg dose of roluperidone or placebo. The FDA advised that, to support a monotherapy indication, it would be necessary to assess relapses on an observational basis for at least 52 weeks, in patients treated in monotherapy with roluperidone, placebo or antipsychotics. The FDA also stated that it would consider a resubmission of the NDA that included a double-blind, placebo- or active-controlled trial of roluperidone with a duration of at least 52 weeks with the efficacy primary endpoint at week 12.</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March 31, 2026, the Company announced that the first patient had been screened in the C19 trial. The trial is designed to enroll 380 patients, randomized on a 1:1 basis to receive either placebo or a double-blinded single daily 64 mg dose of roluperidone. The primary efficacy endpoint is expected to be the change from baseline in the PANSS Marder negative symptoms factor score (“NSFS”) at 12 weeks of treatment with roluperidone compared to placebo. Following the initial 12-week treatment period, patients are expected to enter a 40-week relapse assessment phase, during which patients will crossover to receive either a daily 64 mg dose of roluperidone or antipsychotics. The Company expects topline efficacy results in the second half of 2027 and relapse assessment data in the second half of 2028.</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the Company previously co-developed seltorexant with Janssen Pharmaceutica NV (“Janssen”), a subsidiary of Johnson &amp; Johnson, for the treatment of insomnia disorder and adjunctive treatment of Major Depressive Disorder (“MDD”). As a result of the Company’s collaboration with Janssen, it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a $60 million cash payment and up to an additional $95 million in potential future milestone payments, subject to completion of Phase 3 trials by Janssen and regulatory approvals. To the Company’s knowledge, Janssen is currently recruiting patients under a Phase 3 trial with seltorexant.</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March 31, 2026, the Company had an accumulated deficit of approximately $814.2 million and net cash used in operating activities was approximately $5.4 million during the three months ended March 31, 2026. Management expects to continue to incur operating losses and negative cash flows from operations in the future. The Company has financed its operations to date from proceeds from the sale of convertible preferred stock, common stock, warrants, loans, convertible promissory notes, collaboration agreements and royalty sales.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ind w:right="20"/>
        <w:spacing w:after="0" w:line="255" w:lineRule="auto"/>
        <w:rPr>
          <w:sz w:val="20"/>
          <w:szCs w:val="20"/>
          <w:color w:val="auto"/>
        </w:rPr>
      </w:pPr>
      <w:r>
        <w:rPr>
          <w:rFonts w:ascii="Times New Roman" w:cs="Times New Roman" w:eastAsia="Times New Roman" w:hAnsi="Times New Roman"/>
          <w:sz w:val="18"/>
          <w:szCs w:val="18"/>
          <w:color w:val="auto"/>
        </w:rPr>
        <w:t>As of March 31, 2026, the Company had cash, cash equivalents, marketable securities and restricted cash of $78.2 million. The Company believes that this amount will be sufficient to meet the Company’s operating commitments for at least twelve months from the date that its interim condensed financial statements are issued. On October 23, 2025, the Company completed a private placement of preferred stock and warrants for up to $200 million in gross proceeds, before deducting placement agent fees and other expenses, through a private placement that included an initial upfront funding of $80 million in gross proceeds in exchange for 80,000 shares of the Company’s Series A convertible preferred stock, and up to an additional $80 million in gross proceeds if all 80,000 Tranche A warrants are exercised, subject to the terms and conditions specified therein. Additional proceeds of $40 million may be received in connection with cash exercise of all 40,000 Tranche B warrants upon the achievement of a milestone event.</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net proceeds of this private placement is being used to finance the confirmatory Phase 3 trial of roluperidone, preparation and resubmission of its NDA, the readiness of the commercial launch of roluperidone in the U.S., if approved, and for working capital and general corporate purposes.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are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March 31, 2026, the results of operations for the three months ended March 31, 2026 and 2025 and cash flows for the three months ended March 31, 2026 and 2025. The results of operations for the three months ended March 31, 2026 are not necessarily indicative of the results to be expected for the full year. The consolidated balance sheet as of December 31, 2025 was derived from the audited annual financial statements. The accompanying unaudited condensed consolidated financial statements and notes thereto should be read in conjunction with the audited consolidated financial statements for the year ended December 31, 2025 included in the Company’s Annual Report on Form 10-K filed with the SEC on March 11, 2026.</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Marketable securities consists of U.S. treasury securities, commercial paper, and corporate debt securities maturing in eleven months or less. Based on the Company’s intentions regarding its marketable securities, all marketable securities are classified as held-to-maturity and are carried under the amortized cost approach. The Company’s investments in U.S. treasury securities are classified as Level 1 within the fair value hierarchy and it’s investments in commercial paper and corporate debt securities are classified as Level 2. As of March 31, 2026, remaining final maturities of marketable securities ranged from June 2026 to March 2027, with a weighted average remaining maturity of approximately seven months. The Company did not hold any marketable securities as of December 31, 2025. The following table provides the amortized cost basis, unrealized gains/(losses) and the fair value of investments in held-to-maturity securities as of March 31, 2026: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20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2,007,391</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2,006,660</w:t>
            </w:r>
          </w:p>
        </w:tc>
        <w:tc>
          <w:tcPr>
            <w:tcW w:w="100" w:type="dxa"/>
            <w:vAlign w:val="bottom"/>
          </w:tcPr>
          <w:p>
            <w:pPr>
              <w:spacing w:after="0"/>
              <w:rPr>
                <w:sz w:val="18"/>
                <w:szCs w:val="18"/>
                <w:color w:val="auto"/>
              </w:rPr>
            </w:pPr>
          </w:p>
        </w:tc>
      </w:tr>
      <w:tr>
        <w:trPr>
          <w:trHeight w:val="216"/>
        </w:trPr>
        <w:tc>
          <w:tcPr>
            <w:tcW w:w="3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40,933,295</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(69,328)</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40,863,967</w:t>
            </w:r>
          </w:p>
        </w:tc>
        <w:tc>
          <w:tcPr>
            <w:tcW w:w="100" w:type="dxa"/>
            <w:vAlign w:val="bottom"/>
            <w:shd w:val="clear" w:color="auto" w:fill="CFF0FC"/>
          </w:tcPr>
          <w:p>
            <w:pPr>
              <w:spacing w:after="0"/>
              <w:rPr>
                <w:sz w:val="18"/>
                <w:szCs w:val="18"/>
                <w:color w:val="auto"/>
              </w:rPr>
            </w:pPr>
          </w:p>
        </w:tc>
      </w:tr>
      <w:tr>
        <w:trPr>
          <w:trHeight w:val="216"/>
        </w:trPr>
        <w:tc>
          <w:tcPr>
            <w:tcW w:w="3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2,464,440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2,457,950</w:t>
            </w:r>
          </w:p>
        </w:tc>
        <w:tc>
          <w:tcPr>
            <w:tcW w:w="10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45,405,126</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(76,549)</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45,328,577</w:t>
            </w:r>
          </w:p>
        </w:tc>
        <w:tc>
          <w:tcPr>
            <w:tcW w:w="100" w:type="dxa"/>
            <w:vAlign w:val="bottom"/>
            <w:shd w:val="clear" w:color="auto" w:fill="CFF0FC"/>
          </w:tcPr>
          <w:p>
            <w:pPr>
              <w:spacing w:after="0"/>
              <w:rPr>
                <w:sz w:val="19"/>
                <w:szCs w:val="19"/>
                <w:color w:val="auto"/>
              </w:rPr>
            </w:pPr>
          </w:p>
        </w:tc>
      </w:tr>
      <w:tr>
        <w:trPr>
          <w:trHeight w:val="20"/>
        </w:trPr>
        <w:tc>
          <w:tcPr>
            <w:tcW w:w="3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-24765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-7620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$0.1 million at each of March 31, 2026 and December 31, 2025.</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Deferred offering costs consist of legal, accounting and other direct costs incurred in connection with the Company’s registration statement on Form S-3 (File No. 333-294203), which was declared effective by the SEC on March 19, 2026. These costs have been capitalized and will be offset against the proceeds of any future offering under the registration statement. If no offering is completed, such costs will be expensed.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conjunction with the issuance of Series A Preferred Stock and Preferred Tranche A and Tranche B Warrants, the Company established a warrant liability as of October 23, 2025, representing the fair value of the warrants issued, which was determined using a binomial valuation model. The Company accounts for these warrants as liabilities in accordance with Financial Accounting Standards Board (“FASB”) Accounting Standards Codification (“ASC”) 480, Distinguishing Liabilities from Equity, due to the Fundamental Transaction provisions contained and defined in both the Tranche A and Tranche B Warrants, as such provisions do not distinguish between transactions that are within the Company’s control and those that are not. Specifically, if, at any time while the warrants are outstanding, the Company shall enter into or be party to a Fundamental Transaction, then the Company (or the successor entity) shall purchase all outstanding warrants from the holders by paying to the holders cash in an amount equal to the Black Scholes Value of the remaining unexercised portion of each warrant on the effective date of such Fundamental Transaction. As such, the warrant liability was initially measured at fair value and is remeasured at fair value at each reporting date, with changes in fair value recognized in earnings. The warrant liability is measured using Level 3 inputs within the fair value hierarchy. See Note 7 for additional information regarding the warrant liability and related valuation assumptions.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7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Level 2 —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as of March 31, 2026 and December 31, 2025, measured at fair value on a recurring basis and indicates the fair value hierarchy of the valuation techniques the Company utilized to determine such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9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24,701,228</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24,701,228</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2,007,391</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2,007,391</w:t>
            </w: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40,933,295</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40,933,295</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2,464,440</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2,464,440</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278,596,901</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278,596,901</w:t>
            </w:r>
          </w:p>
        </w:tc>
        <w:tc>
          <w:tcPr>
            <w:tcW w:w="100" w:type="dxa"/>
            <w:vAlign w:val="bottom"/>
            <w:shd w:val="clear" w:color="auto" w:fill="CFF0FC"/>
          </w:tcPr>
          <w:p>
            <w:pPr>
              <w:spacing w:after="0"/>
              <w:rPr>
                <w:sz w:val="18"/>
                <w:szCs w:val="18"/>
                <w:color w:val="auto"/>
              </w:rPr>
            </w:pPr>
          </w:p>
        </w:tc>
      </w:tr>
      <w:tr>
        <w:trPr>
          <w:trHeight w:val="365"/>
        </w:trPr>
        <w:tc>
          <w:tcPr>
            <w:tcW w:w="3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9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79,327,870</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79,327,870</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171,464,575</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171,464,575</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marketable securities, restricted cash, accounts payable, accrued expenses, warrant liability and liabilities related to the sale of future royalties. The carrying amounts of cash and cash equivalents, restricted cash, accounts payable, and accrued expenses approximate fair value because of their short-term nature. See Note 7 for additional information regarding the warrant liability and related valuation assumptions.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(business activity from which it earns revenue and incurs expenses) about which discrete financial information is available and regularly reviewed by the chief operating decision maker (“CODM”) in deciding how to allocate resources and in assessing performance. The Company’s CODM is the Chief Executive Officer. The CODM evaluates performance of the segments based on net income (loss). The CODM also reviews operating results and previously forecasted financial information to make decisions about allocating resources and assessing performance for the entire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 w:name="page12"/>
    <w:bookmarkEnd w:id="11"/>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operations are organized into one operating and one reportable segment focused on the development and commercialization of roluperidone. The one operating segment is managed on a consolidated basis. The operating segment’s revenue would be generated from commercial sales or license agreements of roluperidone, however, roluperidone has not been approved for commercialization and the Company has not received any revenue in connection with the sale or license of roluperidone. Furthermore, except for most of Asia, the Company has global commercialization rights for roluperidone.</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CODM does not evaluate operating segments using asset or liability information and therefore it is not disclosed. The following table summarizes the reportable segment’s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8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staff related expenses </w:t>
            </w:r>
            <w:r>
              <w:rPr>
                <w:rFonts w:ascii="Times New Roman" w:cs="Times New Roman" w:eastAsia="Times New Roman" w:hAnsi="Times New Roman"/>
                <w:sz w:val="24"/>
                <w:szCs w:val="24"/>
                <w:color w:val="auto"/>
                <w:vertAlign w:val="superscript"/>
              </w:rPr>
              <w:t>(1)</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510,229</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465,991</w:t>
            </w:r>
          </w:p>
        </w:tc>
        <w:tc>
          <w:tcPr>
            <w:tcW w:w="120" w:type="dxa"/>
            <w:vAlign w:val="bottom"/>
          </w:tcPr>
          <w:p>
            <w:pPr>
              <w:spacing w:after="0"/>
              <w:rPr>
                <w:sz w:val="18"/>
                <w:szCs w:val="18"/>
                <w:color w:val="auto"/>
              </w:rPr>
            </w:pPr>
          </w:p>
        </w:tc>
      </w:tr>
      <w:tr>
        <w:trPr>
          <w:trHeight w:val="216"/>
        </w:trPr>
        <w:tc>
          <w:tcPr>
            <w:tcW w:w="628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External research and development costs </w:t>
            </w:r>
            <w:r>
              <w:rPr>
                <w:rFonts w:ascii="Times New Roman" w:cs="Times New Roman" w:eastAsia="Times New Roman" w:hAnsi="Times New Roman"/>
                <w:sz w:val="24"/>
                <w:szCs w:val="24"/>
                <w:color w:val="auto"/>
                <w:vertAlign w:val="superscript"/>
              </w:rPr>
              <w:t>(2)</w:t>
            </w:r>
          </w:p>
        </w:tc>
        <w:tc>
          <w:tcPr>
            <w:tcW w:w="1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3,935,275</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794,420</w:t>
            </w:r>
          </w:p>
        </w:tc>
        <w:tc>
          <w:tcPr>
            <w:tcW w:w="120" w:type="dxa"/>
            <w:vAlign w:val="bottom"/>
            <w:shd w:val="clear" w:color="auto" w:fill="CFF0FC"/>
          </w:tcPr>
          <w:p>
            <w:pPr>
              <w:spacing w:after="0"/>
              <w:rPr>
                <w:sz w:val="18"/>
                <w:szCs w:val="18"/>
                <w:color w:val="auto"/>
              </w:rPr>
            </w:pPr>
          </w:p>
        </w:tc>
      </w:tr>
      <w:tr>
        <w:trPr>
          <w:trHeight w:val="216"/>
        </w:trPr>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 stock compensation expenses (non-cash)</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737,937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99,699</w:t>
            </w:r>
          </w:p>
        </w:tc>
        <w:tc>
          <w:tcPr>
            <w:tcW w:w="120" w:type="dxa"/>
            <w:vAlign w:val="bottom"/>
          </w:tcPr>
          <w:p>
            <w:pPr>
              <w:spacing w:after="0"/>
              <w:rPr>
                <w:sz w:val="18"/>
                <w:szCs w:val="18"/>
                <w:color w:val="auto"/>
              </w:rPr>
            </w:pPr>
          </w:p>
        </w:tc>
      </w:tr>
      <w:tr>
        <w:trPr>
          <w:trHeight w:val="216"/>
        </w:trPr>
        <w:tc>
          <w:tcPr>
            <w:tcW w:w="628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staff related expenses </w:t>
            </w:r>
            <w:r>
              <w:rPr>
                <w:rFonts w:ascii="Times New Roman" w:cs="Times New Roman" w:eastAsia="Times New Roman" w:hAnsi="Times New Roman"/>
                <w:sz w:val="24"/>
                <w:szCs w:val="24"/>
                <w:color w:val="auto"/>
                <w:vertAlign w:val="superscript"/>
              </w:rPr>
              <w:t>(1)</w:t>
            </w:r>
          </w:p>
        </w:tc>
        <w:tc>
          <w:tcPr>
            <w:tcW w:w="1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1,677,888</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942,631</w:t>
            </w:r>
          </w:p>
        </w:tc>
        <w:tc>
          <w:tcPr>
            <w:tcW w:w="120" w:type="dxa"/>
            <w:vAlign w:val="bottom"/>
            <w:shd w:val="clear" w:color="auto" w:fill="CFF0FC"/>
          </w:tcPr>
          <w:p>
            <w:pPr>
              <w:spacing w:after="0"/>
              <w:rPr>
                <w:sz w:val="18"/>
                <w:szCs w:val="18"/>
                <w:color w:val="auto"/>
              </w:rPr>
            </w:pPr>
          </w:p>
        </w:tc>
      </w:tr>
      <w:tr>
        <w:trPr>
          <w:trHeight w:val="216"/>
        </w:trPr>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 stock compensation expenses (non-cash)</w:t>
            </w:r>
          </w:p>
        </w:tc>
        <w:tc>
          <w:tcPr>
            <w:tcW w:w="1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7,972,365</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197,530</w:t>
            </w:r>
          </w:p>
        </w:tc>
        <w:tc>
          <w:tcPr>
            <w:tcW w:w="120" w:type="dxa"/>
            <w:vAlign w:val="bottom"/>
          </w:tcPr>
          <w:p>
            <w:pPr>
              <w:spacing w:after="0"/>
              <w:rPr>
                <w:sz w:val="18"/>
                <w:szCs w:val="18"/>
                <w:color w:val="auto"/>
              </w:rPr>
            </w:pPr>
          </w:p>
        </w:tc>
      </w:tr>
      <w:tr>
        <w:trPr>
          <w:trHeight w:val="209"/>
        </w:trPr>
        <w:tc>
          <w:tcPr>
            <w:tcW w:w="6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14,833,694</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2,500,271</w:t>
            </w:r>
          </w:p>
        </w:tc>
        <w:tc>
          <w:tcPr>
            <w:tcW w:w="12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Other segment expense, net </w:t>
            </w:r>
            <w:r>
              <w:rPr>
                <w:rFonts w:ascii="Times New Roman" w:cs="Times New Roman" w:eastAsia="Times New Roman" w:hAnsi="Times New Roman"/>
                <w:sz w:val="24"/>
                <w:szCs w:val="24"/>
                <w:b w:val="1"/>
                <w:bCs w:val="1"/>
                <w:color w:val="auto"/>
                <w:vertAlign w:val="superscript"/>
              </w:rPr>
              <w:t>(3)</w:t>
            </w:r>
          </w:p>
        </w:tc>
        <w:tc>
          <w:tcPr>
            <w:tcW w:w="1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1,837,858</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1,402,613</w:t>
            </w:r>
          </w:p>
        </w:tc>
        <w:tc>
          <w:tcPr>
            <w:tcW w:w="120" w:type="dxa"/>
            <w:vAlign w:val="bottom"/>
          </w:tcPr>
          <w:p>
            <w:pPr>
              <w:spacing w:after="0"/>
              <w:rPr>
                <w:sz w:val="18"/>
                <w:szCs w:val="18"/>
                <w:color w:val="auto"/>
              </w:rPr>
            </w:pPr>
          </w:p>
        </w:tc>
      </w:tr>
      <w:tr>
        <w:trPr>
          <w:trHeight w:val="209"/>
        </w:trPr>
        <w:tc>
          <w:tcPr>
            <w:tcW w:w="6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16,671,552</w:t>
            </w:r>
          </w:p>
        </w:tc>
        <w:tc>
          <w:tcPr>
            <w:tcW w:w="3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3,902,884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(16,671,552)</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(3,902,884)</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1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exchange (losses) gains</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(1,804)</w:t>
            </w:r>
          </w:p>
        </w:tc>
        <w:tc>
          <w:tcPr>
            <w:tcW w:w="3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(8,376)</w:t>
            </w:r>
          </w:p>
        </w:tc>
      </w:tr>
      <w:tr>
        <w:trPr>
          <w:trHeight w:val="216"/>
        </w:trPr>
        <w:tc>
          <w:tcPr>
            <w:tcW w:w="6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income</w:t>
            </w:r>
          </w:p>
        </w:tc>
        <w:tc>
          <w:tcPr>
            <w:tcW w:w="1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629,602</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158,288</w:t>
            </w:r>
          </w:p>
        </w:tc>
        <w:tc>
          <w:tcPr>
            <w:tcW w:w="120" w:type="dxa"/>
            <w:vAlign w:val="bottom"/>
            <w:shd w:val="clear" w:color="auto" w:fill="CFF0FC"/>
          </w:tcPr>
          <w:p>
            <w:pPr>
              <w:spacing w:after="0"/>
              <w:rPr>
                <w:sz w:val="18"/>
                <w:szCs w:val="18"/>
                <w:color w:val="auto"/>
              </w:rPr>
            </w:pPr>
          </w:p>
        </w:tc>
      </w:tr>
      <w:tr>
        <w:trPr>
          <w:trHeight w:val="216"/>
        </w:trPr>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 fair value of the warrant liability</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(109,360,630)</w:t>
            </w:r>
          </w:p>
        </w:tc>
        <w:tc>
          <w:tcPr>
            <w:tcW w:w="3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(125,404,384)</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(3,752,972)</w:t>
            </w: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-864870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40" w:hanging="35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related expenses consist of salary, bonus, accrued settlement payments, and fringe benefits.</w:t>
      </w:r>
    </w:p>
    <w:p>
      <w:pPr>
        <w:spacing w:after="0" w:line="27"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primarily consist of the C19 trial costs and consultant fees in 2026 and consultant fees in 2025.</w:t>
      </w:r>
    </w:p>
    <w:p>
      <w:pPr>
        <w:spacing w:after="0" w:line="9"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 net primarily consists of insurance, consultant, audit, legal, board, facilities, travel, and membership fees.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and are adopted by the Company as of the specified effective date.</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standard requires public business entities to disclose detailed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types of expenses that are relevant to certain line items on the income statement. This update is effective for us for annual periods beginning in our fiscal year ending December 31, 2027, and interim periods beginning in the first quarter of our fiscal year ending December 31, 2028. Early adoption is permitted. We are currently evaluating the impact that this update will have on our financial statement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 and other accrued expenses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680,597</w:t>
            </w:r>
          </w:p>
        </w:tc>
        <w:tc>
          <w:tcPr>
            <w:tcW w:w="5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1,013,200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504,777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637,566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Accrued settlement payment</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782,115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355,729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Vacation pay</w:t>
            </w: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40,750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2,363,968</w:t>
            </w:r>
          </w:p>
        </w:tc>
        <w:tc>
          <w:tcPr>
            <w:tcW w:w="5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1,650,766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-170815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380"/>
        <w:spacing w:after="0"/>
        <w:tabs>
          <w:tab w:leader="none" w:pos="720" w:val="left"/>
        </w:tabs>
        <w:rPr>
          <w:sz w:val="20"/>
          <w:szCs w:val="20"/>
          <w:color w:val="auto"/>
        </w:rPr>
      </w:pPr>
      <w:r>
        <w:rPr>
          <w:rFonts w:ascii="Times New Roman" w:cs="Times New Roman" w:eastAsia="Times New Roman" w:hAnsi="Times New Roman"/>
          <w:sz w:val="18"/>
          <w:szCs w:val="18"/>
          <w:color w:val="auto"/>
        </w:rPr>
        <w:t>(1)</w:t>
        <w:tab/>
        <w:t>Accrued payment related to Geoffrey Race’s settlement agreement. See Note 10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NET LOSS PER SHARE OF COMMON STOCK</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Diluted loss per share is the same as basic loss per share for all periods presented as the effects of potentially dilutive items were anti-dilutive given the Company’s net loss. Basic loss per share is computed by dividing the net loss by the weighted average number of shares of common stock outstanding, plus potential outstanding common stock for the period. Potential outstanding common stock includes stock options and warrants, but only to the extent that their inclusion is dilutive. Performance-based restricted stock units are excluded from the calculation of dilutive potential common shares until the performance conditions have been achieved on the basis of the assumption that the end of the reporting period was the end of the contingency period, if such issuable shares are dilutive.</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June 2023, in connection with a private placement, the Company issued and sold pre-funded warrants exercisable for an aggregate of 575,575 shares of common stock. The purchase price of the pre-funded warrants was $9.99 per share, which was paid to the Company upon issuance of the pre-funded warrants. The exercise price of the pre-funded warrants is $0.01 per share. The pre-funded warrants are exercisable by the holders at any time and do not expire. As the remaining shares underlying the pre-funded warrants are issuable for nominal consideration of $0.01 per share, 575,575 shares of common stock underlying the unexercised pre-funded warrants were considered outstanding for purposes of the calculation of loss per share as of March 31, 2026 and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 for common stockholders: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(125,404,384)</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(3,752,972)</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43,900,426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(0.50)</w:t>
            </w: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securities outstanding at March 31, 2026 and 2025 have been excluded from the calculation of weighted average shares outstanding as their effect on the calculation of loss per share is antidilutive:</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364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340" w:type="dxa"/>
            <w:vAlign w:val="bottom"/>
          </w:tcPr>
          <w:p>
            <w:pPr>
              <w:spacing w:after="0"/>
              <w:rPr>
                <w:sz w:val="12"/>
                <w:szCs w:val="12"/>
                <w:color w:val="auto"/>
              </w:rPr>
            </w:pPr>
          </w:p>
        </w:tc>
        <w:tc>
          <w:tcPr>
            <w:tcW w:w="166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8,985,678</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1,486,297</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217,495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8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Series A preferred stock </w:t>
            </w:r>
            <w:r>
              <w:rPr>
                <w:rFonts w:ascii="Times New Roman" w:cs="Times New Roman" w:eastAsia="Times New Roman" w:hAnsi="Times New Roman"/>
                <w:sz w:val="24"/>
                <w:szCs w:val="24"/>
                <w:color w:val="auto"/>
                <w:vertAlign w:val="superscript"/>
              </w:rPr>
              <w:t>(1)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1,559,008</w:t>
            </w:r>
          </w:p>
        </w:tc>
        <w:tc>
          <w:tcPr>
            <w:tcW w:w="26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Series A preferred stock warrants</w:t>
            </w:r>
            <w:r>
              <w:rPr>
                <w:rFonts w:ascii="Times New Roman" w:cs="Times New Roman" w:eastAsia="Times New Roman" w:hAnsi="Times New Roman"/>
                <w:sz w:val="24"/>
                <w:szCs w:val="24"/>
                <w:color w:val="auto"/>
                <w:vertAlign w:val="superscript"/>
              </w:rPr>
              <w:t>(2)</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56,192,400</w:t>
            </w:r>
          </w:p>
        </w:tc>
        <w:tc>
          <w:tcPr>
            <w:tcW w:w="2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1020" w:right="8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3,296 shares of Series A Preferred Stock remain outstanding, which are convertible into an aggregate of 1,559,008 shares of common stock, subject to the limitations on conversion set forth in the Certificate of Designation. See Note 6 for additional information regarding the Company’s Series A Preferred Stock. Shares of the Series A Preferred Stock are classified as temporary equity and excluded from the calculation of weighted average shares outstanding.</w:t>
      </w:r>
    </w:p>
    <w:p>
      <w:pPr>
        <w:spacing w:after="0" w:line="179"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there were outstanding (i) Preferred Tranche A Warrants to purchase an aggregate of 78,800 shares of the Company’s Series A Preferred Stock, which are convertible into 37,272,400 shares of its common stock and (ii) Preferred Tranche B Warrants to purchase an aggregate of 40,000 shares of the Company’s Series A Preferred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3" w:name="page14"/>
    <w:bookmarkEnd w:id="13"/>
    <w:p>
      <w:pPr>
        <w:ind w:left="1020"/>
        <w:spacing w:after="0" w:line="266" w:lineRule="auto"/>
        <w:rPr>
          <w:sz w:val="20"/>
          <w:szCs w:val="20"/>
          <w:color w:val="auto"/>
        </w:rPr>
      </w:pPr>
      <w:r>
        <w:rPr>
          <w:rFonts w:ascii="Times New Roman" w:cs="Times New Roman" w:eastAsia="Times New Roman" w:hAnsi="Times New Roman"/>
          <w:sz w:val="18"/>
          <w:szCs w:val="18"/>
          <w:color w:val="auto"/>
        </w:rPr>
        <w:t>which are convertible into 18,920,000 shares of its common stock. Both the Tranche A Warrants and Tranche B Warrants are subject to the limitations on conversion set forth in the Certificate of Designation. See Note 6 for additional information regarding the Company’s Series A Preferred Stock and Warrants.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SALE OF FUTURE ROYALTIES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had previously co-developed seltorexant with Janssen for the treatment of insomnia disorder and adjunctive treatment of MDD. During 2020, the Company exercised its right to opt out of the co-development and license agreement (the “Janssen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Royalty Pharma has recourse against the Company relating to payments due from Janssen and therefore, the Company is deemed to have significant continuing involvement. The Company has applied the debt recognition guidance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recorded the upfront payment of $60 million on the balance sheet as a liability related to the sale of future royalties (the “Royalty Obligation”)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will record any amortized interest expense and future milestone payments received from Royalty Pharma as well. No amounts received, including the initial upfront payment, amortized interest expense or potential milestone payments, are repayable to Royalty Pharma if Janssen discontinues the clinical development of seltorexant or ceases to pursue its commercialization at a future date for any reason. In accordance with ASC 470, the Company will account for any royalties received in the future as non-cash royalty revenue.</w:t>
      </w:r>
    </w:p>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royalties are remitted from Janssen to Royalty Pharma, the balance of the Royalty Obligation will be effectively repaid over the expected life of the Janssen Agreement. The $60 million payment received from Royalty Pharma and any potential future milestone payments from Royalty Pharma are recorded as part of the Royalty Obligation. The difference between the total expected royalties receivable from Janssen and the upfront and milestone payments potentially receivable from Royalty Pharma is being amortized as non-cash interest expense over the estimated remaining life of the Janssen Agreement. To determine the amount of non-cash interest to be amortized, the Company is required to make assumptions for the total amount of future royalty payments to be received from Janssen. At execution, the Company’s estimate of this total non-cash interest expense resulted in an effective annual interest rate of approximately 10.5%.</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regularly evaluates the assumptions supporting future royalty estimates and, during the third quarter of 2024, noted that Janssen announced on clinicaltrials.gov a further Phase 3 study with seltorexant (MDD3003) that had an estimated study completion date in November 2027, later updated to December 2026, which is a modification of the assumption used in the Company’s original estimates. Study MDD3001, which evaluated the efficacy and safety of seltorexant as an adjunctive treatment to baseline antidepressants in adult and elderly patients with MDD with insomnia symptoms, met all primary and secondary endpoints. MDD3002 was stopped based on the interim analysis results as recommended by the Independent Data Monitoring Committee. Janssen reported on September 22, 2025 that the MDD3005 study, in which seltorexant was evaluated against quetiapine, did not show statistical significance on the primary endpoint. MDD3003 is a study of adjunctive treatment with seltorexant in adult and elderly participants with MDD and insomnia symptoms and is currently recruiting.</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result, the Company revised its estimates for the timing and amount of future royalty payments to be earned over the life of the Janssen Agreement, which is less than the original carrying value of the upfront payment received. Therefore, under the retrospective interest model, during the third quarter of 2024 the Company adjusted the Royalty Obligation to the initial upfront payment received of $60 million and recognized $26.6 million as a component of Other Income, representing the amount of amortized non-cash interest expense through June 30, 2024. In addition, the Company does not expect to recognize non-cash interest expense in the future related to the Royalty Obligation, as the effective annual interest rate is negative.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REDEEMABLE PREFERRED STOCK AND STOCKHOLDERS’ DEFICIT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Series A Preferred Stock and Warrants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October 21, 2025, the Company entered into a securities purchase agreement (the “Securities Purchase Agreement”) with certain accredited investors, pursuant to which the Company agreed to issue and sell, in a private placement (the “Private Placement”), (i) 80,000 shares of Series A Convertible Preferred Stock, par value $0.0001 per share (“Series A Preferred Stock”), at a purchase price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14" w:name="page15"/>
    <w:bookmarkEnd w:id="14"/>
    <w:p>
      <w:pPr>
        <w:ind w:right="20"/>
        <w:spacing w:after="0" w:line="253" w:lineRule="auto"/>
        <w:rPr>
          <w:sz w:val="20"/>
          <w:szCs w:val="20"/>
          <w:color w:val="auto"/>
        </w:rPr>
      </w:pPr>
      <w:r>
        <w:rPr>
          <w:rFonts w:ascii="Times New Roman" w:cs="Times New Roman" w:eastAsia="Times New Roman" w:hAnsi="Times New Roman"/>
          <w:sz w:val="18"/>
          <w:szCs w:val="18"/>
          <w:color w:val="auto"/>
        </w:rPr>
        <w:t>of $1,000 per share, (ii) tranche A warrants (the “Preferred Tranche A Warrants”) to acquire shares of Series A Preferred Stock (the “Tranche A Warrant Shares”) and (iii) tranche B warrants (the “Preferred Tranche B Warrants,” together with the Preferred Tranche A Warrants, the “Preferred Warrants”) to acquire shares of Series A Preferred Stock for an aggregate offering price of up to $200 million. The Private Placement closed on October 23, 2025 (the “Closing Date”), pursuant to which the Company received aggregate gross proceeds of $80.0 million, before deducting placement agent fees, financial advisor fees, and other offering expenses. The Company incurred approximately $5.7 million in offering costs, including deferred issuance costs included within accounts payable as of March 31, 2026, resulting in net proceeds of approximately $74.3 million. $3.1 million of the offering costs were allocated to the Preferred Warrants, which are classified as liabilities, and expensed as incurred. $2.6 million of the offering costs attributable to the issuance of Series A Preferred Stock were recorded as a reduction of the carrying value of the Preferred Stock. On the Closing Date, the Company recorded a loss on issuance of convertible preferred stock and warrants of $321.5 million, reflecting the initial fair values of the Series A Preferred Stock of $184.6 million and the warrants of $216.9 million, offset by $80.0 million in gross proceeds received from investors. The value of the Series A Preferred Stock at issuance was determined based on the contractual conversion ratio multiplied by the closing price of the Company’s common stock on the Closing Date. See Note 7 for additional information regarding the warrant liability and related valuation assumptions.</w:t>
      </w:r>
    </w:p>
    <w:p>
      <w:pPr>
        <w:spacing w:after="0" w:line="1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December 23, 2025, following the announcement of the stockholders’ approval of the issuance of common stock issuable upon conversion of the Series A Preferred Stock, the Company issued an aggregate of 36,280,992 shares of common stock upon the automatic conversion of an aggregate of 76,704 shares of Series A Preferred Stock in accordance with the terms set forth in the Certificate of Designation of Preferences, Rights and Limitations of the Series A Convertible Voting Preferred Stock (the “Certificate of Designation”). As of March 31, 2026, an aggregate of 3,296 shares of Series A Preferred Stock remain outstanding, which are convertible into an aggregate of 1,559,008 shares of common stock, subject to the limitations on conversion set forth in the Certificate of Designation. Each share of Series A Preferred Stock automatically converted into the number of shares of common stock at the conversion price of $2.11 per share, rounded down to the nearest whole share, subject to the terms and limitations contained in the Certificate of Designation, including that shares of Series A Preferred Stock shall not be convertible if the conversion would result in a holder beneficially owning more than 9.99% (the “Beneficial Ownership Limitation”) of the Company’s outstanding shares of common stock as of the applicable conversion date. By written notice to the Company, the holder may from time to time increase or decrease the Beneficial Ownership Limitation to any other percentage not in excess of 19.99% specified in such notice; provided, that any increase in the Beneficial Ownership Limitation will not be effective until the 61st day after such notice is delivered to the Company.</w:t>
      </w:r>
    </w:p>
    <w:p>
      <w:pPr>
        <w:spacing w:after="0" w:line="19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Preferred Tranche A Warrant has an exercise price of $1,000 and may only be exercised for cash. The Preferred Tranche A Warrants are immediately exercisable upon issuance for an aggregate of 80,000 shares of Series A Preferred Stock for an aggregate cash exercise price of up to $80 million until the tenth day following the date of the Company’s public announcement that it has achieved, on a statistically significant basis, the primary endpoint of its Phase 3 confirmatory trial of roluperidone in schizophrenia at the 12-week timepoint (the “Milestone Event”). As of March 31, 2026, an aggregate of 78,800 Preferred Tranche A Warrants remaining outstanding.</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Each Preferred Tranche B Warrant has an exercise price of $1,000 and may be exercised by a cashless exercise. The Preferred Tranche B Warrants are exercisable for an aggregate of 40,000 shares of Series A Preferred Stock for an aggregate cash exercise price of up to $40 million commencing on the earlier of (i) the Company’s public announcement of the Milestone Event and (ii) the three year anniversary of the Closing Date. The Preferred Tranche B Warrants will expire on the four (4)-year anniversary of the Closing Date. As of March 31, 2026, an aggregate of 40,000 Preferred Tranche B Warrants remaining outstanding.</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Preferred Warrants are subject to forfeiture in the event the applicable holder engages in any Short Sales (as defined in the Securities Purchase Agreement) involving the Company’s securities during the 48-months period following the Closing Date. In addition, the shares of common stock and/or Series A Preferred Stock, as applicable, underlying the Preferred Tranche B Warrants are subject to reduction if the applicable holder sells or transfers any shares of Series A Preferred Stock or shares of common stock received upon conversion of the Series A Preferred Stock before the Exercisability Date (as defined therein), except to affiliates for no consideration.</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Certificate of Designation, no fractional shares or scrip representing fractional shares of common stock shall be issued upon the conversion of the Series A Preferred Stock. All fractional shares shall be rounded down to the nearest whole shares of common stock. Holders of Series A Preferred Stock are not entitled to receive any dividends except to the extent that dividends are paid on the Company’s common stock. If dividends are paid on shares of common stock, holders of Series A Preferred Stock are entitled to participate in such dividends on an as-converted basis. Upon the liquidation, dissolution, or winding up of the Company, each holder of Series A Preferred Stock will participate pari passu with any distribution of proceeds to holders of common stock. Holders of the Series A Preferred Stock are entitled to vote together with the holders of common stock on an as-if-converted basis on all matters submitted to a vote of stockholders.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5" w:name="page16"/>
    <w:bookmarkEnd w:id="15"/>
    <w:p>
      <w:pPr>
        <w:ind w:right="160"/>
        <w:spacing w:after="0" w:line="261" w:lineRule="auto"/>
        <w:rPr>
          <w:sz w:val="20"/>
          <w:szCs w:val="20"/>
          <w:color w:val="auto"/>
        </w:rPr>
      </w:pPr>
      <w:r>
        <w:rPr>
          <w:rFonts w:ascii="Times New Roman" w:cs="Times New Roman" w:eastAsia="Times New Roman" w:hAnsi="Times New Roman"/>
          <w:sz w:val="18"/>
          <w:szCs w:val="18"/>
          <w:color w:val="auto"/>
        </w:rPr>
        <w:t>Pursuant to the Securities Purchase Agreement, the Company filed a registration statement on Form S-3 (File No. 333-292410), which was declared effective by the SEC on January 6, 2026, covering the resale of the Registrable Securities (as such term is defined in the Securities Purchase Agreement). The Company has agreed to take all steps necessary to keep such registration statement effective at all times until all Registrable Shares have been resold, or there remains no Registrable Shares.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Series A Preferred Stock was classified as temporary equity. Pursuant to the Certificate of Designation, in the event of any voluntary or involuntary liquidation, dissolution or winding up of the Company, including a change of control transaction, or Deemed Liquidation Event (any such event, a “Liquidation”), the assets of the Company available for distribution to its stockholders shall be distributed among the holders of the shares of Series A Preferred Stock and Common Stock, pro rata based on the number of shares held by each such holder, treating for this purpose all shares of Series A Preferred Stock as if they had been converted to Common Stock pursuant to the terms of the Certificate of Designation immediately prior to such Liquidation, without regard to any limitations on conversion set forth in the Certificate of Designation or otherwise. However, there will be no Liquidation Preference on the shares of Series A Preferred Stock.</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March 2026, 1,200 Preferred Tranche A Warrants were exercised at an exercise price of $1,000 per share, resulting in total proceeds of $1,200,000 to the Company. The warrants were converted into Series A Preferred Stock, which were immediately converted into 567,600 shares of the Company’s common stock. Following these exercises, 78,800 Preferred Tranche A Warrants remain outstanding.</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100,000,000 shares of preferred stock, $0.0001 par value per share, including 200,000 shares of Series A Preferred Stock, $0.0001 par value per share. No preferred shares were issued or outstanding as of March 31, 2026 and December 31, 2025, other than shares of the Series A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WARRANT LIABILITY</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conjunction with the issuance of Series A Preferred Stock and Preferred Tranche A and Tranche B Warrants (the “Warrants”) as described in Note 6, the Company established a warrant liability.</w:t>
      </w:r>
    </w:p>
    <w:p>
      <w:pPr>
        <w:spacing w:after="0" w:line="16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 Warrants meet the definition of freestanding instruments and are classified as liabilities in accordance with ASC 480, </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Warrants were initially recognized at fair value and are subject to remeasurement at each balance sheet date after issuance. Any change in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is recognized as a component of other income (expense) in the statements of operations in the period of change. For the three months ended March 31, 2026 and 2025, the Company recognized a $109.4 million loss and no gain or loss, respectively, related to changes in the fair value of the warrant liability, which is included in other income (expense) in the statements of operations. In addition to the valuation inputs described below, there is an indirect relationship between the Company’s share price and the fair value of the warrant liability, whereby changes in the share price influence the valuation model used to determine fair value.</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fair value of the warrants is estimated using a binomial 2-node model in combination with the Black-Scholes Option Pricing Model using unobservable (Level 3) inputs that reflect the Company’s own assumptions, as described in Note 2. The significant unobservable inputs include the expected timing of the Milestone Event, the probability of the Milestone Event being successfully achieved, and the value of the Series A Preferred Stock upon the success or failure of the Milestone Event. Significant increases (decreases) in any of the inputs in isolation would result in a significantly higher (lower) fair value measurement.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table below summarizes the valuation inputs used in the binomial model for the liability associated with the Warrants at March 31, 2026: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Tranche A Warrants</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Tranche B Warrants</w:t>
            </w:r>
          </w:p>
        </w:tc>
        <w:tc>
          <w:tcPr>
            <w:tcW w:w="180" w:type="dxa"/>
            <w:vAlign w:val="bottom"/>
          </w:tcPr>
          <w:p>
            <w:pPr>
              <w:spacing w:after="0"/>
              <w:rPr>
                <w:sz w:val="12"/>
                <w:szCs w:val="12"/>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Scenario 1: Milestone Successfully Achieved</w:t>
            </w:r>
          </w:p>
        </w:tc>
        <w:tc>
          <w:tcPr>
            <w:tcW w:w="7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period between valuation date and Milestone Event</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Risk-neutral probability of Milestone Event achievement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48.00%</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Probability-weighted present value of the Series A Preferred Warrants</w:t>
            </w:r>
          </w:p>
        </w:tc>
        <w:tc>
          <w:tcPr>
            <w:tcW w:w="9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2,264.20</w:t>
            </w:r>
          </w:p>
        </w:tc>
        <w:tc>
          <w:tcPr>
            <w:tcW w:w="3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2,375.40</w:t>
            </w:r>
          </w:p>
        </w:tc>
        <w:tc>
          <w:tcPr>
            <w:tcW w:w="18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Scenario 2: Milestone Not Achieved</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Time period between valuation date and Milestone Event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Risk-neutral probability of Milestone Event achievement</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52.00%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52.00%</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Probability-weighted present value of the Series A Preferred Warrants</w:t>
            </w:r>
          </w:p>
        </w:tc>
        <w:tc>
          <w:tcPr>
            <w:tcW w:w="7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3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8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Series A Warrants</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2,307.70</w:t>
            </w:r>
          </w:p>
        </w:tc>
        <w:tc>
          <w:tcPr>
            <w:tcW w:w="3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2,418.80</w:t>
            </w:r>
          </w:p>
        </w:tc>
        <w:tc>
          <w:tcPr>
            <w:tcW w:w="1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valuation inputs used in the binomial model for the liability associated with the Warrants at December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1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2"/>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Tranche A Warrants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Tranche B Warrants</w:t>
            </w:r>
          </w:p>
        </w:tc>
        <w:tc>
          <w:tcPr>
            <w:tcW w:w="180" w:type="dxa"/>
            <w:vAlign w:val="bottom"/>
          </w:tcPr>
          <w:p>
            <w:pPr>
              <w:spacing w:after="0"/>
              <w:rPr>
                <w:sz w:val="12"/>
                <w:szCs w:val="12"/>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Scenario 1: Milestone Successfully Achieved</w:t>
            </w:r>
          </w:p>
        </w:tc>
        <w:tc>
          <w:tcPr>
            <w:tcW w:w="7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period between valuation date and Milestone Event</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Risk-neutral probability of Milestone Event achievement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49.00%</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Probability-weighted present value of the Series A Preferred Warrants</w:t>
            </w:r>
          </w:p>
        </w:tc>
        <w:tc>
          <w:tcPr>
            <w:tcW w:w="9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1,360.60</w:t>
            </w:r>
          </w:p>
        </w:tc>
        <w:tc>
          <w:tcPr>
            <w:tcW w:w="3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1,500.60</w:t>
            </w:r>
          </w:p>
        </w:tc>
        <w:tc>
          <w:tcPr>
            <w:tcW w:w="18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Scenario 2: Milestone Not Achieved</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Time period between valuation date and Milestone Event</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Risk-neutral probability of Milestone Event achievement</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51.00%</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51.00%</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Probability-weighted present value of the Series A Preferred Warrants</w:t>
            </w:r>
          </w:p>
        </w:tc>
        <w:tc>
          <w:tcPr>
            <w:tcW w:w="7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3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8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Fair Value of Series A Warrants</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1,382.20</w:t>
            </w:r>
          </w:p>
        </w:tc>
        <w:tc>
          <w:tcPr>
            <w:tcW w:w="3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1,522.20</w:t>
            </w:r>
          </w:p>
        </w:tc>
        <w:tc>
          <w:tcPr>
            <w:tcW w:w="1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valuation inputs used in the Black-Scholes Option Pricing Model for the Warrants at March 31, 2026 and December 31, 2025.</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8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7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to expiration</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117.50%</w:t>
            </w: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117.50%</w:t>
            </w: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estimated the fair value of the Tranche A Warrants and Tranche B Warrants to be $181.8 million and $96.8 million, respectively, as of March 31, 2026, and $110.6 million and $60.9 million, respectively, as of December 31, 2025. The Company also recognized approximately $2.2 million of losses related to the exercise of Preferred Tranche A Warrants in 2026. These losses represent an additional non-cash expense included in changes in fair value of the warrant liability in the Company’s consolidated statements of operations. The following table provides a summary of the Company’s warrant liability fair value estimates as of March 31, 2026, and the changes in Level 3 fair value measurements during the three months ended March 31, 2026: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00" w:type="dxa"/>
            <w:vAlign w:val="bottom"/>
            <w:gridSpan w:val="2"/>
          </w:tcPr>
          <w:p>
            <w:pPr>
              <w:spacing w:after="0"/>
              <w:rPr>
                <w:sz w:val="15"/>
                <w:szCs w:val="15"/>
                <w:color w:val="auto"/>
              </w:rPr>
            </w:pPr>
          </w:p>
        </w:tc>
      </w:tr>
      <w:tr>
        <w:trPr>
          <w:trHeight w:val="210"/>
        </w:trPr>
        <w:tc>
          <w:tcPr>
            <w:tcW w:w="114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January 1, 2026</w:t>
            </w: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171,464,575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exercise of warrants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(2,228,304)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of the warrant liability</w:t>
            </w:r>
          </w:p>
        </w:tc>
        <w:tc>
          <w:tcPr>
            <w:tcW w:w="2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109,360,630</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28"/>
        </w:trPr>
        <w:tc>
          <w:tcPr>
            <w:tcW w:w="11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Fair value, March 31, 2026</w:t>
            </w: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278,596,901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630"/>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14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8 — STOCK AWARD PLAN AND STOCK-BASED COMPENSATION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(as subsequently amended and restated, the “Plan”), which provides for the issuance of options, stock appreciation rights, stock awards and stock units. As of March 31, 2026, the total shares authorized for issuance under the Plan were 14,578,917.</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employees and non-employees for the three months ended March 31, 2026 is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Issuable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Intrinsic</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Terms (years)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8,173,509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812,169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8,985,678</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March 31, 2026</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2,601,033</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6.35</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Available for future grant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5,044,631</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-334010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-316230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March 31, 2026 and 2025 was $4.22 per share and $6.16 per share, respectively. Total unrecognized compensation costs related to non-vested stock options at March 31, 2026 were approximately $22.2 million and are expected to be recognized within future operating results over a weighted-average period of 3.5 years. Generally, stock options are granted using exercise prices equal to the market price at the date of grant, vest over four years for employees and one year for directors, and are exercisable over a maximum period of 10 years from their grant dates.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volatility of the Company and volatilities for industry peer companies.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the purposes of estimating the fair value of the options.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options granted. There were no stock options granted during the three months ended March 31, 2025. For stock options granted during the three months ended March 31, 2026, the Company utilized the following assumptions: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316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5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- 6.25</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- 4.03%</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- 133%</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160" w:type="dxa"/>
            <w:vAlign w:val="bottom"/>
            <w:gridSpan w:val="3"/>
          </w:tcPr>
          <w:p>
            <w:pPr>
              <w:jc w:val="center"/>
              <w:ind w:left="993"/>
              <w:spacing w:after="0"/>
              <w:rPr>
                <w:sz w:val="20"/>
                <w:szCs w:val="20"/>
                <w:color w:val="auto"/>
              </w:rPr>
            </w:pPr>
            <w:r>
              <w:rPr>
                <w:rFonts w:ascii="Times New Roman" w:cs="Times New Roman" w:eastAsia="Times New Roman" w:hAnsi="Times New Roman"/>
                <w:sz w:val="18"/>
                <w:szCs w:val="18"/>
                <w:color w:val="auto"/>
                <w:w w:val="99"/>
              </w:rPr>
              <w:t>0%</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 during the period</w:t>
            </w:r>
          </w:p>
        </w:tc>
        <w:tc>
          <w:tcPr>
            <w:tcW w:w="3160" w:type="dxa"/>
            <w:vAlign w:val="bottom"/>
            <w:gridSpan w:val="3"/>
            <w:shd w:val="clear" w:color="auto" w:fill="CFF0FC"/>
          </w:tcPr>
          <w:p>
            <w:pPr>
              <w:jc w:val="center"/>
              <w:ind w:left="993"/>
              <w:spacing w:after="0"/>
              <w:rPr>
                <w:sz w:val="20"/>
                <w:szCs w:val="20"/>
                <w:color w:val="auto"/>
              </w:rPr>
            </w:pPr>
            <w:r>
              <w:rPr>
                <w:rFonts w:ascii="Times New Roman" w:cs="Times New Roman" w:eastAsia="Times New Roman" w:hAnsi="Times New Roman"/>
                <w:sz w:val="18"/>
                <w:szCs w:val="18"/>
                <w:color w:val="auto"/>
                <w:w w:val="98"/>
              </w:rPr>
              <w:t>$5.82</w:t>
            </w: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August 6, 2021, options to purchase 953,980 shares of the Company’s common stock were exchanged for 476,640 PRSUs. Options surrendered in the one-time stock option exchange program (the “Exchange Program”) were cancelled and shares subject to the cancelled options again became available for issuance under the Plan. The Exchange Program was treated as a Type II modification (Probable-to improbable) under ASC 718.</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8" w:name="page19"/>
    <w:bookmarkEnd w:id="18"/>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used the pre-modification stock options for determining the compensation cost related to the PRSUs as the vesting conditions remain uncertain for the outstanding PRSUs. All expense related to the non-vested pre-modification stock options was fully recognized as of December 31, 2023.</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28, 2023, the Compensation Committee of the Company’s board of directors certified the achievement of a performance condition occurring upon FDA acceptance of the NDA for roluperidone. As a result, 50% of the shares of common stock underlying the Company’s PRSUs vested and the Company recognized approximately $0.2 million in non-cash compensation expense, representing 50% of the incremental cost of the PRSUs granted under the Exchange Program. The incremental cost was measured as the excess of the fair value of each new PRSU, measured as of the date the new PRSUs were granted, over the fair value of the stock options surrendered in exchange for the new PRSU, measured immediately prior to the cancellation. The remaining PRSUs vest upon roluperidone receiving FDA marketing approval, provided that such approval occurs within five years after the August 6, 2021 grant date. As of March 31, 2026, 228,213 PRSUs have vested, 30,932 have been cancelled, and 217,495 remain outstanding.</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the Company’s consolidated statements of operations, including $6.6 million recognized in connection with the modification of stock options granted to Mr. Race pursuant to the settlement agreement described in Note 10.</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2"/>
                <w:szCs w:val="12"/>
                <w:color w:val="auto"/>
              </w:rPr>
            </w:pPr>
          </w:p>
        </w:tc>
      </w:tr>
      <w:tr>
        <w:trPr>
          <w:trHeight w:val="20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737,937</w:t>
            </w:r>
          </w:p>
        </w:tc>
        <w:tc>
          <w:tcPr>
            <w:tcW w:w="112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99,699</w:t>
            </w:r>
          </w:p>
        </w:tc>
        <w:tc>
          <w:tcPr>
            <w:tcW w:w="80" w:type="dxa"/>
            <w:vAlign w:val="bottom"/>
            <w:shd w:val="clear" w:color="auto" w:fill="CFF0F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7,972,365</w:t>
            </w:r>
          </w:p>
        </w:tc>
        <w:tc>
          <w:tcPr>
            <w:tcW w:w="3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197,530</w:t>
            </w:r>
          </w:p>
        </w:tc>
        <w:tc>
          <w:tcPr>
            <w:tcW w:w="80" w:type="dxa"/>
            <w:vAlign w:val="bottom"/>
          </w:tcPr>
          <w:p>
            <w:pPr>
              <w:spacing w:after="0"/>
              <w:rPr>
                <w:sz w:val="18"/>
                <w:szCs w:val="18"/>
                <w:color w:val="auto"/>
              </w:rPr>
            </w:pPr>
          </w:p>
        </w:tc>
      </w:tr>
      <w:tr>
        <w:trPr>
          <w:trHeight w:val="22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8,710,302</w:t>
            </w:r>
          </w:p>
        </w:tc>
        <w:tc>
          <w:tcPr>
            <w:tcW w:w="112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297,229</w:t>
            </w:r>
          </w:p>
        </w:tc>
        <w:tc>
          <w:tcPr>
            <w:tcW w:w="80" w:type="dxa"/>
            <w:vAlign w:val="bottom"/>
            <w:shd w:val="clear" w:color="auto" w:fill="CFF0FC"/>
          </w:tcPr>
          <w:p>
            <w:pPr>
              <w:spacing w:after="0"/>
              <w:rPr>
                <w:sz w:val="19"/>
                <w:szCs w:val="19"/>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-25400</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51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October 11, 2022, the Company entered into an office lease agreement with Regus to lease office space located at 1500 District Avenue, Burlington, MA 01803. In September 2025, the Company amended its month-to-month lease agreement to reduce the rentable office space. In January 2026, the Company renewed the month-to-month lease agreement commencing on February 1, 2026, with a monthly payment of $1,223. The Company has elected to not recognize the lease agreement on the balance sheet as the term of the agreement is 12 months or 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Settlement Agreement and Consulting Agreement with Geoffrey Race</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March 30, 2026, the Company, Mind-NRG SARL (“Mind-NRG”), and Mr. Geoffrey Race entered into the Settlement Agreement, pursuant to which Mr. Race resigned from his role as President of the Company and as a Director of Mind-NRG, effective March 31, 2026. Under the Settlement Agreement, the Company agreed to make a payment to Mr. Race, in lieu of the 12-month notice entitlement provided by Mr. Race’s Employment Agreement with Mind-NRG, dated as of August 1, 2016 (as amended by that certain First Amendment to Employment Agreement, effective October 11, 2020), which payment consists of (i) a one-time payment in the amount of his annual salary, (ii) 12-months’ pension contributions and (iii) a pro-rated portion of his 2026 bonus-entitlement. In addition, in consideration of Mr. Race’s execution of a general release of claims and his compliance with the other terms of the Settlement Agreement, the Company agreed to provide Mr. Race with the following separation benefits: (x) a one-time severance payment of £30,000; (y) payments in lieu of 12-months’ private medical insurance contributions and life assurance contributions and (z) reimbursement of Mr. Race’s reasonable legal fees incurred in connection with obtaining advice on the termination of his employment and the terms of the Settlement Agreement, up to a maximum of £15,000 plus VAT. With respect to Mr. Race’s outstanding stock options to purchase shares of Common Stock granted pursuant to the 2013 Plan, the Company agreed to treat all such options as fully vested effective as of March 31, 2026, and to extend the period during which Mr. Race may exercise such options until midnight U.S. Eastern Time on January 1, 2030, after which time the options will lapse and cease to be exercisable.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9" w:name="page20"/>
    <w:bookmarkEnd w:id="19"/>
    <w:p>
      <w:pPr>
        <w:spacing w:after="0" w:line="256" w:lineRule="auto"/>
        <w:rPr>
          <w:sz w:val="20"/>
          <w:szCs w:val="20"/>
          <w:color w:val="auto"/>
        </w:rPr>
      </w:pPr>
      <w:r>
        <w:rPr>
          <w:rFonts w:ascii="Times New Roman" w:cs="Times New Roman" w:eastAsia="Times New Roman" w:hAnsi="Times New Roman"/>
          <w:sz w:val="18"/>
          <w:szCs w:val="18"/>
          <w:color w:val="auto"/>
        </w:rPr>
        <w:t>Also on March 30, 2026, the Company entered into a consultancy agreement (the “Consultancy Agreement”) with Mr. Race. The Consultancy Agreement commenced on April 15, 2026 and continues until April 14, 2027 (the “Consulting Period”), unless earlier terminated by either party upon one month’s prior written notice, or by the Company upon the occurrence of certain termination events, including gross misconduct or material breach by Mr. Race. During the Consulting Period, Mr. Race is entitled to receive consulting fees in amounts of £333 per hour, for a minimum of 35 hours per month. At the discretion of the Company’s Compensation Committee, Mr. Race may be eligible to receive options to acquire shares of Common Stock under the 2013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8"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2025 as filed with the Securities and Exchange Commission (“SEC”) on March 11, 2026. This discussion and analysis contains forward-looking statements that involve significant risks and uncertainties. Our actual results, performance or experience could differ materially from what is indicated by any forward-looking statement due to various important factors, risks and uncertainties, including, but not limited to, those set forth under “Risk Factors” included elsewhere in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certain proprietary product candidates to treat patients suffering from central nervous system (“CNS”) diseases.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lead product candidate, roluperidone, is in development for the treatment of negative symptoms in patients diagnosed with schizophrenia. In August 2022, we submitted a New Drug Application (“NDA”) with the U.S. Food and Drug Administration (“FDA”) for roluperidone for the treatment of negative symptoms in schizophrenia. On February 26, 2024, the FDA issued a Complete Response Letter (“CRL”) regarding our NDA for roluperidone. Subsequent to the CRL, we have had multiple interactions with the FDA to confirm the design of an additional Phase 3 confirmatory clinical trial to address the deficiencies cited in the CRL and resubmit the NDA.</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Consistent with the previous Phase 2b (C03) and Phase 3 (C07) clinical trials of roluperidone, the new Phase 3 confirmatory trial, which we refer to as the C19 trial, will include patients diagnosed with schizophrenia who present with stable impairing negative symptoms and stable positive symptoms for the six months prior to entering the trial. We agreed with the FDA that best efforts will be made to secure 25-30% of patients from the United States, subject to competitive recruitment. The FDA confirmed that roluperidone can be studied in monotherapy where patients will receive a double-blinded single daily 64 mg dose of roluperidone or placebo. The FDA advised that, to support a monotherapy indication, it would be necessary to assess relapses on an observational basis for at least 52 weeks, in patients treated in monotherapy with roluperidone, placebo or antipsychotics. The FDA also stated that it would consider a resubmission of the NDA that included a double-blind, placebo- or active-controlled trial of roluperidone with a duration of at least 52 weeks with the efficacy primary endpoint at week 12.</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March 31, 2026, we announced that the first patient had been screened in the C19 trial. The trial is designed to enroll 380 patients, randomized on a 1:1 basis to receive either placebo or a double-blinded single daily 64 mg dose of roluperidone. The primary efficacy endpoint is expected to be the change from baseline in the PANSS Marder negative symptoms factor score (“NSFS”) at 12 weeks of treatment with roluperidone compared to placebo. Following the initial 12-week treatment period, patients are expected to enter a 40-week relapse assessment phase, during which patients will crossover to receive either a daily 64 mg dose of roluperidone or antipsychotics. We currently expect topline efficacy results in the second half of 2027 and relapse assessment data in the second half of 2028.</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we previously co-developed seltorexant with Janssen Pharmaceutica NV (“Janssen”), a subsidiary of Johnson &amp; Johnson, for the treatment of insomnia disorder and adjunctive treatment of Major Depressive Disorder (“MDD”). As a result of our collaboration with Janssen,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future milestone payments, subject to completion of Phase 3 trials by Janssen and regulatory approvals. To our knowledge, Janssen is currently recruiting patients under a Phase 3 trial with seltorexant.</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As of March 31, 2026 and December 31, 2025, we had an accumulated deficit of $814.2 million and $688.8 million, respectively. For the three months ended March 31, 2026 and 2025, we recorded net loss of $125.4 million and $3.8 million, respectively. We expect our clinical and administrative costs will increase as we begin to incur clinical trial costs and hire additional support staff to support the Phase 3 trial of roluperidone.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Macroeconomic Considerations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Results of our operations have varied and may vary in the future based on the impact of changes in the domestic or global economy. Negative conditions in the general economy both in the United States and abroad, including conditions resulting from changes in inflation and fluctuations in interest rates, financial and credit market fluctuations, international trade relations and tariffs, pandemics, political turmoil, natural catastrophes and warfare in the United States or elsewhere, could negatively affect our business. It is not possible at this time to estimate the long-term impact that these and related events could have on our business, as the impact will depend on future developments, which are highly uncertain and cannot be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None of our product candidates have been approved for commercialization and we have not received any revenue in connection with the sale or license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Gains (Losses)</w:t>
      </w:r>
    </w:p>
    <w:p>
      <w:pPr>
        <w:spacing w:after="0" w:line="229"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Foreign exchange gains (losses) are comprised primarily of gains and (losses)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gain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the warrant liability</w:t>
      </w:r>
    </w:p>
    <w:p>
      <w:pPr>
        <w:spacing w:after="0" w:line="22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Changes in fair value of the warrant liability consist of the gain (loss) associated with the adjustment to the carrying amount of the warranty liability.</w:t>
      </w: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2026 versus March 31,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$5.3 million and $1.4 million for the three months ended March 31, 2026 and 2025, respectively, an increase of approximately $3.9 million. The increase in research and development expenses was primarily due to expenses related to the initiation of the C19 trial as well as higher compensation costs. Non-cash stock compensation costs included in research and development expenses were $0.7 million and $0.1 million for the three months ended March 31, 2026 and 2025,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$11.4 million and $2.5 million for the three months ended March 31, 2026 and 2025, respectively, an increase of approximately $8.9 million. The increase in general and administrative expenses was primarily due to costs related to Mr. Race’s settlement agreement, which included a $6.6 million one-time, non-cash charge related to the modification of the terms of previously granted stock options, as well as higher professional service fees and compensation costs. Non-cash stock compensation costs included in general and administrative expenses were $8.0 million and $0.2 million for the three months ended March 31, 2026 and 2025,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Foreign exchange losses were $2 thousand and $8 thousand for the three months ended March 31, 2026 and 2025, respectively, a decrease of $6 thousand, primarily due to currency movements.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Investment income was $0.6 million and $0.2 million for the three months ended March 31, 2026 and 2025, respectively, an increase of approximately $0.4 million, primarily due to cash equivalents and marketable securities balances and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fair value of the warrant liability</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Changes in fair value of the warrant liability were a loss of $109.4 million and zero for the three months ended March 31, 2026 and 2025, respectively, a decrease of $109.4 million. The loss on the change in fair value of the warrant liability is related to the warrants issued in conjunction with the October 2025 private placement. The fair value of the non-cash warrant liability at March 31, 2026 was $278.6 million. Accordingly, we recognized a non-cash loss of $109.4 million for the three-month period ended March 31, 2026, reflecting both the increase in fair value of the warrant liability and losses recognized upon the exercise of warrants during 2026. This non-cash loss was recorded within other income (expense) in the statement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generally accepted accounting principles (“GAAP”), we believe the following non-GAAP measures are useful in evaluating our operating performance. Non-GAAP financial measures are included with the intent of providing investors with an understanding of our historical financial results and trends and to facilitate comparisons between periods. In addition, these non-GAAP financial measures are among the indicators our management uses for planning and forecasting purposes and measuring our performance. We believe that these non-GAAP financial measures, when considered together with U.S. GAAP measures, can enhance the understanding of our financial and operating performance. Non-GAAP financial measures have no standardized meaning and investors are cautioned that, unlike financial measures prepared in accordance with U.S. GAAP, non-GAAP measures may not be comparable with the calculation of similar measures for other companies. The limitations of using non-GAAP financial measures as performance measures are that they provide a view of our results of operations without including all events during a period and may not provide a comparable view of our performance to other companies in the biopharmaceutical industry.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Non-GAAP total liabilities is defined as GAAP total liabilities, excluding warrant liability and liability related to the sale of future royalties. Reconciliations of reported GAAP total liabilities to non-GAAP total liabilities for the three months ended March 31, 2026 and 2025 were as follows (in thousands):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8"/>
                <w:szCs w:val="18"/>
                <w:color w:val="auto"/>
              </w:rPr>
            </w:pPr>
          </w:p>
        </w:tc>
      </w:tr>
      <w:tr>
        <w:trPr>
          <w:trHeight w:val="216"/>
        </w:trPr>
        <w:tc>
          <w:tcPr>
            <w:tcW w:w="5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278,597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171,465</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8"/>
                <w:szCs w:val="18"/>
                <w:color w:val="auto"/>
              </w:rPr>
            </w:pPr>
          </w:p>
        </w:tc>
      </w:tr>
      <w:tr>
        <w:trPr>
          <w:trHeight w:val="209"/>
        </w:trPr>
        <w:tc>
          <w:tcPr>
            <w:tcW w:w="55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 GAAP</w:t>
            </w:r>
          </w:p>
        </w:tc>
        <w:tc>
          <w:tcPr>
            <w:tcW w:w="2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343,079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(278,597)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(171,465)</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r>
      <w:tr>
        <w:trPr>
          <w:trHeight w:val="20"/>
        </w:trPr>
        <w:tc>
          <w:tcPr>
            <w:tcW w:w="5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 non-GAAP</w:t>
            </w:r>
          </w:p>
        </w:tc>
        <w:tc>
          <w:tcPr>
            <w:tcW w:w="2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shd w:val="clear" w:color="auto" w:fill="CFF0FC"/>
          </w:tcPr>
          <w:p>
            <w:pPr>
              <w:spacing w:after="0"/>
              <w:rPr>
                <w:sz w:val="19"/>
                <w:szCs w:val="19"/>
                <w:color w:val="auto"/>
              </w:rPr>
            </w:pP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-1156970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-591185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300"/>
        <w:spacing w:after="0" w:line="257" w:lineRule="auto"/>
        <w:rPr>
          <w:sz w:val="20"/>
          <w:szCs w:val="20"/>
          <w:color w:val="auto"/>
        </w:rPr>
      </w:pPr>
      <w:r>
        <w:rPr>
          <w:rFonts w:ascii="Times New Roman" w:cs="Times New Roman" w:eastAsia="Times New Roman" w:hAnsi="Times New Roman"/>
          <w:sz w:val="18"/>
          <w:szCs w:val="18"/>
          <w:color w:val="auto"/>
        </w:rPr>
        <w:t>Non-GAAP adjusted net loss is defined as GAAP net loss, adjusted to exclude non-cash items related to: (i) stock-based compensation expense and (ii) changes in fair value of the warrant liability. Non-GAAP adjusted net loss per share, basic and diluted, is defined as GAAP net loss per share, basic and diluted, adjusted to exclude non-cash items related to: (i) stock-based compensation expense and (ii) changes in fair value of the warrant liability.</w:t>
      </w:r>
    </w:p>
    <w:p>
      <w:pPr>
        <w:spacing w:after="0" w:line="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Reconciliations of reported GAAP net loss to non-GAAP adjusted net loss, and reported GAAP net loss per share, basic and diluted, to non-GAAP adjusted net loss per share, basic and diluted, for the three months ended March 31, 2026 and 2025 were as follows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0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7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 GAAP</w:t>
            </w:r>
          </w:p>
        </w:tc>
        <w:tc>
          <w:tcPr>
            <w:tcW w:w="1200" w:type="dxa"/>
            <w:vAlign w:val="bottom"/>
            <w:shd w:val="clear" w:color="auto" w:fill="CFF0FC"/>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(125,404)</w:t>
            </w:r>
          </w:p>
        </w:tc>
        <w:tc>
          <w:tcPr>
            <w:tcW w:w="9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(3,753)</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the warrant liability</w:t>
            </w:r>
          </w:p>
        </w:tc>
        <w:tc>
          <w:tcPr>
            <w:tcW w:w="1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loss – non-GAAP</w:t>
            </w:r>
          </w:p>
        </w:tc>
        <w:tc>
          <w:tcPr>
            <w:tcW w:w="1200" w:type="dxa"/>
            <w:vAlign w:val="bottom"/>
            <w:shd w:val="clear" w:color="auto" w:fill="CFF0FC"/>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(7,334)</w:t>
            </w:r>
          </w:p>
        </w:tc>
        <w:tc>
          <w:tcPr>
            <w:tcW w:w="9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(3,456)</w:t>
            </w:r>
          </w:p>
        </w:tc>
      </w:tr>
      <w:tr>
        <w:trPr>
          <w:trHeight w:val="197"/>
        </w:trPr>
        <w:tc>
          <w:tcPr>
            <w:tcW w:w="6700" w:type="dxa"/>
            <w:vAlign w:val="bottom"/>
            <w:tcBorders>
              <w:top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4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 – GAAP</w:t>
            </w:r>
          </w:p>
        </w:tc>
        <w:tc>
          <w:tcPr>
            <w:tcW w:w="1200" w:type="dxa"/>
            <w:vAlign w:val="bottom"/>
            <w:shd w:val="clear" w:color="auto" w:fill="CFF0FC"/>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9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(0.50)</w:t>
            </w:r>
          </w:p>
        </w:tc>
      </w:tr>
      <w:tr>
        <w:trPr>
          <w:trHeight w:val="197"/>
        </w:trPr>
        <w:tc>
          <w:tcPr>
            <w:tcW w:w="6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43,900</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7,569</w:t>
            </w:r>
          </w:p>
        </w:tc>
        <w:tc>
          <w:tcPr>
            <w:tcW w:w="100" w:type="dxa"/>
            <w:vAlign w:val="bottom"/>
            <w:tcBorders>
              <w:top w:val="single" w:sz="8" w:color="CFF0FC"/>
            </w:tcBorders>
          </w:tcPr>
          <w:p>
            <w:pPr>
              <w:spacing w:after="0"/>
              <w:rPr>
                <w:sz w:val="17"/>
                <w:szCs w:val="17"/>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1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r>
      <w:tr>
        <w:trPr>
          <w:trHeight w:val="216"/>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of the warrant liability</w:t>
            </w:r>
          </w:p>
        </w:tc>
        <w:tc>
          <w:tcPr>
            <w:tcW w:w="1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 – non-GAAP</w:t>
            </w:r>
          </w:p>
        </w:tc>
        <w:tc>
          <w:tcPr>
            <w:tcW w:w="120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(0.17)</w:t>
            </w:r>
          </w:p>
        </w:tc>
        <w:tc>
          <w:tcPr>
            <w:tcW w:w="9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(0.46)</w:t>
            </w:r>
          </w:p>
        </w:tc>
      </w:tr>
      <w:tr>
        <w:trPr>
          <w:trHeight w:val="20"/>
        </w:trPr>
        <w:tc>
          <w:tcPr>
            <w:tcW w:w="67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43,900</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7,569</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-1207770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-1190625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-899795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-882015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-316865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As of March 31, 2026, we had an accumulated deficit of approximately $814.2 million. We anticipate that we will continue to incur net losses for the foreseeable future as we continue the development and potential commercialization of our product candidates and to support our operations as a public company. We have no products approved for commercial sale and have not generated any revenue from product sales to date, and we may never generate product revenue or achieve profitability. As of March 31, 2026, we had approximately $78.2 million in cash, cash equivalents, marketable securities and restricted cash, which we believe will be sufficient to meet our operating commitments for the next 12 months from the date our interim condensed financial statements are issued. Our cash requirements primarily relate to expenditures to support the development of roluperidone, which includes advancing the program through the regulatory process.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Private Placement of Series A Preferred Stock and Warrants</w:t>
      </w:r>
    </w:p>
    <w:p>
      <w:pPr>
        <w:spacing w:after="0" w:line="2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October 21, 2025, we entered into a securities purchase agreement (the “Securities Purchase Agreement”) with certain accredited investors, pursuant to which we agreed to issue and sell, in a private placement (the “Private Placement”), (i) 80,000 shares of Series A Convertible Preferred Stock, par value $0.0001 per share (“Series A Preferred Stock”), at a purchase price of $1,000 per share, (ii) tranche A warrants (the “Preferred Tranche A Warrants”) to acquire shares of Series A Preferred Stock (the “Tranche A Warrant Shares”) and (iii) tranche B warrants (the “Preferred Tranche B Warrants,” together with the Preferred Tranche A Warrants, the “Preferred Warrants”) to acquire shares of Series A Preferred Stock for an aggregate offering price of up to $200 million. The Private Placement closed on October 23, 2025 (the “Closing Date”), pursuant to which we received aggregate gross proceeds of $80.0 million, before deducting placement agent fees, financial advisor fees, and other offering expenses. We incurred approximately $5.7 million in offering costs, including deferred issuance costs included within accounts payable as of March 31, 2026, resulting in net proceeds of approximately $74.3 million. $3.1 million of the offering costs were allocated to the Preferred Warrants, which are classified as liabilities, and expensed as incurred. $2.6 million of the offering costs attributable to the issuance of Series A Preferred Stock were recorded as a reduction of the carrying value of the Preferred Stock. On the Closing Date, we recorded a loss on issuance of convertible preferred stock and warrants of $321.5 million, reflecting the initial fair values of the Series A Preferred Stock of $184.6 million and the warrants of $216.9 million, offset by $80.0 million in gross proceeds received from investors. The value of the Series A Preferred Stock at issuance was determined based on the contractual conversion ratio multiplied by the closing price of our common stock on the Closing Date. For further discussion regarding the warrant liability and related valuation assumptions, please refer to Note 7, Warrant Liability, to our condensed consolidated financial statements appearing elsewhere in this Form 10-Q.</w:t>
      </w:r>
    </w:p>
    <w:p>
      <w:pPr>
        <w:spacing w:after="0" w:line="1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December 23, 2025, following the announcement of the stockholders’ approval of the issuance of common stock issuable upon conversion of the Series A Preferred Stock, we issued an aggregate of 36,280,992 shares of common stock upon the automatic conversion of an aggregate of 76,704 shares of Series A Preferred Stock in accordance with the terms set forth in the Certificate of Designation of Preferences, Rights and Limitations of the Series A Convertible Voting Preferred Stock (the “Certificate of Designation”). As of March 31, 2026, an aggregate of 3,296 shares of Series A Preferred Stock remain outstanding, which are convertible into an aggregate of 1,559,008 shares of common stock, subject to the limitations on conversion set forth in the Certificate of Designation. Each share of Series A Preferred Stock automatically converted into the number of shares of common stock at the conversion price of $2.11 per share, rounded down to the nearest whole share, subject to the terms and limitations contained in the Certificate of Designation, including that shares of Series A Preferred Stock shall not be convertible if the conversion would result in a holder beneficially owning more than 9.99% (the “Beneficial Ownership Limitation”) of our outstanding shares of common stock as of the applicable conversion date. By written notice to us, the holder may from time to time increase or decrease the Beneficial Ownership Limitation to any other percentage not in excess of 19.99% specified in such notice; provided, that any increase in the Beneficial Ownership Limitation will not be effective until the 61st day after such notice is delivered to us.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Preferred Tranche A Warrant has an exercise price of $1,000 and may only be exercised for cash. The Preferred Tranche A Warrants are immediately exercisable upon issuance for an aggregate of 80,000 shares of Series A Preferred Stock for an aggregate cash exercise price of up to $80 million until the tenth day following the date of our public announcement that we have achieved, on a statistically significant basis, the primary endpoint of our Phase 3 confirmatory trial of roluperidone in schizophrenia at the 12-week timepoint (the “Milestone Event”). As of March 31, 2026, an aggregate of 78,800 Preferred Tranche A Warrants remaining outstanding.</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Each Preferred Tranche B Warrant has an exercise price of $1,000 and may be exercised by a cashless exercise. The Preferred Tranche B Warrants are exercisable for an aggregate of 40,000 shares of Series A Preferred Stock for an aggregate cash exercise price of up to $40 million commencing on the earlier of (i) our public announcement of the Milestone Event and (ii) the three year anniversary of the Closing Date. The Preferred Tranche B Warrants will expire on the four (4)-year anniversary of the Closing Date. As of March 31, 2026, an aggregate of 40,000 Preferred Tranche B Warrants remaining outstanding.</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Preferred Warrants are subject to forfeiture in the event the applicable holder engages in any Short Sales (as defined in the Securities Purchase Agreement) involving our securities during the 48-months period following the Closing Date. In addition, the shares of common stock and/or Series A Preferred Stock, as applicable, underlying the Preferred Tranche B Warrants are subject to reduction if the applicable holder sells or transfers any shares of Series A Preferred Stock or shares of common stock received upon conversion of the Series A Preferred Stock before the Exercisability Date (as defined therein), except to affiliates for no consideration.</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the Certificate of Designation, no fractional shares or scrip representing fractional shares of common stock shall be issued upon the conversion of the Series A Preferred Stock. All fractional shares shall be rounded down to the nearest whole shares of common stock. Holders of Series A Preferred Stock are not entitled to receive any dividends except to the extent that dividends are paid on our common stock. If dividends are paid on shares of common stock, holders of Series A Preferred Stock are entitled to participate in such dividends on an as-converted basis. Upon the liquidation, dissolution, or winding up of us, each holder of Series A Preferred Stock will participate pari passu with any distribution of proceeds to holders of common stock. Holders of the Series 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25" w:name="page26"/>
    <w:bookmarkEnd w:id="25"/>
    <w:p>
      <w:pPr>
        <w:ind w:right="940"/>
        <w:spacing w:after="0" w:line="282" w:lineRule="auto"/>
        <w:rPr>
          <w:sz w:val="20"/>
          <w:szCs w:val="20"/>
          <w:color w:val="auto"/>
        </w:rPr>
      </w:pPr>
      <w:r>
        <w:rPr>
          <w:rFonts w:ascii="Times New Roman" w:cs="Times New Roman" w:eastAsia="Times New Roman" w:hAnsi="Times New Roman"/>
          <w:sz w:val="18"/>
          <w:szCs w:val="18"/>
          <w:color w:val="auto"/>
        </w:rPr>
        <w:t>Preferred Stock are entitled to vote together with the holders of common stock on an as-if-converted basis on all matters submitted to a vote of stockholders.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Pursuant to the Securities Purchase Agreement, we filed a registration statement on Form S-3 (File No. 333-292410), which was declared effective by the SEC on January 6, 2026, covering the resale of the Registrable Securities (as such term is defined in the Securities Purchase Agreement). We have agreed to take all steps necessary to keep such registration statement effective at all times until all Registrable Shares have been resold, or there remains no Registrable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Exercises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1,200 Preferred Tranche A Warrants were exercised at an exercise price of $1,000 per share, resulting in total proceeds of $1,200,000 to us. The warrants were converted into Series A Preferred Stock, which were immediately converted into 567,600 shares of our common stock. Following these exercises, 78,800 Preferred Tranche A Warrants remain outstanding.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Seltorexant Royalties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January 19, 2021, we sold our royalty interest in seltorexant to Royalty Pharma for an upfront payment of $60 million and up to an additional $95 million in potential future milestone payments, contingent upon the achievement of certain clinical, regulatory and commercial milestones for seltorexant by Janssen.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8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geopolitical conflicts, such as the war in Ukraine and hostilities in the Middle East, and other factors. If we are unable to obtain additional financing, future operations would need to be scaled back or discontinued. We believe that our existing cash, cash equivalents, marketable securities and restricted cash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tables below set forth our significant sources and uses of cash for the periods.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570039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decrease in cash</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4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gridSpan w:val="2"/>
            <w:vMerge w:val="continue"/>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millions)</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480" w:type="dxa"/>
            <w:vAlign w:val="bottom"/>
          </w:tcPr>
          <w:p>
            <w:pPr>
              <w:jc w:val="right"/>
              <w:ind w:right="32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6520" w:space="720"/>
            <w:col w:w="4000"/>
          </w:cols>
          <w:pgMar w:left="320" w:top="1224"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of approximately $5.4 million during the three months ended March 31, 2026 was primarily due to our net loss of</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$125.4 million, partially offset by a $109.4 million increase in fair value of the warranty liability, stock-based compensation expense of $8.7 million, a $1.5 million increase in accounts payable, and a $0.8 million increase in accrued expenses.</w:t>
      </w:r>
    </w:p>
    <w:p>
      <w:pPr>
        <w:spacing w:after="0" w:line="1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$4.1 million during the three months ended March 31, 2025 was primarily due to our net loss of $3.8 million, and a $1.0 million decrease in accounts payable, partially offset by stock-based compensation expense of $0.3 million, a $0.3 million decrease in prepaid expenses, and a $0.1 million increase in accrued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approximately $45.3 million during the three months ended March 31, 2026 was primarily due to the purchase of marketable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zero during the three months ended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approximately $1.1 million during the three months ended March 31, 2026 was primarily due to the proceeds from the exercise of Preferred Tranche A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zero during the three months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our Annual Report on Form 10-K for the fiscal year ended December 31, 2025, our most critical accounting policies and estimates upon which our financial status depends were identified as those relating to research and development costs; goodwill; and the liability related to the sale of future royalties. We reviewed our policies and determined that those policies were our most critical accounting policies for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and are adopted by us as of the specified effective date. See Note 2 of our Annual Report on Form 10-K for the fiscal year ended December 31, 2025 and Note 2 in our condensed consolidated financial statements appearing elsewhere in this Form 10-Q for a description of recent accounting pronouncements applicable to our financial statements. We are currently evaluating the impact that recently issued, but not yet adopted, accounting pronouncements will have on the condensed consolidated financial statements or have determined they do not apply to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27" w:name="page28"/>
    <w:bookmarkEnd w:id="27"/>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Rule12b-2 of the Exchange Act and are not required to provide the information required under this item.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March 31, 2026. Based on the evaluation of our disclosure controls and procedures as of March 31, 2026, our Chief Executive Officer and Chief Financial Officer concluded that, as of such date,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as such term is defined in Rules 13a-15(f) and 15d-15(f) promulgated under the Exchange Act, during our latest fiscal quarter that would have materially affected, or are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2025, as filed with the Securities and Exchange Commission (“SEC”) on March 11, 2026. The risk factors set forth below are risk factors containing changes, which may be material, from the risk factors previously disclosed in Item 1A of our Annual Report on Form 10-K for the fiscal year ended December 31, 2025, as filed with the SEC.</w:t>
      </w:r>
    </w:p>
    <w:p>
      <w:pPr>
        <w:spacing w:after="0" w:line="1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We have no products approved for commercial sale and have not generated any revenue from product sales to date, and we may never generate product revenue or achieve profitability. Our net loss was $125.4 million and $3.8 million for the three months ended March 31, 2026 and 2025, respectively. As of March 31, 2026, we had an accumulated deficit of approximately $814.2 million.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lead product candidate, roluperidone, is in development for the treatment of negative symptoms in patients diagnosed with schizophrenia. In August 2022, we submitted a New Drug Application (“NDA”) with the U.S. Food and Drug Administration (“FDA”) for roluperidone for the treatment of negative symptoms in schizophrenia. On February 26, 2024, the FDA issued a Complete Response Letter (the “CRL”) to our NDA for roluperidone. Subsequent to the CRL, we have had multiple interactions with the FDA to confirm the design of an additional Phase 3 confirmatory clinical trial to address the deficiencies cited in the CRL and resubmit the NDA. While we are advancing plans for an additional confirmatory Phase 3 clinical trial for roluperidone for the treatment of negative symptoms in schizophrenia, which we refer to as the C19 trial, in consultation with the FDA and expect to fund such trial and our resubmission of the NDA in part with net proceeds from our October 2025 private placement, there can be no assurances that we will successfully resubmit the NDA and obtain approval for roluperidone in a timely manner, on favorable terms, or at all. As a result, the regulatory approval process for roluperidone in the United States is highly uncertain. If we do not obtain approval of roluperidone in the United States, or if the approval is delayed, it would have a material adverse impact on our business. Even if we are able to obtain approval, the expense and time to do so could adversely impact our ability to successfully commercialize roluperidone or conduct our other business operations and our financial condition could be materially harmed.</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and/or seek regulatory approvals for, roluperidone and other potential product candidates. If any of our product candidates fail in clinical trials or do not obtain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 market price of shares of our common stock and our ability to raise capital and continue operations.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9" w:name="page30"/>
    <w:bookmarkEnd w:id="29"/>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15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As of March 31, 2026, we had cash, cash equivalents, marketable securities and restricted cash of $78.2 million. We believe that this amount will be sufficient to meet our operating commitments for at least twelve months from the date that our interim condensed financial statements are issued.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are uncertain, including the C19 trial required by the FDA for roluperidone.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to continue advancing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on the requisite timing or on reasonable terms, if at all, and our ability to raise additional capital may be adversely impacted by global economic conditions, geopolitical conflicts, such as the war in Ukraine and hostilities in the Middle East, and other factors. Our future funding requirements, both short and long-term, will depend on many factors, including:</w:t>
      </w:r>
    </w:p>
    <w:p>
      <w:pPr>
        <w:spacing w:after="0" w:line="79" w:lineRule="exact"/>
        <w:rPr>
          <w:sz w:val="20"/>
          <w:szCs w:val="20"/>
          <w:color w:val="auto"/>
        </w:rPr>
      </w:pPr>
    </w:p>
    <w:p>
      <w:pPr>
        <w:ind w:left="1020" w:right="58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ind w:left="1020" w:right="20" w:hanging="503"/>
        <w:spacing w:after="0" w:line="25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ind w:left="1020" w:right="320" w:hanging="503"/>
        <w:spacing w:after="0" w:line="25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9" w:lineRule="exact"/>
        <w:rPr>
          <w:rFonts w:ascii="Times New Roman" w:cs="Times New Roman" w:eastAsia="Times New Roman" w:hAnsi="Times New Roman"/>
          <w:sz w:val="18"/>
          <w:szCs w:val="18"/>
          <w:color w:val="auto"/>
        </w:rPr>
      </w:pPr>
    </w:p>
    <w:p>
      <w:pPr>
        <w:ind w:left="1020" w:right="660" w:hanging="503"/>
        <w:spacing w:after="0" w:line="26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are unable to raise additional capital in sufficient amounts or on terms acceptable to us, we may have to delay, limit or terminate the development or commercialization of one or more of our product candidates or other operations, including exploring strategic alternatives and partnership opportunities and potentially discontinue operations altogether.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will be diluted by any conversions of outstanding Series A Preferred Stock and exercises of outstanding warrants.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March 31, 2026, there were (i) 1,559,008 shares of common stock issuable upon conversion of outstanding Series A Preferred Stock for no additional consideration, (ii) 37,272,400 shares of common stock issuable upon exercise of outstanding tranche A warrants to purchase Series A Preferred Stock and</w:t>
      </w:r>
    </w:p>
    <w:p>
      <w:pPr>
        <w:ind w:right="220" w:firstLine="8"/>
        <w:spacing w:after="0" w:line="252"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18,920,000 shares of common stock issuable upon exercise of outstanding tranche B warrants to purchase Series A Preferred Stock. The outstanding Series A Preferred Stock is convertible any time at the option of the holder thereof subject to beneficial ownership limitations. The tranche A warrants became exercisable immediately upon issuance. The exercise of such warrants and conversion of the Series A Preferred Stock for shares of our common stock will result in further dilution of our stockholders’ investment and could negatively affect the market price of our common stock. In addition, stockholders may experience further dilution if we issue common stock, or securities convertible into common stock, in the future. As a result of this dilution, stockholders may receive significantly less than the full purchase price paid for the shares in the event of liquidation.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4"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gridSpan w:val="19"/>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220" w:type="dxa"/>
            <w:vAlign w:val="bottom"/>
            <w:tcBorders>
              <w:bottom w:val="single" w:sz="8" w:color="0000FF"/>
            </w:tcBorders>
            <w:gridSpan w:val="22"/>
          </w:tcPr>
          <w:p>
            <w:pPr>
              <w:ind w:left="20"/>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Amended and Restated Certificate of Incorporation of the Registrant (incorporated by reference to Exhibit 3.1 to the Registrant’s registration</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280" w:type="dxa"/>
            <w:vAlign w:val="bottom"/>
            <w:tcBorders>
              <w:bottom w:val="single" w:sz="8" w:color="0000FF"/>
            </w:tcBorders>
            <w:gridSpan w:val="6"/>
          </w:tcPr>
          <w:p>
            <w:pPr>
              <w:ind w:left="20"/>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statement on Form S-1/A (File No. 333-195169) filed with the SEC on June 10, 2014).</w:t>
              </w:r>
            </w:hyperlink>
          </w:p>
        </w:tc>
        <w:tc>
          <w:tcPr>
            <w:tcW w:w="20" w:type="dxa"/>
            <w:vAlign w:val="bottom"/>
            <w:tcBorders>
              <w:bottom w:val="single" w:sz="8" w:color="0000EE"/>
            </w:tcBorders>
          </w:tcPr>
          <w:p>
            <w:pPr>
              <w:spacing w:after="0"/>
              <w:rPr>
                <w:sz w:val="17"/>
                <w:szCs w:val="17"/>
                <w:color w:val="auto"/>
              </w:rPr>
            </w:pPr>
          </w:p>
        </w:tc>
        <w:tc>
          <w:tcPr>
            <w:tcW w:w="40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12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Certificate of Amendment to Amended and Restated Certificate of Incorporation of the Registrant, effective June 17, 2022 (incorporated by</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44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reference to Exhibit 3.1 to the Registrant’s current report on Form 8-K (File No. 001-36517) filed with the SEC on June 17, 2022).</w:t>
              </w:r>
            </w:hyperlink>
          </w:p>
        </w:tc>
        <w:tc>
          <w:tcPr>
            <w:tcW w:w="20" w:type="dxa"/>
            <w:vAlign w:val="bottom"/>
            <w:tcBorders>
              <w:bottom w:val="single" w:sz="8" w:color="0000EE"/>
            </w:tcBorders>
          </w:tcPr>
          <w:p>
            <w:pPr>
              <w:spacing w:after="0"/>
              <w:rPr>
                <w:sz w:val="17"/>
                <w:szCs w:val="17"/>
                <w:color w:val="auto"/>
              </w:rPr>
            </w:pPr>
          </w:p>
        </w:tc>
        <w:tc>
          <w:tcPr>
            <w:tcW w:w="8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300" w:type="dxa"/>
            <w:vAlign w:val="bottom"/>
            <w:tcBorders>
              <w:bottom w:val="single" w:sz="8" w:color="0000FF"/>
            </w:tcBorders>
            <w:gridSpan w:val="24"/>
          </w:tcPr>
          <w:p>
            <w:pPr>
              <w:ind w:left="20"/>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Certificate of Amendment to Amended and Restated Certificate of Incorporation of the Registrant, effective December 22, 2025 (incorporated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240" w:type="dxa"/>
            <w:vAlign w:val="bottom"/>
            <w:tcBorders>
              <w:bottom w:val="single" w:sz="8" w:color="0000FF"/>
            </w:tcBorders>
            <w:gridSpan w:val="23"/>
          </w:tcPr>
          <w:p>
            <w:pPr>
              <w:ind w:left="20"/>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by reference to Exhibit 3.3 to the Registrant’s registration statement on Form S-3 (File No. 333-292410) filed with the SEC on December 23,</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00" w:type="dxa"/>
            <w:vAlign w:val="bottom"/>
          </w:tcPr>
          <w:p>
            <w:pPr>
              <w:ind w:left="20"/>
              <w:spacing w:after="0" w:line="196" w:lineRule="exact"/>
              <w:rPr>
                <w:rFonts w:ascii="Times New Roman" w:cs="Times New Roman" w:eastAsia="Times New Roman" w:hAnsi="Times New Roman"/>
                <w:sz w:val="18"/>
                <w:szCs w:val="18"/>
                <w:color w:val="0000FF"/>
                <w:w w:val="94"/>
              </w:rPr>
            </w:pPr>
            <w:hyperlink r:id="rId148">
              <w:r>
                <w:rPr>
                  <w:rFonts w:ascii="Times New Roman" w:cs="Times New Roman" w:eastAsia="Times New Roman" w:hAnsi="Times New Roman"/>
                  <w:sz w:val="18"/>
                  <w:szCs w:val="18"/>
                  <w:color w:val="0000FF"/>
                  <w:w w:val="94"/>
                </w:rPr>
                <w:t>2025).</w:t>
              </w:r>
            </w:hyperlink>
          </w:p>
        </w:tc>
        <w:tc>
          <w:tcPr>
            <w:tcW w:w="2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160" w:type="dxa"/>
            <w:vAlign w:val="bottom"/>
            <w:tcBorders>
              <w:bottom w:val="single" w:sz="8" w:color="0000FF"/>
            </w:tcBorders>
            <w:gridSpan w:val="21"/>
          </w:tcPr>
          <w:p>
            <w:pPr>
              <w:ind w:left="20"/>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Amended and Restated Bylaws of the Registrant (incorporated by reference to Exhibit 3.2 to the Registrant’s quarterly report on Form 10-Q</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60" w:type="dxa"/>
            <w:vAlign w:val="bottom"/>
            <w:tcBorders>
              <w:bottom w:val="single" w:sz="8" w:color="0000FF"/>
            </w:tcBorders>
            <w:gridSpan w:val="4"/>
          </w:tcPr>
          <w:p>
            <w:pPr>
              <w:ind w:left="20"/>
              <w:spacing w:after="0" w:line="19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(File No. 001-36517) filed with the SEC on November 4, 2019).</w:t>
              </w:r>
            </w:hyperlink>
          </w:p>
        </w:tc>
        <w:tc>
          <w:tcPr>
            <w:tcW w:w="20" w:type="dxa"/>
            <w:vAlign w:val="bottom"/>
            <w:tcBorders>
              <w:bottom w:val="single" w:sz="8" w:color="0000EE"/>
            </w:tcBorders>
          </w:tcPr>
          <w:p>
            <w:pPr>
              <w:spacing w:after="0"/>
              <w:rPr>
                <w:sz w:val="17"/>
                <w:szCs w:val="17"/>
                <w:color w:val="auto"/>
              </w:rPr>
            </w:pPr>
          </w:p>
        </w:tc>
        <w:tc>
          <w:tcPr>
            <w:tcW w:w="56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9720" w:type="dxa"/>
            <w:vAlign w:val="bottom"/>
            <w:tcBorders>
              <w:bottom w:val="single" w:sz="8" w:color="0000FF"/>
            </w:tcBorders>
            <w:gridSpan w:val="16"/>
          </w:tcPr>
          <w:p>
            <w:pPr>
              <w:ind w:left="20"/>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Certificate of Designation of Preferences, Rights and Limitations of the Series A Convertible Voting Preferred Stock (incorporated by</w:t>
              </w:r>
            </w:hyperlink>
          </w:p>
        </w:tc>
        <w:tc>
          <w:tcPr>
            <w:tcW w:w="5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300" w:type="dxa"/>
            <w:vAlign w:val="bottom"/>
            <w:gridSpan w:val="24"/>
          </w:tcPr>
          <w:p>
            <w:pPr>
              <w:ind w:left="20"/>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reference to Exhibit 3.1 to the Registrant’s current report on Form 8-K (File No. 001-36517) filed with the SEC on October 21, 2025).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2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996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Settlement Agreement, dated as of March 30, 2026, by and among the Registrant, Mind-NRG SARL and Geoffrey Race (incorporated by</w:t>
              </w:r>
            </w:hyperlink>
          </w:p>
        </w:tc>
        <w:tc>
          <w:tcPr>
            <w:tcW w:w="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300" w:type="dxa"/>
            <w:vAlign w:val="bottom"/>
            <w:gridSpan w:val="24"/>
          </w:tcPr>
          <w:p>
            <w:pPr>
              <w:ind w:left="20"/>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reference to Exhibit 10.1 to the Registrant’s current report on Form 8-K (File No. 001-36517) filed with the SEC on April 2, 2026).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2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0020" w:type="dxa"/>
            <w:vAlign w:val="bottom"/>
            <w:tcBorders>
              <w:bottom w:val="single" w:sz="8" w:color="0000FF"/>
            </w:tcBorders>
            <w:gridSpan w:val="18"/>
          </w:tcPr>
          <w:p>
            <w:pPr>
              <w:ind w:left="20"/>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Consultancy Agreement, effective April 15, 2026, by and between the Registrant and Geoffrey Race (incorporated by reference to Exhibit</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20" w:type="dxa"/>
            <w:vAlign w:val="bottom"/>
            <w:tcBorders>
              <w:bottom w:val="single" w:sz="8" w:color="0000FF"/>
            </w:tcBorders>
            <w:gridSpan w:val="8"/>
          </w:tcPr>
          <w:p>
            <w:pPr>
              <w:ind w:left="20"/>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Registrant’s current report on Form 8-K (File No. 001-36517) filed with the SEC on April 2, 2026).</w:t>
              </w:r>
            </w:hyperlink>
          </w:p>
        </w:tc>
        <w:tc>
          <w:tcPr>
            <w:tcW w:w="20" w:type="dxa"/>
            <w:vAlign w:val="bottom"/>
            <w:tcBorders>
              <w:bottom w:val="single" w:sz="8" w:color="0000EE"/>
            </w:tcBorders>
          </w:tcPr>
          <w:p>
            <w:pPr>
              <w:spacing w:after="0"/>
              <w:rPr>
                <w:sz w:val="17"/>
                <w:szCs w:val="17"/>
                <w:color w:val="auto"/>
              </w:rPr>
            </w:pPr>
          </w:p>
        </w:tc>
        <w:tc>
          <w:tcPr>
            <w:tcW w:w="22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30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(Principal Executive Officer) pursuant to Section 302 of Sarbanes-Oxley Act of 2002.</w:t>
            </w: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9120" w:type="dxa"/>
            <w:vAlign w:val="bottom"/>
            <w:tcBorders>
              <w:top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rPr>
              <w:t>Certification of Chief Financial Officer (Principal Financial Officer) pursuant to Section 302 of Sarbanes-Oxley Act of 2002.</w:t>
            </w:r>
          </w:p>
        </w:tc>
        <w:tc>
          <w:tcPr>
            <w:tcW w:w="11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32.1</w:t>
            </w:r>
            <w:r>
              <w:rPr>
                <w:rFonts w:ascii="Times New Roman" w:cs="Times New Roman" w:eastAsia="Times New Roman" w:hAnsi="Times New Roman"/>
                <w:sz w:val="24"/>
                <w:szCs w:val="24"/>
                <w:color w:val="auto"/>
                <w:w w:val="98"/>
                <w:vertAlign w:val="superscript"/>
              </w:rPr>
              <w:t>+</w:t>
            </w:r>
          </w:p>
        </w:tc>
        <w:tc>
          <w:tcPr>
            <w:tcW w:w="322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780" w:type="dxa"/>
            <w:vAlign w:val="bottom"/>
            <w:gridSpan w:val="7"/>
            <w:shd w:val="clear" w:color="auto" w:fill="0000FF"/>
          </w:tcPr>
          <w:p>
            <w:pPr>
              <w:spacing w:after="0" w:line="20" w:lineRule="exact"/>
              <w:rPr>
                <w:sz w:val="1"/>
                <w:szCs w:val="1"/>
                <w:color w:val="auto"/>
              </w:rPr>
            </w:pPr>
          </w:p>
        </w:tc>
        <w:tc>
          <w:tcPr>
            <w:tcW w:w="1040" w:type="dxa"/>
            <w:vAlign w:val="bottom"/>
            <w:gridSpan w:val="9"/>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vMerge w:val="continue"/>
          </w:tcPr>
          <w:p>
            <w:pPr>
              <w:spacing w:after="0"/>
              <w:rPr>
                <w:sz w:val="24"/>
                <w:szCs w:val="24"/>
                <w:color w:val="auto"/>
              </w:rPr>
            </w:pPr>
          </w:p>
        </w:tc>
        <w:tc>
          <w:tcPr>
            <w:tcW w:w="10060" w:type="dxa"/>
            <w:vAlign w:val="bottom"/>
            <w:tcBorders>
              <w:bottom w:val="single" w:sz="8" w:color="0000FF"/>
            </w:tcBorders>
            <w:gridSpan w:val="19"/>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(Principal Executive Officer) and Chief Financial Officer (Principal Financial Officer) pursuant to</w:t>
            </w:r>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22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Section 906 of Sarbanes-Oxley Act of 2002.</w:t>
            </w:r>
          </w:p>
        </w:tc>
        <w:tc>
          <w:tcPr>
            <w:tcW w:w="20" w:type="dxa"/>
            <w:vAlign w:val="bottom"/>
            <w:tcBorders>
              <w:bottom w:val="single" w:sz="8" w:color="0000EE"/>
            </w:tcBorders>
          </w:tcPr>
          <w:p>
            <w:pPr>
              <w:spacing w:after="0"/>
              <w:rPr>
                <w:sz w:val="17"/>
                <w:szCs w:val="17"/>
                <w:color w:val="auto"/>
              </w:rPr>
            </w:pPr>
          </w:p>
        </w:tc>
        <w:tc>
          <w:tcPr>
            <w:tcW w:w="70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101.INS*</w:t>
            </w:r>
          </w:p>
        </w:tc>
        <w:tc>
          <w:tcPr>
            <w:tcW w:w="1030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 within</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030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30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30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auto"/>
              </w:rPr>
              <w:t>Cover Page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9" w:lineRule="exact"/>
        <w:rPr>
          <w:sz w:val="20"/>
          <w:szCs w:val="20"/>
          <w:color w:val="auto"/>
        </w:rPr>
      </w:pPr>
    </w:p>
    <w:p>
      <w:pPr>
        <w:ind w:right="200" w:firstLine="8"/>
        <w:spacing w:after="0" w:line="255" w:lineRule="auto"/>
        <w:tabs>
          <w:tab w:leader="none" w:pos="1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2" w:name="page33"/>
    <w:bookmarkEnd w:id="3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5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5715</wp:posOffset>
            </wp:positionV>
            <wp:extent cx="29229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826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23"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2026</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08" w:right="5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Remy Luthringer Ph.D.</w:t>
            </w:r>
          </w:p>
        </w:tc>
      </w:tr>
      <w:tr>
        <w:trPr>
          <w:trHeight w:val="191"/>
        </w:trPr>
        <w:tc>
          <w:tcPr>
            <w:tcW w:w="676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Remy Luthringer Ph.D.</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Chairman and</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67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1438"/>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Ahlholm, certify that:</w:t>
      </w:r>
    </w:p>
    <w:p>
      <w:pPr>
        <w:spacing w:after="0" w:line="11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Frederick Ahlholm</w:t>
            </w:r>
          </w:p>
        </w:tc>
      </w:tr>
      <w:tr>
        <w:trPr>
          <w:trHeight w:val="191"/>
        </w:trPr>
        <w:tc>
          <w:tcPr>
            <w:tcW w:w="676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Frederick Ahlholm</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67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1222"/>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spacing w:after="0" w:line="72" w:lineRule="exact"/>
        <w:rPr>
          <w:sz w:val="20"/>
          <w:szCs w:val="20"/>
          <w:color w:val="auto"/>
        </w:rPr>
      </w:pPr>
    </w:p>
    <w:p>
      <w:pPr>
        <w:ind w:left="5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“Quarterly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7"/>
          <w:szCs w:val="17"/>
          <w:color w:val="auto"/>
        </w:rPr>
        <w:t>Remy Luthringer, Ph.D.</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Frederick Ahlholm</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Roman"/>
      <w:start w:val="3"/>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46" Type="http://schemas.openxmlformats.org/officeDocument/2006/relationships/hyperlink" Target="https://www.sec.gov/Archives/edgar/data/0001598646/000104746914005459/a2219972zex-3_1.htm" TargetMode="External"/><Relationship Id="rId147" Type="http://schemas.openxmlformats.org/officeDocument/2006/relationships/hyperlink" Target="https://www.sec.gov/Archives/edgar/data/1598646/000119312522176540/d314076dex31.htm" TargetMode="External"/><Relationship Id="rId148" Type="http://schemas.openxmlformats.org/officeDocument/2006/relationships/hyperlink" Target="https://www.sec.gov/Archives/edgar/data/1598646/000119312525330849/d73753dex33.htm" TargetMode="External"/><Relationship Id="rId149" Type="http://schemas.openxmlformats.org/officeDocument/2006/relationships/hyperlink" Target="https://www.sec.gov/Archives/edgar/data/0001598646/000156459019039496/nerv-ex32_112.htm" TargetMode="External"/><Relationship Id="rId150" Type="http://schemas.openxmlformats.org/officeDocument/2006/relationships/hyperlink" Target="https://www.sec.gov/Archives/edgar/data/1598646/000119312525245552/d28380dex31.htm" TargetMode="External"/><Relationship Id="rId151" Type="http://schemas.openxmlformats.org/officeDocument/2006/relationships/hyperlink" Target="https://www.sec.gov/Archives/edgar/data/1598646/000119312526140148/d143634dex101.htm" TargetMode="External"/><Relationship Id="rId152" Type="http://schemas.openxmlformats.org/officeDocument/2006/relationships/hyperlink" Target="https://www.sec.gov/Archives/edgar/data/1598646/000119312526140148/d14363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2026-05-05T07:33:47Z</dcterms:created>
  <dcterms:modified xsi:type="dcterms:W3CDTF">2026-05-05T07:33:47Z</dcterms:modified>
</cp:coreProperties>
</file>