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rFonts w:ascii="MS PGothic" w:cs="MS PGothic" w:eastAsia="MS PGothic" w:hAnsi="MS PGothic"/>
          <w:sz w:val="16"/>
          <w:szCs w:val="16"/>
          <w:color w:val="auto"/>
        </w:rPr>
      </w:pPr>
    </w:p>
    <w:p>
      <w:pPr>
        <w:ind w:left="38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June 30, 2023</w:t>
      </w:r>
    </w:p>
    <w:p>
      <w:pPr>
        <w:spacing w:after="0" w:line="117" w:lineRule="exact"/>
        <w:rPr>
          <w:rFonts w:ascii="MS PGothic" w:cs="MS PGothic" w:eastAsia="MS PGothic" w:hAnsi="MS PGothic"/>
          <w:sz w:val="16"/>
          <w:szCs w:val="16"/>
          <w:color w:val="auto"/>
        </w:rPr>
      </w:pPr>
    </w:p>
    <w:p>
      <w:pPr>
        <w:ind w:left="54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3674110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70"/>
              <w:spacing w:after="0"/>
              <w:rPr>
                <w:sz w:val="20"/>
                <w:szCs w:val="20"/>
                <w:color w:val="auto"/>
              </w:rPr>
            </w:pPr>
            <w:r>
              <w:rPr>
                <w:rFonts w:ascii="Arial" w:cs="Arial" w:eastAsia="Arial" w:hAnsi="Arial"/>
                <w:sz w:val="18"/>
                <w:szCs w:val="18"/>
                <w:b w:val="1"/>
                <w:bCs w:val="1"/>
                <w:color w:val="auto"/>
              </w:rPr>
              <w:t>26-0784194</w:t>
            </w:r>
          </w:p>
        </w:tc>
      </w:tr>
      <w:tr>
        <w:trPr>
          <w:trHeight w:val="225"/>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Incorporation or Organization)</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Identification No.)</w:t>
            </w:r>
          </w:p>
        </w:tc>
      </w:tr>
      <w:tr>
        <w:trPr>
          <w:trHeight w:val="468"/>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1500 District Avenue</w:t>
            </w:r>
          </w:p>
        </w:tc>
        <w:tc>
          <w:tcPr>
            <w:tcW w:w="3120" w:type="dxa"/>
            <w:vAlign w:val="bottom"/>
          </w:tcPr>
          <w:p>
            <w:pPr>
              <w:spacing w:after="0"/>
              <w:rPr>
                <w:sz w:val="24"/>
                <w:szCs w:val="24"/>
                <w:color w:val="auto"/>
              </w:rPr>
            </w:pPr>
          </w:p>
        </w:tc>
      </w:tr>
      <w:tr>
        <w:trPr>
          <w:trHeight w:val="234"/>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4"/>
              </w:rPr>
              <w:t>Burlington, MA</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(Zip Code)</w:t>
            </w:r>
          </w:p>
        </w:tc>
      </w:tr>
    </w:tbl>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3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0"/>
        </w:trPr>
        <w:tc>
          <w:tcPr>
            <w:tcW w:w="43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r>
      <w:tr>
        <w:trPr>
          <w:trHeight w:val="233"/>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78" w:lineRule="exact"/>
        <w:rPr>
          <w:sz w:val="24"/>
          <w:szCs w:val="24"/>
          <w:color w:val="auto"/>
        </w:rPr>
      </w:pPr>
    </w:p>
    <w:p>
      <w:pPr>
        <w:jc w:val="both"/>
        <w:ind w:right="2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20"/>
              <w:spacing w:after="0"/>
              <w:rPr>
                <w:sz w:val="20"/>
                <w:szCs w:val="20"/>
                <w:color w:val="auto"/>
              </w:rPr>
            </w:pPr>
            <w:r>
              <w:rPr>
                <w:rFonts w:ascii="Arial" w:cs="Arial" w:eastAsia="Arial" w:hAnsi="Arial"/>
                <w:sz w:val="16"/>
                <w:szCs w:val="16"/>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20"/>
              <w:spacing w:after="0"/>
              <w:rPr>
                <w:sz w:val="20"/>
                <w:szCs w:val="20"/>
                <w:color w:val="auto"/>
              </w:rPr>
            </w:pPr>
            <w:r>
              <w:rPr>
                <w:rFonts w:ascii="Arial" w:cs="Arial" w:eastAsia="Arial" w:hAnsi="Arial"/>
                <w:sz w:val="16"/>
                <w:szCs w:val="16"/>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92"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20" w:val="left"/>
          <w:tab w:leader="none" w:pos="7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$0.0001 par value per share, outstanding as of July 27, 2023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13"/>
          </w:tcPr>
          <w:p>
            <w:pPr>
              <w:jc w:val="center"/>
              <w:ind w:right="2580"/>
              <w:spacing w:after="0" w:line="182" w:lineRule="exact"/>
              <w:rPr>
                <w:sz w:val="20"/>
                <w:szCs w:val="20"/>
                <w:color w:val="auto"/>
              </w:rPr>
            </w:pPr>
            <w:r>
              <w:rPr>
                <w:rFonts w:ascii="Arial" w:cs="Arial" w:eastAsia="Arial" w:hAnsi="Arial"/>
                <w:sz w:val="18"/>
                <w:szCs w:val="18"/>
                <w:b w:val="1"/>
                <w:bCs w:val="1"/>
                <w:color w:val="0000FF"/>
                <w:w w:val="95"/>
              </w:rPr>
              <w:t>PART I — Financial Information</w:t>
            </w:r>
          </w:p>
        </w:tc>
        <w:tc>
          <w:tcPr>
            <w:tcW w:w="680" w:type="dxa"/>
            <w:vAlign w:val="bottom"/>
          </w:tcPr>
          <w:p>
            <w:pPr>
              <w:spacing w:after="0"/>
              <w:rPr>
                <w:sz w:val="15"/>
                <w:szCs w:val="15"/>
                <w:color w:val="auto"/>
              </w:rPr>
            </w:pPr>
          </w:p>
        </w:tc>
      </w:tr>
      <w:tr>
        <w:trPr>
          <w:trHeight w:val="46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340" w:type="dxa"/>
            <w:vAlign w:val="bottom"/>
            <w:gridSpan w:val="8"/>
          </w:tcPr>
          <w:p>
            <w:pPr>
              <w:spacing w:after="0"/>
              <w:rPr>
                <w:sz w:val="20"/>
                <w:szCs w:val="20"/>
                <w:color w:val="auto"/>
              </w:rPr>
            </w:pPr>
            <w:r>
              <w:rPr>
                <w:rFonts w:ascii="Arial" w:cs="Arial" w:eastAsia="Arial" w:hAnsi="Arial"/>
                <w:sz w:val="18"/>
                <w:szCs w:val="18"/>
                <w:color w:val="0000FF"/>
              </w:rPr>
              <w:t>Financial Statements (unaudited):</w:t>
            </w: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June 30, 2023 and December 31, 2022</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9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8"/>
              </w:rPr>
              <w:t>Condensed Consolidated Statements of Operations for the three and six months ended June 30, 2023 and 2022</w:t>
            </w:r>
          </w:p>
        </w:tc>
        <w:tc>
          <w:tcPr>
            <w:tcW w:w="150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90"/>
              </w:rPr>
              <w:t>Condensed Consolidated Statements of Stockholders’ (Deficit) Equity for the six months ended June 30, 2023 and 2022</w:t>
            </w: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3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2023 and 2022</w:t>
            </w:r>
          </w:p>
        </w:tc>
        <w:tc>
          <w:tcPr>
            <w:tcW w:w="214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64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04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FF"/>
              </w:rPr>
              <w:t>Controls and Procedures</w:t>
            </w:r>
          </w:p>
        </w:tc>
        <w:tc>
          <w:tcPr>
            <w:tcW w:w="5180" w:type="dxa"/>
            <w:vAlign w:val="bottom"/>
            <w:gridSpan w:val="9"/>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6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00" w:type="dxa"/>
            <w:vAlign w:val="bottom"/>
            <w:gridSpan w:val="12"/>
          </w:tcPr>
          <w:p>
            <w:pPr>
              <w:jc w:val="center"/>
              <w:ind w:right="3540"/>
              <w:spacing w:after="0"/>
              <w:rPr>
                <w:sz w:val="20"/>
                <w:szCs w:val="20"/>
                <w:color w:val="auto"/>
              </w:rPr>
            </w:pPr>
            <w:r>
              <w:rPr>
                <w:rFonts w:ascii="Arial" w:cs="Arial" w:eastAsia="Arial" w:hAnsi="Arial"/>
                <w:sz w:val="18"/>
                <w:szCs w:val="18"/>
                <w:b w:val="1"/>
                <w:bCs w:val="1"/>
                <w:color w:val="0000FF"/>
                <w:w w:val="96"/>
              </w:rPr>
              <w:t>PART II — Other Information</w:t>
            </w:r>
          </w:p>
        </w:tc>
        <w:tc>
          <w:tcPr>
            <w:tcW w:w="680" w:type="dxa"/>
            <w:vAlign w:val="bottom"/>
          </w:tcPr>
          <w:p>
            <w:pPr>
              <w:spacing w:after="0"/>
              <w:rPr>
                <w:sz w:val="24"/>
                <w:szCs w:val="24"/>
                <w:color w:val="auto"/>
              </w:rPr>
            </w:pPr>
          </w:p>
        </w:tc>
      </w:tr>
      <w:tr>
        <w:trPr>
          <w:trHeight w:val="46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44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360" w:type="dxa"/>
            <w:vAlign w:val="bottom"/>
            <w:tcBorders>
              <w:top w:val="single" w:sz="8" w:color="0000EE"/>
            </w:tcBorders>
            <w:gridSpan w:val="4"/>
          </w:tcPr>
          <w:p>
            <w:pPr>
              <w:spacing w:after="0"/>
              <w:rPr>
                <w:sz w:val="24"/>
                <w:szCs w:val="24"/>
                <w:color w:val="auto"/>
              </w:rPr>
            </w:pPr>
          </w:p>
        </w:tc>
        <w:tc>
          <w:tcPr>
            <w:tcW w:w="36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FF"/>
                <w:w w:val="83"/>
              </w:rPr>
              <w:t>Risk Factors</w:t>
            </w:r>
          </w:p>
        </w:tc>
        <w:tc>
          <w:tcPr>
            <w:tcW w:w="420" w:type="dxa"/>
            <w:vAlign w:val="bottom"/>
            <w:tcBorders>
              <w:top w:val="single" w:sz="8" w:color="0000EE"/>
            </w:tcBorders>
            <w:gridSpan w:val="2"/>
          </w:tcPr>
          <w:p>
            <w:pPr>
              <w:spacing w:after="0"/>
              <w:rPr>
                <w:sz w:val="19"/>
                <w:szCs w:val="19"/>
                <w:color w:val="auto"/>
              </w:rPr>
            </w:pPr>
          </w:p>
        </w:tc>
        <w:tc>
          <w:tcPr>
            <w:tcW w:w="8160" w:type="dxa"/>
            <w:vAlign w:val="bottom"/>
            <w:gridSpan w:val="16"/>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FF"/>
                <w:w w:val="88"/>
              </w:rPr>
              <w:t>Defaults Upon Senior Securities</w:t>
            </w:r>
          </w:p>
        </w:tc>
        <w:tc>
          <w:tcPr>
            <w:tcW w:w="2020" w:type="dxa"/>
            <w:vAlign w:val="bottom"/>
            <w:tcBorders>
              <w:top w:val="single" w:sz="8" w:color="0000EE"/>
            </w:tcBorders>
            <w:gridSpan w:val="6"/>
          </w:tcPr>
          <w:p>
            <w:pPr>
              <w:spacing w:after="0"/>
              <w:rPr>
                <w:sz w:val="19"/>
                <w:szCs w:val="19"/>
                <w:color w:val="auto"/>
              </w:rPr>
            </w:pPr>
          </w:p>
        </w:tc>
        <w:tc>
          <w:tcPr>
            <w:tcW w:w="5140" w:type="dxa"/>
            <w:vAlign w:val="bottom"/>
            <w:gridSpan w:val="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Other Information</w:t>
            </w:r>
          </w:p>
        </w:tc>
        <w:tc>
          <w:tcPr>
            <w:tcW w:w="7720" w:type="dxa"/>
            <w:vAlign w:val="bottom"/>
            <w:gridSpan w:val="1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FF"/>
                <w:w w:val="85"/>
              </w:rPr>
              <w:t>Exhibits</w:t>
            </w:r>
          </w:p>
        </w:tc>
        <w:tc>
          <w:tcPr>
            <w:tcW w:w="700" w:type="dxa"/>
            <w:vAlign w:val="bottom"/>
            <w:tcBorders>
              <w:top w:val="single" w:sz="8" w:color="0000EE"/>
            </w:tcBorders>
            <w:gridSpan w:val="2"/>
          </w:tcPr>
          <w:p>
            <w:pPr>
              <w:spacing w:after="0"/>
              <w:rPr>
                <w:sz w:val="19"/>
                <w:szCs w:val="19"/>
                <w:color w:val="auto"/>
              </w:rPr>
            </w:pPr>
          </w:p>
        </w:tc>
        <w:tc>
          <w:tcPr>
            <w:tcW w:w="8180" w:type="dxa"/>
            <w:vAlign w:val="bottom"/>
            <w:gridSpan w:val="17"/>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66"/>
        </w:trPr>
        <w:tc>
          <w:tcPr>
            <w:tcW w:w="20" w:type="dxa"/>
            <w:vAlign w:val="bottom"/>
          </w:tcPr>
          <w:p>
            <w:pPr>
              <w:spacing w:after="0"/>
              <w:rPr>
                <w:sz w:val="24"/>
                <w:szCs w:val="24"/>
                <w:color w:val="auto"/>
              </w:rPr>
            </w:pPr>
          </w:p>
        </w:tc>
        <w:tc>
          <w:tcPr>
            <w:tcW w:w="1054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898"/>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800" w:type="dxa"/>
            <w:vAlign w:val="bottom"/>
            <w:gridSpan w:val="13"/>
          </w:tcPr>
          <w:p>
            <w:pPr>
              <w:jc w:val="right"/>
              <w:ind w:right="1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2022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440" w:type="dxa"/>
            <w:vAlign w:val="bottom"/>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51,796,711</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36,093,606</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3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140" w:type="dxa"/>
            <w:vAlign w:val="bottom"/>
            <w:shd w:val="clear" w:color="auto" w:fill="CFF0FC"/>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329,153</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848,117</w:t>
            </w:r>
          </w:p>
        </w:tc>
        <w:tc>
          <w:tcPr>
            <w:tcW w:w="140" w:type="dxa"/>
            <w:vAlign w:val="bottom"/>
          </w:tcPr>
          <w:p>
            <w:pPr>
              <w:spacing w:after="0"/>
              <w:rPr>
                <w:sz w:val="21"/>
                <w:szCs w:val="21"/>
                <w:color w:val="auto"/>
              </w:rPr>
            </w:pPr>
          </w:p>
        </w:tc>
      </w:tr>
      <w:tr>
        <w:trPr>
          <w:trHeight w:val="237"/>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52,225,864</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40,158,941</w:t>
            </w:r>
          </w:p>
        </w:tc>
        <w:tc>
          <w:tcPr>
            <w:tcW w:w="140" w:type="dxa"/>
            <w:vAlign w:val="bottom"/>
            <w:shd w:val="clear" w:color="auto" w:fill="CFF0FC"/>
          </w:tcPr>
          <w:p>
            <w:pPr>
              <w:spacing w:after="0"/>
              <w:rPr>
                <w:sz w:val="20"/>
                <w:szCs w:val="20"/>
                <w:color w:val="auto"/>
              </w:rPr>
            </w:pPr>
          </w:p>
        </w:tc>
      </w:tr>
      <w:tr>
        <w:trPr>
          <w:trHeight w:val="243"/>
        </w:trPr>
        <w:tc>
          <w:tcPr>
            <w:tcW w:w="7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net</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13,605</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Capitalized software, net</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29,797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42,567</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67,138,665</w:t>
            </w:r>
          </w:p>
        </w:tc>
        <w:tc>
          <w:tcPr>
            <w:tcW w:w="3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55,087,233</w:t>
            </w:r>
          </w:p>
        </w:tc>
        <w:tc>
          <w:tcPr>
            <w:tcW w:w="14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9"/>
        </w:trPr>
        <w:tc>
          <w:tcPr>
            <w:tcW w:w="744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(Deficit) Equity</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298,251</w:t>
            </w:r>
          </w:p>
        </w:tc>
        <w:tc>
          <w:tcPr>
            <w:tcW w:w="3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969,667</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1,609,555</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1,907,806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1,377,576</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3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77,741,760</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73,733,876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79,649,566</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75,111,452</w:t>
            </w:r>
          </w:p>
        </w:tc>
        <w:tc>
          <w:tcPr>
            <w:tcW w:w="140" w:type="dxa"/>
            <w:vAlign w:val="bottom"/>
          </w:tcPr>
          <w:p>
            <w:pPr>
              <w:spacing w:after="0"/>
              <w:rPr>
                <w:sz w:val="20"/>
                <w:szCs w:val="20"/>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7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(deficit) equity</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440" w:type="dxa"/>
            <w:vAlign w:val="bottom"/>
          </w:tcPr>
          <w:p>
            <w:pPr>
              <w:ind w:left="200"/>
              <w:spacing w:after="0"/>
              <w:rPr>
                <w:sz w:val="20"/>
                <w:szCs w:val="20"/>
                <w:color w:val="auto"/>
              </w:rPr>
            </w:pPr>
            <w:r>
              <w:rPr>
                <w:rFonts w:ascii="Arial" w:cs="Arial" w:eastAsia="Arial" w:hAnsi="Arial"/>
                <w:sz w:val="18"/>
                <w:szCs w:val="18"/>
                <w:color w:val="auto"/>
                <w:w w:val="89"/>
              </w:rPr>
              <w:t>Preferred stock; $0.0001 par value; 100,000,000 shares authorized; none issued or outstanding as of</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June 30, 2023 and December 31, 2022, respectively</w:t>
            </w:r>
          </w:p>
        </w:tc>
        <w:tc>
          <w:tcPr>
            <w:tcW w:w="32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Common stock; $0.0001 par value; 125,000,000 shares authorized; 6,993,406 and 5,340,193 shares</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367,460,923</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346,785,322</w:t>
            </w: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(379,972,523 )</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(366,810,075 )</w:t>
            </w:r>
          </w:p>
        </w:tc>
      </w:tr>
      <w:tr>
        <w:trPr>
          <w:trHeight w:val="20"/>
        </w:trPr>
        <w:tc>
          <w:tcPr>
            <w:tcW w:w="7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stockholders’ (deficit) equity</w:t>
            </w:r>
          </w:p>
        </w:tc>
        <w:tc>
          <w:tcPr>
            <w:tcW w:w="32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(12,510,901 )</w:t>
            </w:r>
          </w:p>
        </w:tc>
        <w:tc>
          <w:tcPr>
            <w:tcW w:w="2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(20,024,219 )</w:t>
            </w:r>
          </w:p>
        </w:tc>
      </w:tr>
      <w:tr>
        <w:trPr>
          <w:trHeight w:val="276"/>
        </w:trPr>
        <w:tc>
          <w:tcPr>
            <w:tcW w:w="7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67,138,665</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55,087,233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-3154045</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-3154045</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-2193925</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-1877060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-1877060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-351155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5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44"/>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63"/>
        </w:trPr>
        <w:tc>
          <w:tcPr>
            <w:tcW w:w="5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1,887,476</w:t>
            </w:r>
          </w:p>
        </w:tc>
        <w:tc>
          <w:tcPr>
            <w:tcW w:w="3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4,131,978</w:t>
            </w:r>
          </w:p>
        </w:tc>
        <w:tc>
          <w:tcPr>
            <w:tcW w:w="2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4,541,029</w:t>
            </w:r>
          </w:p>
        </w:tc>
        <w:tc>
          <w:tcPr>
            <w:tcW w:w="3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9,091,841</w:t>
            </w:r>
          </w:p>
        </w:tc>
        <w:tc>
          <w:tcPr>
            <w:tcW w:w="140" w:type="dxa"/>
            <w:vAlign w:val="bottom"/>
          </w:tcPr>
          <w:p>
            <w:pPr>
              <w:spacing w:after="0"/>
              <w:rPr>
                <w:sz w:val="22"/>
                <w:szCs w:val="22"/>
                <w:color w:val="auto"/>
              </w:rPr>
            </w:pPr>
          </w:p>
        </w:tc>
      </w:tr>
      <w:tr>
        <w:trPr>
          <w:trHeight w:val="257"/>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2,632,519</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2,833,211</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5,327,484</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5,862,606</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50"/>
        </w:trPr>
        <w:tc>
          <w:tcPr>
            <w:tcW w:w="55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4,519,995</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6,965,189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9,868,513</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14,954,447</w:t>
            </w:r>
          </w:p>
        </w:tc>
        <w:tc>
          <w:tcPr>
            <w:tcW w:w="140" w:type="dxa"/>
            <w:vAlign w:val="bottom"/>
          </w:tcPr>
          <w:p>
            <w:pPr>
              <w:spacing w:after="0"/>
              <w:rPr>
                <w:sz w:val="21"/>
                <w:szCs w:val="21"/>
                <w:color w:val="auto"/>
              </w:rPr>
            </w:pPr>
          </w:p>
        </w:tc>
      </w:tr>
      <w:tr>
        <w:trPr>
          <w:trHeight w:val="27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(4,519,995 )</w:t>
            </w:r>
          </w:p>
        </w:tc>
        <w:tc>
          <w:tcPr>
            <w:tcW w:w="24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(6,965,189 )</w:t>
            </w:r>
          </w:p>
        </w:tc>
        <w:tc>
          <w:tcPr>
            <w:tcW w:w="20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(9,868,513 )</w:t>
            </w:r>
          </w:p>
        </w:tc>
        <w:tc>
          <w:tcPr>
            <w:tcW w:w="20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(14,954,447 )</w:t>
            </w:r>
          </w:p>
        </w:tc>
      </w:tr>
      <w:tr>
        <w:trPr>
          <w:trHeight w:val="270"/>
        </w:trPr>
        <w:tc>
          <w:tcPr>
            <w:tcW w:w="5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r>
      <w:tr>
        <w:trPr>
          <w:trHeight w:val="27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(losses) gains</w:t>
            </w:r>
          </w:p>
        </w:tc>
        <w:tc>
          <w:tcPr>
            <w:tcW w:w="24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(7,206 )</w:t>
            </w:r>
          </w:p>
        </w:tc>
        <w:tc>
          <w:tcPr>
            <w:tcW w:w="24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(15,892 )</w:t>
            </w:r>
          </w:p>
        </w:tc>
        <w:tc>
          <w:tcPr>
            <w:tcW w:w="20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(2,198 )</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365,623</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72,378</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729,841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79,795</w:t>
            </w:r>
          </w:p>
        </w:tc>
        <w:tc>
          <w:tcPr>
            <w:tcW w:w="140" w:type="dxa"/>
            <w:vAlign w:val="bottom"/>
          </w:tcPr>
          <w:p>
            <w:pPr>
              <w:spacing w:after="0"/>
              <w:rPr>
                <w:sz w:val="22"/>
                <w:szCs w:val="22"/>
                <w:color w:val="auto"/>
              </w:rPr>
            </w:pPr>
          </w:p>
        </w:tc>
      </w:tr>
      <w:tr>
        <w:trPr>
          <w:trHeight w:val="25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for the sale of future royalties</w:t>
            </w:r>
          </w:p>
        </w:tc>
        <w:tc>
          <w:tcPr>
            <w:tcW w:w="2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(2,030,458 )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(1,826,499 )</w:t>
            </w:r>
          </w:p>
        </w:tc>
        <w:tc>
          <w:tcPr>
            <w:tcW w:w="2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(4,007,884 )</w:t>
            </w:r>
          </w:p>
        </w:tc>
        <w:tc>
          <w:tcPr>
            <w:tcW w:w="2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(3,605,293 )</w:t>
            </w: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(6,192,036 )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(8,717,714 </w:t>
            </w:r>
            <w:r>
              <w:rPr>
                <w:rFonts w:ascii="Arial" w:cs="Arial" w:eastAsia="Arial" w:hAnsi="Arial"/>
                <w:sz w:val="18"/>
                <w:szCs w:val="18"/>
                <w:color w:val="auto"/>
                <w:highlight w:val="white"/>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(13,162,448 )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(18,482,143 )</w:t>
            </w: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1"/>
        </w:trPr>
        <w:tc>
          <w:tcPr>
            <w:tcW w:w="5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(3.46 )</w:t>
            </w: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5,511,163</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5,340,196</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5,426,150</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5,340,196</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-1748155</wp:posOffset>
            </wp:positionV>
            <wp:extent cx="8572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-1748155</wp:posOffset>
            </wp:positionV>
            <wp:extent cx="8572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-1748155</wp:posOffset>
            </wp:positionV>
            <wp:extent cx="8572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-1748155</wp:posOffset>
            </wp:positionV>
            <wp:extent cx="8572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-719455</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-719455</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-719455</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13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Paid-In Capital</w:t>
            </w:r>
          </w:p>
        </w:tc>
        <w:tc>
          <w:tcPr>
            <w:tcW w:w="160" w:type="dxa"/>
            <w:vAlign w:val="bottom"/>
          </w:tcPr>
          <w:p>
            <w:pPr>
              <w:spacing w:after="0"/>
              <w:rPr>
                <w:sz w:val="14"/>
                <w:szCs w:val="14"/>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1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Total</w:t>
            </w:r>
          </w:p>
        </w:tc>
      </w:tr>
      <w:tr>
        <w:trPr>
          <w:trHeight w:val="23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January 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5,340,196</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342,676,508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(334,701,399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7,975,643</w:t>
            </w:r>
          </w:p>
        </w:tc>
        <w:tc>
          <w:tcPr>
            <w:tcW w:w="140" w:type="dxa"/>
            <w:vAlign w:val="bottom"/>
            <w:shd w:val="clear" w:color="auto" w:fill="CFF0FC"/>
          </w:tcPr>
          <w:p>
            <w:pPr>
              <w:spacing w:after="0"/>
              <w:rPr>
                <w:sz w:val="20"/>
                <w:szCs w:val="20"/>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1,052,656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1,052,656</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(9,764,429 )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(9,764,429 )</w:t>
            </w:r>
          </w:p>
        </w:tc>
      </w:tr>
      <w:tr>
        <w:trPr>
          <w:trHeight w:val="20"/>
        </w:trPr>
        <w:tc>
          <w:tcPr>
            <w:tcW w:w="36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5,340,196</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343,729,164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 xml:space="preserve">(344,465,828 </w:t>
            </w:r>
            <w:r>
              <w:rPr>
                <w:rFonts w:ascii="Arial" w:cs="Arial" w:eastAsia="Arial" w:hAnsi="Arial"/>
                <w:sz w:val="18"/>
                <w:szCs w:val="18"/>
                <w:b w:val="1"/>
                <w:bCs w:val="1"/>
                <w:color w:val="auto"/>
                <w:highlight w:val="white"/>
                <w:w w:val="97"/>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(736,130 )</w:t>
            </w:r>
          </w:p>
        </w:tc>
      </w:tr>
      <w:tr>
        <w:trPr>
          <w:trHeight w:val="20"/>
        </w:trPr>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1,071,605</w:t>
            </w:r>
          </w:p>
        </w:tc>
        <w:tc>
          <w:tcPr>
            <w:tcW w:w="140" w:type="dxa"/>
            <w:vAlign w:val="bottom"/>
            <w:shd w:val="clear" w:color="auto" w:fill="CFF0FC"/>
          </w:tcPr>
          <w:p>
            <w:pPr>
              <w:spacing w:after="0"/>
              <w:rPr>
                <w:sz w:val="19"/>
                <w:szCs w:val="19"/>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8"/>
                <w:szCs w:val="18"/>
                <w:color w:val="auto"/>
                <w:w w:val="92"/>
              </w:rPr>
              <w:t>Adjustments due to the rounding impact from the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reverse stock split for fractional shares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(8,717,714 )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(8,717,714 )</w:t>
            </w:r>
          </w:p>
        </w:tc>
      </w:tr>
      <w:tr>
        <w:trPr>
          <w:trHeight w:val="20"/>
        </w:trPr>
        <w:tc>
          <w:tcPr>
            <w:tcW w:w="36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5,340,193</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344,800,764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 xml:space="preserve">(353,183,542 </w:t>
            </w:r>
            <w:r>
              <w:rPr>
                <w:rFonts w:ascii="Arial" w:cs="Arial" w:eastAsia="Arial" w:hAnsi="Arial"/>
                <w:sz w:val="18"/>
                <w:szCs w:val="18"/>
                <w:b w:val="1"/>
                <w:bCs w:val="1"/>
                <w:color w:val="auto"/>
                <w:highlight w:val="white"/>
                <w:w w:val="97"/>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(8,382,244 )</w:t>
            </w:r>
          </w:p>
        </w:tc>
      </w:tr>
      <w:tr>
        <w:trPr>
          <w:trHeight w:val="20"/>
        </w:trPr>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6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spacing w:after="0"/>
              <w:rPr>
                <w:sz w:val="19"/>
                <w:szCs w:val="19"/>
                <w:color w:val="auto"/>
              </w:rPr>
            </w:pP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Balances at January 1, 2023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5,340,193</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346,785,322</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(366,810,075 )</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(20,024,219 )</w:t>
            </w:r>
          </w:p>
        </w:tc>
      </w:tr>
      <w:tr>
        <w:trPr>
          <w:trHeight w:val="24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376,459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376,459</w:t>
            </w:r>
          </w:p>
        </w:tc>
        <w:tc>
          <w:tcPr>
            <w:tcW w:w="140" w:type="dxa"/>
            <w:vAlign w:val="bottom"/>
            <w:shd w:val="clear" w:color="auto" w:fill="CFF0FC"/>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(6,970,412 )</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(6,970,412 )</w:t>
            </w: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5,340,193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347,161,781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(373,780,487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(26,618,172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196"/>
        </w:trPr>
        <w:tc>
          <w:tcPr>
            <w:tcW w:w="3620" w:type="dxa"/>
            <w:vAlign w:val="bottom"/>
          </w:tcPr>
          <w:p>
            <w:pPr>
              <w:ind w:left="20"/>
              <w:spacing w:after="0" w:line="195" w:lineRule="exact"/>
              <w:rPr>
                <w:sz w:val="20"/>
                <w:szCs w:val="20"/>
                <w:color w:val="auto"/>
              </w:rPr>
            </w:pPr>
            <w:r>
              <w:rPr>
                <w:rFonts w:ascii="Arial" w:cs="Arial" w:eastAsia="Arial" w:hAnsi="Arial"/>
                <w:sz w:val="18"/>
                <w:szCs w:val="18"/>
                <w:color w:val="auto"/>
                <w:w w:val="90"/>
              </w:rPr>
              <w:t>Issuance of common stock and warrants pursuant</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to a private placement</w:t>
            </w:r>
          </w:p>
        </w:tc>
        <w:tc>
          <w:tcPr>
            <w:tcW w:w="1320" w:type="dxa"/>
            <w:vAlign w:val="bottom"/>
          </w:tcPr>
          <w:p>
            <w:pPr>
              <w:jc w:val="right"/>
              <w:spacing w:after="0"/>
              <w:rPr>
                <w:sz w:val="20"/>
                <w:szCs w:val="20"/>
                <w:color w:val="auto"/>
              </w:rPr>
            </w:pPr>
            <w:r>
              <w:rPr>
                <w:rFonts w:ascii="Arial" w:cs="Arial" w:eastAsia="Arial" w:hAnsi="Arial"/>
                <w:sz w:val="18"/>
                <w:szCs w:val="18"/>
                <w:color w:val="auto"/>
              </w:rPr>
              <w:t>1,425,000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19,999,852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19,999,994</w:t>
            </w:r>
          </w:p>
        </w:tc>
        <w:tc>
          <w:tcPr>
            <w:tcW w:w="140" w:type="dxa"/>
            <w:vAlign w:val="bottom"/>
          </w:tcPr>
          <w:p>
            <w:pPr>
              <w:spacing w:after="0"/>
              <w:rPr>
                <w:sz w:val="20"/>
                <w:szCs w:val="20"/>
                <w:color w:val="auto"/>
              </w:rPr>
            </w:pPr>
          </w:p>
        </w:tc>
      </w:tr>
      <w:tr>
        <w:trPr>
          <w:trHeight w:val="222"/>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Costs related to issuance of common stock and</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(309,602 )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(309,602 )</w:t>
            </w:r>
          </w:p>
        </w:tc>
      </w:tr>
      <w:tr>
        <w:trPr>
          <w:trHeight w:val="215"/>
        </w:trPr>
        <w:tc>
          <w:tcPr>
            <w:tcW w:w="3620" w:type="dxa"/>
            <w:vAlign w:val="bottom"/>
          </w:tcPr>
          <w:p>
            <w:pPr>
              <w:ind w:left="20"/>
              <w:spacing w:after="0"/>
              <w:rPr>
                <w:sz w:val="20"/>
                <w:szCs w:val="20"/>
                <w:color w:val="auto"/>
              </w:rPr>
            </w:pPr>
            <w:r>
              <w:rPr>
                <w:rFonts w:ascii="Arial" w:cs="Arial" w:eastAsia="Arial" w:hAnsi="Arial"/>
                <w:sz w:val="18"/>
                <w:szCs w:val="18"/>
                <w:color w:val="auto"/>
                <w:w w:val="97"/>
              </w:rPr>
              <w:t>Vesting of performance-based restricted stock</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units</w:t>
            </w:r>
          </w:p>
        </w:tc>
        <w:tc>
          <w:tcPr>
            <w:tcW w:w="1320" w:type="dxa"/>
            <w:vAlign w:val="bottom"/>
          </w:tcPr>
          <w:p>
            <w:pPr>
              <w:jc w:val="right"/>
              <w:spacing w:after="0"/>
              <w:rPr>
                <w:sz w:val="20"/>
                <w:szCs w:val="20"/>
                <w:color w:val="auto"/>
              </w:rPr>
            </w:pPr>
            <w:r>
              <w:rPr>
                <w:rFonts w:ascii="Arial" w:cs="Arial" w:eastAsia="Arial" w:hAnsi="Arial"/>
                <w:sz w:val="18"/>
                <w:szCs w:val="18"/>
                <w:color w:val="auto"/>
              </w:rPr>
              <w:t>228,213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608,915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608,915</w:t>
            </w:r>
          </w:p>
        </w:tc>
        <w:tc>
          <w:tcPr>
            <w:tcW w:w="140" w:type="dxa"/>
            <w:vAlign w:val="bottom"/>
            <w:shd w:val="clear" w:color="auto" w:fill="CFF0FC"/>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(6,192,036 )</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(6,192,036 )</w:t>
            </w: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6,993,406</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699</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367,460,923</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(379,972,523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(12,510,901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-3154045</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-3154045</wp:posOffset>
            </wp:positionV>
            <wp:extent cx="8572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-3154045</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-3154045</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-2365375</wp:posOffset>
            </wp:positionV>
            <wp:extent cx="7683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-2365375</wp:posOffset>
            </wp:positionV>
            <wp:extent cx="8572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-2365375</wp:posOffset>
            </wp:positionV>
            <wp:extent cx="8572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-2365375</wp:posOffset>
            </wp:positionV>
            <wp:extent cx="8572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-1396365</wp:posOffset>
            </wp:positionV>
            <wp:extent cx="4003675" cy="316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03675" cy="31686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5"/>
          </w:tcPr>
          <w:p>
            <w:pPr>
              <w:jc w:val="right"/>
              <w:ind w:right="99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5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(13,162,448 )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(18,482,143 )</w:t>
            </w: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capitalized software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985,374</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2,124,261</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4,007,884</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3,605,293</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518,964</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1,161,538</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(671,416 )</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(333,486 )</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1,201,646</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923,460</w:t>
            </w:r>
          </w:p>
        </w:tc>
        <w:tc>
          <w:tcPr>
            <w:tcW w:w="140" w:type="dxa"/>
            <w:vAlign w:val="bottom"/>
          </w:tcPr>
          <w:p>
            <w:pPr>
              <w:spacing w:after="0"/>
              <w:rPr>
                <w:sz w:val="21"/>
                <w:szCs w:val="21"/>
                <w:color w:val="auto"/>
              </w:rPr>
            </w:pPr>
          </w:p>
        </w:tc>
      </w:tr>
      <w:tr>
        <w:trPr>
          <w:trHeight w:val="237"/>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(3,987,287</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(11,001,077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sales of common stock and warrants in private placement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19,999,994</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Costs paid in connection with private placements</w:t>
            </w:r>
          </w:p>
        </w:tc>
        <w:tc>
          <w:tcPr>
            <w:tcW w:w="360" w:type="dxa"/>
            <w:vAlign w:val="bottom"/>
          </w:tcPr>
          <w:p>
            <w:pPr>
              <w:spacing w:after="0"/>
              <w:rPr>
                <w:sz w:val="20"/>
                <w:szCs w:val="20"/>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(309,602 )</w:t>
            </w:r>
          </w:p>
        </w:tc>
        <w:tc>
          <w:tcPr>
            <w:tcW w:w="3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Fees paid in connection with the reverse stock split fractional shares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7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19,690,392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6"/>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15,703,105</w:t>
            </w:r>
          </w:p>
        </w:tc>
        <w:tc>
          <w:tcPr>
            <w:tcW w:w="3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(11,001,082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36,193,606</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60,855,080</w:t>
            </w:r>
          </w:p>
        </w:tc>
        <w:tc>
          <w:tcPr>
            <w:tcW w:w="140" w:type="dxa"/>
            <w:vAlign w:val="bottom"/>
          </w:tcPr>
          <w:p>
            <w:pPr>
              <w:spacing w:after="0"/>
              <w:rPr>
                <w:sz w:val="21"/>
                <w:szCs w:val="21"/>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51,896,711</w:t>
            </w:r>
          </w:p>
        </w:tc>
        <w:tc>
          <w:tcPr>
            <w:tcW w:w="3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49,853,998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92"/>
        </w:trPr>
        <w:tc>
          <w:tcPr>
            <w:tcW w:w="756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1"/>
        </w:trPr>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51,796,711</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49,753,998</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1"/>
                <w:szCs w:val="21"/>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51,896,711</w:t>
            </w:r>
          </w:p>
        </w:tc>
        <w:tc>
          <w:tcPr>
            <w:tcW w:w="3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49,853,998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-3025140</wp:posOffset>
            </wp:positionV>
            <wp:extent cx="8572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-3025140</wp:posOffset>
            </wp:positionV>
            <wp:extent cx="8572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-2708275</wp:posOffset>
            </wp:positionV>
            <wp:extent cx="857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-2708275</wp:posOffset>
            </wp:positionV>
            <wp:extent cx="857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-1765300</wp:posOffset>
            </wp:positionV>
            <wp:extent cx="857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-1765300</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-814070</wp:posOffset>
            </wp:positionV>
            <wp:extent cx="1329055"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29055" cy="31750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ind w:left="340" w:right="2760"/>
        <w:spacing w:after="0" w:line="263" w:lineRule="auto"/>
        <w:rPr>
          <w:sz w:val="20"/>
          <w:szCs w:val="20"/>
          <w:color w:val="auto"/>
        </w:rPr>
      </w:pPr>
      <w:r>
        <w:rPr>
          <w:rFonts w:ascii="Arial" w:cs="Arial" w:eastAsia="Arial" w:hAnsi="Arial"/>
          <w:sz w:val="18"/>
          <w:szCs w:val="18"/>
          <w:b w:val="1"/>
          <w:bCs w:val="1"/>
          <w:color w:val="auto"/>
        </w:rPr>
        <w:t>MINERVA NEUROSCIENCES, INC. Notes to Condensed Consolidated Financial Statements As of June 30, 2023 and for the Six Months Ended June 30, 2023 and 2022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product candidates to treat patients suffering from central nervous system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In August 2022, the Company submitted a New Drug Application (“NDA”) with the U.S. Food and Drug Administration (“FDA”) for its lead product candidate, roluperidone, for the treatment of negative symptoms in schizophrenia. In October 2022, the Company received a refusal to file letter (“RTF”) from the FDA for the NDA for roluperidone. Subsequently, the Company requested a formal dispute resolution and appealed the RTF, following which, on April 27, 2023, the FDA filed the Company’s NDA for roluperidone. In May 2023, the FDA confirmed that the NDA for roluperidone was assigned a standard review classification and a Prescription Drug User Fee Act goal date of February 26, 2024. The FDA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Operations—Clinical and Regulatory Updates—Type C Meeting” for more information.</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$95 million in potential future milestone payments.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2023, the Company had an accumulated deficit of approximately $380.0 million and net cash used in operating activities was approximately $4.0 million during the six months ended June 30, 2023.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2023, the Company had cash, cash equivalents, and restricted cash of $51.9 million, which it believes will be sufficient to meet the Company</w:t>
      </w:r>
      <w:r>
        <w:rPr>
          <w:rFonts w:ascii="Arial" w:cs="Arial" w:eastAsia="Arial" w:hAnsi="Arial"/>
          <w:sz w:val="15"/>
          <w:szCs w:val="15"/>
          <w:color w:val="auto"/>
        </w:rPr>
        <w:t>’</w:t>
      </w:r>
      <w:r>
        <w:rPr>
          <w:rFonts w:ascii="Arial" w:cs="Arial" w:eastAsia="Arial" w:hAnsi="Arial"/>
          <w:sz w:val="17"/>
          <w:szCs w:val="17"/>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7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June 16, 2023, the Company received written notice from The Nasdaq Stock Market LLC (“Nasdaq”) informing the Company that it has regained compliance with Nasdaq Listing Rule 5550(b)(2), which requires that companies listed on The Nasdaq Capital Market maintain a minimum Market Value of Listed Securities, as defined by Nasdaq, of $35 million or greater.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2023, the results of operations for the three and six months ended June 30, 2023 and 2022 and cash flows for the six months ended June 30, 2023 and 2022. The results of operations for the three and six months ended June 30, 2023 are not necessarily indicative of the results to be expected for the full year. The consolidated balance sheet as of December 31, 2022 was derived from the audited annual financial statements. The accompanying unaudited condensed consolidated financial statements and notes thereto should be read in conjunction with the audited consolidated financial statements for the year ended December 31, 2022 included in the Company’s Annual Report on Form 10-K filed with the SEC on March 8, 2023.</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held on June 10, 2022, and the specific one-for-eight (1-for-8) reverse stock split was subsequently approved by the Company’s board of directors on June 10, 2022.</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June 30, 2023 and December 31, 2022.</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Refundable regulatory fee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12, 2022, the Company paid $3,117,218 to the FDA for the NDA user fee related to roluperidone. The Company met the conditions of the Federal Food, Drug, and Cosmetic Act, as amended, for the small business waiver of the user fees and its request for a waiver of an application user fee was granted by the FDA on November 2, 2022. On January 26, 2023, the refund was received from the FDA.</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 ACCRUED EXPENSES AND OTHER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60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 and other accrued expenses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413,749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279,434</w:t>
            </w:r>
          </w:p>
        </w:tc>
        <w:tc>
          <w:tcPr>
            <w:tcW w:w="120" w:type="dxa"/>
            <w:vAlign w:val="bottom"/>
            <w:shd w:val="clear" w:color="auto" w:fill="CFF0FC"/>
          </w:tcPr>
          <w:p>
            <w:pPr>
              <w:spacing w:after="0"/>
              <w:rPr>
                <w:sz w:val="20"/>
                <w:szCs w:val="20"/>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Accrued bonus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806,156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14,832</w:t>
            </w:r>
          </w:p>
        </w:tc>
        <w:tc>
          <w:tcPr>
            <w:tcW w:w="120" w:type="dxa"/>
            <w:vAlign w:val="bottom"/>
          </w:tcPr>
          <w:p>
            <w:pPr>
              <w:spacing w:after="0"/>
              <w:rPr>
                <w:sz w:val="20"/>
                <w:szCs w:val="20"/>
                <w:color w:val="auto"/>
              </w:rPr>
            </w:pPr>
          </w:p>
        </w:tc>
      </w:tr>
      <w:tr>
        <w:trPr>
          <w:trHeight w:val="249"/>
        </w:trPr>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305,848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113,643</w:t>
            </w:r>
          </w:p>
        </w:tc>
        <w:tc>
          <w:tcPr>
            <w:tcW w:w="120" w:type="dxa"/>
            <w:vAlign w:val="bottom"/>
            <w:shd w:val="clear" w:color="auto" w:fill="CFF0FC"/>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77"/>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1,609,555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13"/>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 NET LOSS PER SHARE OF COMMON STOCK</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-299720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-281940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-299720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June 2023, in connection with the Private Placement (as defined and described in Note 6, Stockholders’ Equity), the Company issued and sold pre-funded warrants exercisable for an aggregate of 575,575 shares of common stock. The purchase price of the pre-funded warrants is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June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per share for common stockholders:</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6"/>
                <w:szCs w:val="16"/>
                <w:color w:val="auto"/>
              </w:rPr>
            </w:pPr>
          </w:p>
        </w:tc>
        <w:tc>
          <w:tcPr>
            <w:tcW w:w="264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(6,192,036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(8,717,714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(13,162,448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(18,482,143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5,511,163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5,340,196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5,426,150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5,340,196</w:t>
            </w:r>
          </w:p>
        </w:tc>
        <w:tc>
          <w:tcPr>
            <w:tcW w:w="120" w:type="dxa"/>
            <w:vAlign w:val="bottom"/>
          </w:tcPr>
          <w:p>
            <w:pPr>
              <w:spacing w:after="0"/>
              <w:rPr>
                <w:sz w:val="20"/>
                <w:szCs w:val="20"/>
                <w:color w:val="auto"/>
              </w:rPr>
            </w:pPr>
          </w:p>
        </w:tc>
      </w:tr>
      <w:tr>
        <w:trPr>
          <w:trHeight w:val="222"/>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4"/>
              </w:rPr>
              <w:t>Net loss per share of common stock – basic and</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(1.63 )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(3.46 )</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securities outstanding at June 30, 2023 and 2022 have been excluded from the calculation of weighted average shares outstanding as their effect on the calculation of loss per share is antidilutive:</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24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467,429</w:t>
            </w: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467,429</w:t>
            </w:r>
          </w:p>
        </w:tc>
        <w:tc>
          <w:tcPr>
            <w:tcW w:w="120" w:type="dxa"/>
            <w:vAlign w:val="bottom"/>
            <w:shd w:val="clear" w:color="auto" w:fill="CFF0FC"/>
          </w:tcPr>
          <w:p>
            <w:pPr>
              <w:spacing w:after="0"/>
              <w:rPr>
                <w:sz w:val="20"/>
                <w:szCs w:val="20"/>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Performance-based restricted stock units (“PRSUs”)</w:t>
            </w:r>
          </w:p>
        </w:tc>
        <w:tc>
          <w:tcPr>
            <w:tcW w:w="900" w:type="dxa"/>
            <w:vAlign w:val="bottom"/>
          </w:tcPr>
          <w:p>
            <w:pPr>
              <w:jc w:val="right"/>
              <w:spacing w:after="0"/>
              <w:rPr>
                <w:sz w:val="20"/>
                <w:szCs w:val="20"/>
                <w:color w:val="auto"/>
              </w:rPr>
            </w:pPr>
            <w:r>
              <w:rPr>
                <w:rFonts w:ascii="Arial" w:cs="Arial" w:eastAsia="Arial" w:hAnsi="Arial"/>
                <w:sz w:val="18"/>
                <w:szCs w:val="18"/>
                <w:color w:val="auto"/>
              </w:rPr>
              <w:t>228,209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456,422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228,209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456,422</w:t>
            </w:r>
          </w:p>
        </w:tc>
        <w:tc>
          <w:tcPr>
            <w:tcW w:w="120" w:type="dxa"/>
            <w:vAlign w:val="bottom"/>
          </w:tcPr>
          <w:p>
            <w:pPr>
              <w:spacing w:after="0"/>
              <w:rPr>
                <w:sz w:val="20"/>
                <w:szCs w:val="20"/>
                <w:color w:val="auto"/>
              </w:rPr>
            </w:pPr>
          </w:p>
        </w:tc>
      </w:tr>
      <w:tr>
        <w:trPr>
          <w:trHeight w:val="24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April 2023, the Compensation Committee of the Company’s board of directors certified the achievement of a performance condition occurring upon FDA acceptance of the NDA for roluperidone. As a result, 50% of the shares of common stock underlying the PRSUs vested. As of June 30, 2023, 228,213 PRSUs have vested, 20,218 have been cancelled and 228,209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SALE OF FUTURE ROYALTIES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right="20"/>
        <w:spacing w:after="0" w:line="288" w:lineRule="auto"/>
        <w:rPr>
          <w:sz w:val="20"/>
          <w:szCs w:val="20"/>
          <w:color w:val="auto"/>
        </w:rPr>
      </w:pPr>
      <w:r>
        <w:rPr>
          <w:rFonts w:ascii="Arial" w:cs="Arial" w:eastAsia="Arial" w:hAnsi="Arial"/>
          <w:sz w:val="16"/>
          <w:szCs w:val="16"/>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Arial" w:cs="Arial" w:eastAsia="Arial" w:hAnsi="Arial"/>
          <w:sz w:val="16"/>
          <w:szCs w:val="16"/>
          <w:i w:val="1"/>
          <w:iCs w:val="1"/>
          <w:color w:val="auto"/>
        </w:rPr>
        <w:t>Debt</w:t>
      </w:r>
      <w:r>
        <w:rPr>
          <w:rFonts w:ascii="Arial" w:cs="Arial" w:eastAsia="Arial" w:hAnsi="Arial"/>
          <w:sz w:val="16"/>
          <w:szCs w:val="16"/>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June 30, 2023,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 Janssen is currently conducting two Phase 3 studies with seltorexant, a third Phase 3 study was discontinued during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June 30, 2023:</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Upfront payment from the sale of future royalties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12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17,741,760</w:t>
            </w:r>
          </w:p>
        </w:tc>
        <w:tc>
          <w:tcPr>
            <w:tcW w:w="12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77,741,760</w:t>
            </w:r>
          </w:p>
        </w:tc>
        <w:tc>
          <w:tcPr>
            <w:tcW w:w="12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right="100"/>
        <w:spacing w:after="0" w:line="257" w:lineRule="auto"/>
        <w:rPr>
          <w:sz w:val="20"/>
          <w:szCs w:val="20"/>
          <w:color w:val="auto"/>
        </w:rPr>
      </w:pPr>
      <w:r>
        <w:rPr>
          <w:rFonts w:ascii="Arial" w:cs="Arial" w:eastAsia="Arial" w:hAnsi="Arial"/>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June 30, 2023, the Private Placement closed and the Company received aggregate gross proceeds from the Private Placement of $20.0 million, and, therefore, will be reflected on the condensed consolidated financial statements for the three and six month period ended June 30, 2023. The Company incurred approximately $0.3 million in offering expenses as of June 30, 2023, which have been included as a component of additional paid-in capital, resulting in net proceeds of $19.7 million as of June 30, 2023.</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Securities Purchase Agreement, the Company has agreed to file a registration statement covering the resale of the Registrable Securities (as such term is defined in the Securities Purchase Agreement) on or before the date that is 45 days after the date of the closing of the Private Placement.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 The Company has agreed to be responsible for all expenses incurred in connection with the registration of the Registrable Securities.</w:t>
      </w:r>
    </w:p>
    <w:p>
      <w:pPr>
        <w:spacing w:after="0" w:line="16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Pursuant to the Securities Purchase Agreement, in connection with the Private Placement, Boehringer Ingelheim International GmbH,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six months ended June 30, 2023, no shares of the Company’s common stock were issued or sold under the Sales Agreement. As of June 30, 2023, an aggregate of $22.6 million was eligible for sale pursuant to the Sales Agreement under the Company’s effective registration statement on Form S-3 (File No. 333-267424).</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June 30,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employees and non-employees for the six months ended June 30, 2023 is as follows: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Pursuant to</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Outstanding June 30,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June 30,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314,128</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-548005</wp:posOffset>
            </wp:positionV>
            <wp:extent cx="7683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-205105</wp:posOffset>
            </wp:positionV>
            <wp:extent cx="7683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1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weighted average grant-date fair value of stock options outstanding on June 30, 2023 was $10.75 per share. Total unrecognized compensation costs related to non-vested stock options at June 30, 2023 were approximately $1.3 million and are expected to be recognized within future operating results over a weighted-average period of 2.5 years. The total intrinsic value of the options exercised during the six months ended June 30, 2023 and 2022 was zero.</w:t>
      </w:r>
    </w:p>
    <w:p>
      <w:pPr>
        <w:spacing w:after="0" w:line="1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during the six months ended June 30, 2023 and 2022, the Company utilized the following assumptions:</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2960" w:type="dxa"/>
            <w:vAlign w:val="bottom"/>
            <w:gridSpan w:val="3"/>
          </w:tcPr>
          <w:p>
            <w:pPr>
              <w:ind w:left="92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240" w:type="dxa"/>
            <w:vAlign w:val="bottom"/>
          </w:tcPr>
          <w:p>
            <w:pPr>
              <w:spacing w:after="0"/>
              <w:rPr>
                <w:sz w:val="16"/>
                <w:szCs w:val="16"/>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June 30, 2022</w:t>
            </w:r>
          </w:p>
        </w:tc>
      </w:tr>
      <w:tr>
        <w:trPr>
          <w:trHeight w:val="237"/>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(years)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5.50-6.25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1.96%-3.25%</w:t>
            </w:r>
          </w:p>
        </w:tc>
      </w:tr>
      <w:tr>
        <w:trPr>
          <w:trHeight w:val="24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76%-97%</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w:t>
            </w:r>
          </w:p>
        </w:tc>
      </w:tr>
      <w:tr>
        <w:trPr>
          <w:trHeight w:val="24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 of common stock</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8"/>
              </w:rPr>
              <w:t>$4.78</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incremental cost was measured as the excess of the fair value of each new PRSU, measured as of the date the new PRSUs were granted, over the fair value of the stock options surrendered in exchange for the new PRSU, measured immediately prior to the cancellation.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right="140"/>
        <w:spacing w:after="0" w:line="286" w:lineRule="auto"/>
        <w:rPr>
          <w:sz w:val="20"/>
          <w:szCs w:val="20"/>
          <w:color w:val="auto"/>
        </w:rPr>
      </w:pPr>
      <w:r>
        <w:rPr>
          <w:rFonts w:ascii="Arial" w:cs="Arial" w:eastAsia="Arial" w:hAnsi="Arial"/>
          <w:sz w:val="17"/>
          <w:szCs w:val="17"/>
          <w:color w:val="auto"/>
        </w:rPr>
        <w:t>The Company is using the pre-modification stock options for determining the compensation cost related to the PRSUs as the vesting conditions remain uncertain for the outstanding PRSUs. The total unrecognized compensation costs related to non-vested stock options at June 30, 2023 were approximately $0.5 million and are expected to be recognized within future operating results over a weighted-average period of 0.5 year.</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The remaining PRSUs vest upon roluperidone receiving FDA marketing approval, provided that such approval occurs within five years after the August 6, 2021 grant date. As of June 30, 2023, 228,213 PRSUs have vested, 20,218 have been cancelled, and 228,209 remain outstanding. As a result of the PRSUs vesting, the Company recognized approximately $0.2 million in non-cash compensation expense for the period ending June 30, 2023, representing 50% of the incremental cost of the PRSUs granted under the Exchange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71"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297,756</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514,806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482,483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1,015,979</w:t>
            </w:r>
          </w:p>
        </w:tc>
        <w:tc>
          <w:tcPr>
            <w:tcW w:w="120" w:type="dxa"/>
            <w:vAlign w:val="bottom"/>
            <w:shd w:val="clear" w:color="auto" w:fill="CFF0FC"/>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311,159</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556,799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502,891</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1,108,282</w:t>
            </w:r>
          </w:p>
        </w:tc>
        <w:tc>
          <w:tcPr>
            <w:tcW w:w="120" w:type="dxa"/>
            <w:vAlign w:val="bottom"/>
          </w:tcPr>
          <w:p>
            <w:pPr>
              <w:spacing w:after="0"/>
              <w:rPr>
                <w:sz w:val="21"/>
                <w:szCs w:val="21"/>
                <w:color w:val="auto"/>
              </w:rPr>
            </w:pPr>
          </w:p>
        </w:tc>
      </w:tr>
      <w:tr>
        <w:trPr>
          <w:trHeight w:val="237"/>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608,915</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1,071,605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985,374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2,124,261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On October 11, 2022, the Company entered into an office lease agreement with Regus to lease approximately 491 rentable square feet of office space located at 1500 District Avenue, Burlington, MA 01803. The lease is on a month-to-month basis commencing on February 1, 2023, with a monthly payment of $8,290. The Company has elected to not recognize the lease agreement on the balance sheet as the term of the agreement is 12 months or less.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2022 as filed with the Securities and Exchange Commission on March 8, 2023.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August 2022, we submitted a New Drug Application (“NDA”) with the U.S. Food and Drug Administration (“FDA”) for our lead product candidate, roluperidone, for the treatment of negative symptoms in schizophrenia. The FDA initially notified us that they would not accept the file for review, issuing a refusal to file letter (“RTF”) in October 2022. Subsequently, we requested a formal dispute resolution and appealed the RTF, following which, on April 27, 2023, the FDA filed our NDA for roluperidone. In May 2023, the FDA confirmed that the NDA for roluperidone was assigned a standard review classification and a Prescription Drug User Fee Act (“PDUFA”) goal date of February 26, 2024. The FDA advised that it identified potential review issues that had been previously cited in the RTF decision letter, which included those discussed at the Type C meeting in March 2022. See “—Clinical and Regulatory Updates” below for more information.</w:t>
      </w:r>
    </w:p>
    <w:p>
      <w:pPr>
        <w:spacing w:after="0" w:line="19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June 30, 2023 and December 31, 2022, we had an accumulated deficit of $380.0 million and $366.8 million, respectively. For six months ended June 30, 2023 and 2022, we recorded net losses of $13.2 million and $18.5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 Requirement Compliance Notice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previously reported, on June 16, 2023, we received written notice from The Nasdaq Stock Market LLC (“Nasdaq”) informing us that we have regained compliance with Nasdaq Listing Rule 5550(b)(2) which requires that companies listed on The Nasdaq Capital Market maintain a minimum Market Value of Listed Securities, as defined by Nasdaq, of $35 million or greater. Our securities will continue to be listed and traded on The Nasdaq Capita Market.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27, 2023, we entered into a securities purchase agreement with certain institutional accredited investors, pursuant to which we agreed to issue and sell in a private placement (i) an aggregate of 1,425,000 shares of the Company’s common stock at a purchase price of $10.00 per share, and (ii) in lieu of additional shares of common stock, pre-funded warrants to purchase an aggregate of 575,575 shares of common stock at a purchase price of $9.99 per pre-funded warrant. On June 30, 2023, the private placement closed and we received aggregate gross proceeds from the private placement of $20.0 million. For more information, see the section titled “Liquidity and Capital Resources—Sources of Liquidity—Private Placement of Common Stock and Warrants”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 Filed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8, 2023, we received confirmation from the FDA that the NDA for roluperidone has been filed in accordance with the Appeal Granted letter dated April 27, 2023 and assigned a standard review classification and a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Fee Refund</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 Submission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C Meeting</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Minerva provided additional data to address:</w:t>
      </w:r>
    </w:p>
    <w:p>
      <w:pPr>
        <w:spacing w:after="0" w:line="57" w:lineRule="exact"/>
        <w:rPr>
          <w:sz w:val="20"/>
          <w:szCs w:val="20"/>
          <w:color w:val="auto"/>
        </w:rPr>
      </w:pPr>
    </w:p>
    <w:p>
      <w:pPr>
        <w:ind w:left="1020" w:right="10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8"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US and non-US schizophrenia patients. More specifically, the Division wanted to be reassured that data collected in MIN-101C03 in non-US patients is applicable to US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Supporting statistical evidence of efficacy of roluperidone on negative symptoms.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Foreign exchange (losses) gains are comprised primarily of (losses) and gains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Non-cash interest expense for the sale of future royalties consists of the non-cash interest expense associated with the Royalty Pharma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2023 versus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Research and development expenses were $1.9 million and $4.1 million for the three months ended June 30, 2023 and 2022, respectively, a decrease of approximately $2.2 million, or 54%. The decrease in research and development expenses was primarily due to lower non-cash stock compensation costs and lower consultant fees related to the preparation of our NDA for roluperidone, which was submitted during 2022, partially offset by higher professional service fees and staffing related expenses during 2023. Non-cash stock compensation expense included in research and development expenses was $0.3 million and $0.5 million for the three months ended June 30,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General and administrative expenses were $2.6 million and $2.8 million for the three months ended June 30, 2023 and 2022, respectively, a decrease of approximately $0.2 million, or 7%. The decrease in general and administrative expenses was primarily due to lower non-cash stock compensation expense and insurance costs, partially offset by higher staffing related expenses during 2023. Non-cash stock compensation expense included in general and administrative expenses was $0.3 million and $0.6 million for the three months ended June 30, 2023 and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exchange losses were $7 thousand and foreign exchange gains were $2 thousand for the three months ended June 30, 2023 and 2022, respectively, a decrease of $9 thousand. The increase in foreign exchange losses was primarily due to currency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$366 thousand and $72 thousand for the three months ended June 30, 2023 and 2022, respectively, an increase of $294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investment income was primarily due to higher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Non-cash interest expense for the sale of future royalties was $2.0 million and $1.8 million for the three months ended June 30, 2023 and 2022, respectively, an increase of $0.2 million. The increase was primarily due to an increase in the carrying value of the liability related to the sale of future royalties for seltorexant to Royalty Pharma.</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30,2023 versus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Research and development expenses were $4.5 million and $9.1 million for the six months ended June 30, 2023 and 2022, respectively, a decrease of approximately $4.6 million, or 51%. The decrease in research and development expenses was primarily due to lower non-cash stock compensation costs and lower consultant fees related to the preparation of our NDA for roluperidone, which was submitted during 2022, partially offset by higher professional service fees and staffing related expenses during 2023. Non-cash stock compensation expense included in research and development expenses was $0.5 million and $1.0 million for the six months ended June 30,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 and administrative expenses were $5.3 million and $5.9 million for the six months ended June 30, 2023 and 2022, respectively, a decrease of approximately $0.6 million, or 10%. The decrease in general and administrative expenses was primarily due to lower non-cash stock compensation expense and insurance costs, partially offset by higher staffing related expenses during 2023. Non-cash stock compensation expense included in general and administrative expenses was $0.5 million and $1.1 million for the six months ended June 30,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$16 thousand and $2 thousand for the six months ended June 30, 2023 and 2022, respectively, an increase of $14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foreign exchange losses was primarily due to currency movements.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Investment income was $730 thousand and $80 thousand for the six months ended June 30, 2023 and 2022, respectively, an increase of $650 thousand. The increase in investment income was primarily due to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Non-cash interest expense for the sale of future royalties was $4.0 million and $3.6 million for the six months ended June 30, 2023 and 2022, respectively, an increase of $0.4 million. The increase was primarily due to an increase in the carrying value of the liability related to the sale of future royalties for seltorexant to Royalty Pharma.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June 30, 2023, we had an accumulated deficit of approximately $380.0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June 30, 2023, we had approximately $51.9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Private Placement of Common Stock and Warrants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27, 2023, we entered into a securities purchase agreement (the “Securities Purchase Agreement”) with certain institutional accredited investors (the “Investors”), pursuant to which we agreed to issue and sell to the Investors in a private placement (the “Private Placement”) (i) an aggregate of 1,425,000 shares (the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to be sold in the Private Placement, minus the $0.01 per share exercise price of each such pre-funded warrant. The pre-funded warrants are exercisable at any time after their original issuance and will not expire until exercised in full.</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pre-funded warrants issued in the Private Placement will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us, but not to any percentage in excess of 19.99%.</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June 30, 2023, the Private Placement closed and we received aggregate gross proceeds from the Private Placement of $20.0 million. We incurred approximately $0.3 million in offering expenses as of June 30, 2023, which have been included as a component of additional paid-in capital, resulting in net proceeds of $19.7 million as of June 30, 2023.</w:t>
      </w:r>
    </w:p>
    <w:p>
      <w:pPr>
        <w:spacing w:after="0" w:line="18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Pursuant to the Securities Purchase Agreement, we have agreed to file a registration statement covering the resale of the Registrable Securities (as such term is defined in the Securities Purchase Agreement) on or before the date that is 45 days after the date of the closing of the Private Placement.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 We have agreed to be responsible for all expenses incurred in connection with the registration of the Registrable Securities.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Pursuant to the Securities Purchase Agreement, in connection with the Private Placement, Boehringer Ingelheim International GmbH, an Investor in the Private Placement, has the right to designate an observer to attend, subject to certain exceptions, meetings of our board of directors and our committees, until the earlier of (i) the occurrence of a Change of Control and (ii) the date that it and its affiliates collectively hold less than 10% of our Common Stock (which shall be calculated by including in the amount of common stock held by such Investor and its affiliates any shares of common stock issuable upon exercise of any portion of the pre-funded warrant issued to such Investor and not yet exercised).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six months ended June 30, 2023, no shares of our common stock were issued or sold under the Sales Agreement. As of June 30, 2023, an aggregate of $22.6 million was eligible for sale pursuant to the Sales Agreement under our effective registration statement on Form S-3 (File No. 333-267424).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 Janssen is currently conducting two Phase 3 studies with seltorexant, a third Phase 3 study was discontinued during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(dollars</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8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(4.0 )</w:t>
            </w: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(11.0 )</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6"/>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operating activities of approximately $4.0 million during the six months ended June 30, 2023 was primarily due to our net loss of $13.2 million and an approximately $0.6 million decrease in accounts payable, partially offset by non-cash interest expense for the sale of future royalties of $4.0 million, a $3.1 million decrease in refundable regulatory fees, a $1.2 million increase in accrued expenses, stock-based compensation expense of $1.0 million, and a $0.5 million decrease in prepaid expenses.</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Net cash used in operating activities of approximately $11.0 million during the six months ended June 30, 2022 was primarily due to our net loss of $18.5 million and a $0.3 million decrease in accounts payable, partially offset by non-cash interest expense for the sale of future royalties of $3.6 million, stock-based compensation expense of $2.1 million, a $1.2 million decrease in prepaid expense, and an increase in accrued expenses of $0.9 million.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financing activities of approximately $19.7 million during the six months ended June 30, 2023 was primarily due to the net proceeds from the Private Placement closed in June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zero during the six months ended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held on June 10, 2022, and the specific one-for-eight (1-for-8) reverse stock split was subsequently approved by our board of directors on June 10, 2022.</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Annual Report on Form 10-K for the fiscal year ended December 31, 2022,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six months ended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2022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2023. Based on the evaluation of our disclosure controls and procedures as of June 30, 2023,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2022, as filed with the Securities and Exchange Commission (“SEC”) on March 8, 2023. The risk factors set forth below are risk factors containing changes, which may be material, from the risk factors previously disclosed in Item 1A of our Annual Report on Form 10-K for the fiscal year ended December 31, 2022, as filed with the SEC.</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In August 2022, we submitted a New Drug Application (“NDA”) with the U.S. Food and Drug Administration (“FDA”) for our lead product candidate, roluperidone.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for more information. While the FDA filed the NDA for roluperidone, we may never succeed in any or all these activities and, even if we do, we may never generate sufficient revenue to achieve profitability.</w:t>
      </w:r>
    </w:p>
    <w:p>
      <w:pPr>
        <w:spacing w:after="0" w:line="3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may never generate product revenue or achieve profitability. As of June 30, 2023, we had an accumulated deficit of approximately $380.0 million.</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right="20"/>
        <w:spacing w:after="0" w:line="308" w:lineRule="auto"/>
        <w:rPr>
          <w:sz w:val="20"/>
          <w:szCs w:val="20"/>
          <w:color w:val="auto"/>
        </w:rPr>
      </w:pPr>
      <w:r>
        <w:rPr>
          <w:rFonts w:ascii="Arial" w:cs="Arial" w:eastAsia="Arial" w:hAnsi="Arial"/>
          <w:sz w:val="17"/>
          <w:szCs w:val="17"/>
          <w:color w:val="auto"/>
        </w:rPr>
        <w:t>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4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June 30, 2023, we had cash, cash equivalents, and restricted cash of $51.9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Our future funding requirements, both short and long-term, will depend on many factors, including:</w:t>
      </w:r>
    </w:p>
    <w:p>
      <w:pPr>
        <w:spacing w:after="0" w:line="69" w:lineRule="exact"/>
        <w:rPr>
          <w:sz w:val="20"/>
          <w:szCs w:val="20"/>
          <w:color w:val="auto"/>
        </w:rPr>
      </w:pPr>
    </w:p>
    <w:p>
      <w:pPr>
        <w:ind w:left="1020" w:right="5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15" w:lineRule="exact"/>
        <w:rPr>
          <w:rFonts w:ascii="Arial" w:cs="Arial" w:eastAsia="Arial" w:hAnsi="Arial"/>
          <w:sz w:val="16"/>
          <w:szCs w:val="16"/>
          <w:color w:val="auto"/>
        </w:rPr>
      </w:pPr>
    </w:p>
    <w:p>
      <w:pPr>
        <w:ind w:left="1020" w:right="30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right="80"/>
        <w:spacing w:after="0" w:line="257"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Prescription Drug User Fee Act (“PDUFA”) goal date of February 26, 2024. The FDA also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for more information. Even though the NDA has been filed by the FDA, the review issues may prevent approval and result in a Complete Response Letter, potentially requiring additional studies. Additional studies and data would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3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EMA, FDA or other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20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the European Commission, FDA or other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EMA, the European Commission, the FDA or other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right="600" w:hanging="503"/>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European Commission, FDA or other regulatory authorities may significantly change in a manner rendering our clinical data insufficient for approval.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6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76"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2003/94/EC of October 8, 2003.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8"/>
          <w:szCs w:val="18"/>
          <w:color w:val="auto"/>
        </w:rPr>
        <w:t>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80"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an MA.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in the United Kingdom the code of practice of the Association of the British Pharmaceutical Industry (the lead United Kingdom trade association) is considerably stricter than applicable legislative requirements.</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right="160"/>
        <w:spacing w:after="0" w:line="255" w:lineRule="auto"/>
        <w:rPr>
          <w:sz w:val="20"/>
          <w:szCs w:val="20"/>
          <w:color w:val="auto"/>
        </w:rPr>
      </w:pPr>
      <w:r>
        <w:rPr>
          <w:rFonts w:ascii="Arial" w:cs="Arial" w:eastAsia="Arial" w:hAnsi="Arial"/>
          <w:sz w:val="18"/>
          <w:szCs w:val="18"/>
          <w:color w:val="auto"/>
        </w:rPr>
        <w:t>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 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w:t>
      </w:r>
    </w:p>
    <w:p>
      <w:pPr>
        <w:spacing w:after="0" w:line="17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policies of the FDA, the competent authorities of the EU Member States, the European Commission and other comparable regulatory authorities with respect to drugs or clinical trials may change and additional government regulations may be enacted. As an example, the regulatory landscape related to clinical trials in the EU has evolved. The EU Clinical Trials Regulation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CTR provides a three-year transition period. The extent to which ongoing clinical trials will be governed by the CTR varies. For clinical trials in relation to which application for approval was made on the basis of the Clinical Trials Directive before January 31, 2023, the Clinical Trials Directive will continue to apply on a transitional basis for three years until January 31, 2025. By that date, all ongoing trials will become subject to the provisions of the CTR. Our compliance with the CTR requirements and that of our third-party service providers, such as CROs, may impact our developments plans.</w:t>
      </w:r>
    </w:p>
    <w:p>
      <w:pPr>
        <w:spacing w:after="0" w:line="16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April 26, 2023, the European Commission adopted a proposal for a new Directive and Regulation to revise the existing pharmaceutical legislation. If adopted in the form proposed, the recent European Commission proposals to revise the existing EU laws governing authorization of drugs may result in a decrease in data and market exclusivity for our product candidates in the EU.</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own one Swiss subsidiary, expect to engage in significant cross-border activities, and we will be subject to risks related to international operations, including:</w:t>
      </w:r>
    </w:p>
    <w:p>
      <w:pPr>
        <w:spacing w:after="0" w:line="62" w:lineRule="exact"/>
        <w:rPr>
          <w:sz w:val="20"/>
          <w:szCs w:val="20"/>
          <w:color w:val="auto"/>
        </w:rPr>
      </w:pPr>
    </w:p>
    <w:p>
      <w:pPr>
        <w:ind w:left="900" w:right="40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regulatory requirements for conduct of clinical trials of investigational drugs and obtaining and maintaining approval of drugs in foreign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such as the instability caused by Russia’s invasion of Ukraine, or public health issues or pandemics, such as the COVID-19 pandemic;</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0" w:name="page31"/>
    <w:bookmarkEnd w:id="30"/>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compliance with tax laws of various jurisdictions, including with respect to intercompany transfer pricing arrangements and taxable nexus;</w:t>
      </w:r>
    </w:p>
    <w:p>
      <w:pPr>
        <w:spacing w:after="0" w:line="128" w:lineRule="exact"/>
        <w:rPr>
          <w:rFonts w:ascii="Arial" w:cs="Arial" w:eastAsia="Arial" w:hAnsi="Arial"/>
          <w:sz w:val="17"/>
          <w:szCs w:val="17"/>
          <w:color w:val="auto"/>
        </w:rPr>
      </w:pPr>
    </w:p>
    <w:p>
      <w:pPr>
        <w:ind w:left="900" w:right="10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117" w:lineRule="exact"/>
        <w:rPr>
          <w:rFonts w:ascii="Arial" w:cs="Arial" w:eastAsia="Arial" w:hAnsi="Arial"/>
          <w:sz w:val="18"/>
          <w:szCs w:val="18"/>
          <w:color w:val="auto"/>
        </w:rPr>
      </w:pPr>
    </w:p>
    <w:p>
      <w:pPr>
        <w:ind w:left="900" w:right="56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political instability, hostilities, war and terrorism, such as the war in Ukraine, or natural disasters including pandemics, earthquakes, typhoons, floods and fires.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common stock.</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Following the result of a referendum in 2016, the United Kingdom (“UK”) left the EU on January 31, 2020, commonly referred to as Brexit. Pursuant to the formal withdrawal arrangements agreed between the United Kingdom and the EU, the UK, was subject to a transition period until December 31, 2020, or the Transition Period, during which EU rules continued to apply. The UK and the EU have signed a EU-UK Trade and Cooperation Agreement (“TCA”), which became provisionally applicable on January 1, 2021 and entered into force on May 1, 2021. This agreement provides details on how some aspects of the UK and EU’s relationship will operate going forwards however there are still many uncertainties. The TCA primarily focuses on ensuring free trade between the EU and the UK in relation to goods, including drugs. Although the body of the TCA includes general terms which apply to drugs, greater detail on sector-specific issues is provided in an Annex to the TCA. The Annex provides a framework for the recognition of Good Manufacturing Practice (GMP), inspections and for the exchange and acceptance of official GMP documents. The regime does not, however, extended to procedures such as batch release certification. Among the changes that have occurred are that Great Britain (England, Scotland and Wales) is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drugs that are tested and released in the UK must be retested and re-released when entering the EU market for commercial use. As it relates to marketing authorizations, Great Britain has a separate regulatory submission process, approval process and a separate national marketing authorization. Northern Ireland continues, however, to be covered by the marketing authorizations granted by the European Commission. For example, the scope of a marketing authorization for a drug granted by the European Commission or by the competent authorities of EU Member States will no longer encompass Great Britain (England, Scotland and Wales). In these circumstances, a separate marketing authorization granted by the UK competent authorities is required to place drugs on the market in Great Britain.</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27, 2023, the European Commission and the UK government reached a political agreement in principle, commonly referred to as the “Windsor Framework”. The purpose of the agreement is to establish a set of joint solutions that would allow goods to be traded between Great Britain and Northern Ireland and between Northern Ireland and Ireland whilst ensuring the integrity of the EU Single Market. New legislation must be passed by the UK and the EU in order to implement the provisions of the Windsor Framework, including those that relate to drugs. The implementation of the framework is set to take place in stages with measures relating to drugs taking effect in January 2025. The Windsor Framework provides, however, that drugs to be placed on the market in Northern Ireland will be authorized solely in accordance with UK laws.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40"/>
        <w:spacing w:after="0" w:line="270" w:lineRule="auto"/>
        <w:rPr>
          <w:sz w:val="20"/>
          <w:szCs w:val="20"/>
          <w:color w:val="auto"/>
        </w:rPr>
      </w:pPr>
      <w:r>
        <w:rPr>
          <w:rFonts w:ascii="Arial" w:cs="Arial" w:eastAsia="Arial" w:hAnsi="Arial"/>
          <w:sz w:val="17"/>
          <w:szCs w:val="17"/>
          <w:color w:val="auto"/>
        </w:rPr>
        <w:t>In relation to clinical trials, it is currently unclear to what extent the UK will seek to align its regulations with the EU in the future. The UK regulatory framework in relation to clinical trials is derived from existing EU legislation (as implemented into UK law, through secondary legislation). However, the Retained EU Law (Revocation and Reform) Bill which received Royal Assent on 29 June 2023 and is intended to remove certain EU-derived legislation from the UK statute book by the end of 2023, may result in a divergence of approach between the EU and the UK. On January 17, 2022, the UK Medicines and Healthcare products Regulatory Agency, or MHRA, launched an eight-week consultation on reframing the UK legislation for clinical trials. The consultation closed on March 14, 2022.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following the Transition Period, could materially impact the regulatory regime with respect to the development, manufacture, importation, approval and commercialization of our product candidates in the UK or the EU, now that UK legislation has the potential to diverge from EU legislation. All of these changes could increase our costs and otherwise adversely affect our business. Any delay in obtaining, or an inability to obtain, any regulatory approvals for our product candidates, as a result of Brexit or otherwise, could prevent us from commercializing our product candidates in the UK or the EU and restrict our ability to generate revenue and achieve and sustain profitability. In addition, we may be required to pay taxes or duties or be subjected to other hurdles in connection with the importation of our product candidates into the EU.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17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In the European Union (“EU”), the pricing and reimbursement schemes of drugs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This Health Technology Assessment (“HTA”) process, which is currently governed by the national laws of the individual EU Member States, is the procedure according to which the assessment of the public health impact, therapeutic impact and the economic and societal impact of use of a given drug in the national healthcare systems of the individual country is conducted. The outcome of HTA regarding specific drugs will often influence the pricing and reimbursement status granted to these drugs by the competent authorities of individual EU Member States. In December 2021, a Regulation governing health technologies assessment was adopted. The Regulation is intended to boost cooperation among EU Member States in assessing health technologies, including new drugs, and providing the basis for cooperation at EU level for joint clinical assessments in these areas. The HTA Regulation will apply from January 12, 2025.</w:t>
      </w:r>
    </w:p>
    <w:p>
      <w:pPr>
        <w:spacing w:after="0" w:line="1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20"/>
        <w:spacing w:after="0" w:line="289" w:lineRule="auto"/>
        <w:rPr>
          <w:sz w:val="20"/>
          <w:szCs w:val="20"/>
          <w:color w:val="auto"/>
        </w:rPr>
      </w:pPr>
      <w:r>
        <w:rPr>
          <w:rFonts w:ascii="Arial" w:cs="Arial" w:eastAsia="Arial" w:hAnsi="Arial"/>
          <w:sz w:val="16"/>
          <w:szCs w:val="16"/>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drugs established in other countries as “reference prices” to help determine the price of the product in their own territory. Reference pricing used by various EU Member States and parallel distribution, or arbitrage between low-priced and high-priced EU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 Consequently, a downward trend in prices of drugs in some countries could contribute to similar downward trends elsewhere.</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6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as amended by the California Privacy Rights Act of 2020 (“CPRA”) (collectively, “CCPA”) applies to personal information of consumers, business representatives, and employees who are California residents,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Although the CCPA exempts some data processed in the context of clinical trials, the CCPA may increase compliance costs and potential liability with respect to other personal data maintained about California residents.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CPRA expanded the CCPA’s requirements, adds a new right for individuals to correct their personal information, and establishes a new regulatory agency to implement and enforce the law. Other states, such as Virginia, Colorado and Utah, have also passed comprehensive privacy laws, and similar laws are being considered in several other states. While these states, like the CCPA, also exempt some data processed in the context of clinical trials, these developments may further complicate compliance efforts, and may increase legal risk and compliance costs for us, the third parties upon whom we rely.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Outside the United States, an increasing number of laws, regulations, and industry standards may apply to data privacy and security, including the European Union’s General Data Protection Regulation (“EU GDPR”), the United Kingdom’s GDPR (“UK GDPR”), imposes strict requirements for processing personal data, and violators of these laws face significant penalties. For example, under the EU GDPR, companies may face temporary or definitive bans on data processing and other corrective actions; fines of up to 20 million Euros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right="20"/>
        <w:spacing w:after="0" w:line="291"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6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4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the ordinary course of our business, we or the third parties upon which we rely, may process proprietary, confidential, and sensitive data, including personal data (such as health-related data and data related to clinical trials), intellectual property, and trade secrets (collectively, sensitive information).</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particular,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also share or receive sensitive information with or from third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Despite our efforts to identify and address vulnerabilities, if any, in our information technology systems, our efforts may not be successful. These vulnerabilities pose material risks to our business. Further, we may experience delays in developing and deploying remedial measures designed to address any such identified vulnerabilities.</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4"/>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31"/>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9"/>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Amended and Restated Certificate of Incorporation of the Registrant (incorporated by reference to Exhibit 3.1 to the Registrant’s</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registration statement on Form S-1/A (File No. 333-195169) filed with the SEC on June 10, 2014</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4"/>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Amended and Restated Bylaws of the Registrant (incorporated by reference to Exhibit 3.2 to the Registrant’s quarterly report on Form</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10-Q (File No. 001-36517) filed with the SEC on November 4, 2019)</w:t>
              </w:r>
            </w:hyperlink>
          </w:p>
        </w:tc>
        <w:tc>
          <w:tcPr>
            <w:tcW w:w="20" w:type="dxa"/>
            <w:vAlign w:val="bottom"/>
            <w:tcBorders>
              <w:bottom w:val="single" w:sz="8" w:color="0000EE"/>
            </w:tcBorders>
          </w:tcPr>
          <w:p>
            <w:pPr>
              <w:spacing w:after="0"/>
              <w:rPr>
                <w:sz w:val="17"/>
                <w:szCs w:val="17"/>
                <w:color w:val="auto"/>
              </w:rPr>
            </w:pPr>
          </w:p>
        </w:tc>
        <w:tc>
          <w:tcPr>
            <w:tcW w:w="49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6"/>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Certificate of Amendment to Amended and Restated Certificate of Incorporation of Minerva Neurosciences, Inc., effective June 17, 2022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(incorporated by reference to Exhibit 3.1 to the Registration’s current report on Form 8-K (File No. 001-36517) filed with the SEC on</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June 17,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36517) filed with the SEC on June 28, 2023).</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0"/>
          </w:tcPr>
          <w:p>
            <w:pPr>
              <w:spacing w:after="0"/>
              <w:rPr>
                <w:rFonts w:ascii="Arial" w:cs="Arial" w:eastAsia="Arial" w:hAnsi="Arial"/>
                <w:sz w:val="18"/>
                <w:szCs w:val="18"/>
                <w:color w:val="0000FF"/>
                <w:w w:val="89"/>
              </w:rPr>
            </w:pPr>
            <w:hyperlink r:id="rId132">
              <w:r>
                <w:rPr>
                  <w:rFonts w:ascii="Arial" w:cs="Arial" w:eastAsia="Arial" w:hAnsi="Arial"/>
                  <w:sz w:val="18"/>
                  <w:szCs w:val="18"/>
                  <w:color w:val="0000FF"/>
                  <w:w w:val="89"/>
                </w:rPr>
                <w:t>Securities Purchase Agreement, dated June 27, 2023, by and among Minerva Neurosciences, Inc. and the purchasers party thereto</w:t>
              </w:r>
            </w:hyperlink>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(incorporated by reference to Exhibit 10.1 to the Registrant’s current report on Form 8-K (File No. 001-36517) filed with the SEC on</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June 28,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0000FF"/>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3"/>
              </w:rPr>
              <w:t>Certification of Chief Financial Officer (Principal Financial Officer) pursuant to Section 302 of Sarbanes-Oxley Act of 2002</w:t>
            </w:r>
          </w:p>
        </w:tc>
        <w:tc>
          <w:tcPr>
            <w:tcW w:w="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32.1</w:t>
            </w:r>
            <w:r>
              <w:rPr>
                <w:rFonts w:ascii="Arial" w:cs="Arial" w:eastAsia="Arial" w:hAnsi="Arial"/>
                <w:sz w:val="24"/>
                <w:szCs w:val="24"/>
                <w:color w:val="auto"/>
                <w:w w:val="85"/>
                <w:vertAlign w:val="superscript"/>
              </w:rPr>
              <w: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5620" w:type="dxa"/>
            <w:vAlign w:val="bottom"/>
            <w:gridSpan w:val="4"/>
            <w:shd w:val="clear" w:color="auto" w:fill="0000FF"/>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4"/>
              </w:rPr>
              <w:t>Certification of Chief Executive Officer (Principal Executive Officer) and Chief Financial Officer (Principal Financial Officer) pursuant</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to Section 906 of Sarbanes-Oxley Act of 2002</w:t>
            </w:r>
          </w:p>
        </w:tc>
        <w:tc>
          <w:tcPr>
            <w:tcW w:w="6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804"/>
        <w:spacing w:after="0"/>
        <w:tabs>
          <w:tab w:leader="none" w:pos="11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50" w:lineRule="exact"/>
        <w:rPr>
          <w:rFonts w:ascii="Arial" w:cs="Arial" w:eastAsia="Arial" w:hAnsi="Arial"/>
          <w:sz w:val="17"/>
          <w:szCs w:val="17"/>
          <w:color w:val="auto"/>
        </w:rPr>
      </w:pPr>
    </w:p>
    <w:p>
      <w:pPr>
        <w:ind w:firstLine="8"/>
        <w:spacing w:after="0" w:line="263" w:lineRule="auto"/>
        <w:tabs>
          <w:tab w:leader="none" w:pos="1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MINERVA NEUROSCIENCES, INC.</w:t>
      </w:r>
    </w:p>
    <w:p>
      <w:pPr>
        <w:spacing w:after="0" w:line="30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35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64" w:right="59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818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2023, to which this Certification is attached as Exhibit 32.1 (the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Remy Luthringer, Ph.D.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7"/>
          <w:szCs w:val="17"/>
          <w:color w:val="auto"/>
        </w:rPr>
        <w:t>Frederick Ahlholm</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lvl w:ilvl="1">
      <w:lvlJc w:val="left"/>
      <w:lvlText w:val="%2"/>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28" Type="http://schemas.openxmlformats.org/officeDocument/2006/relationships/hyperlink" Target="https://www.sec.gov/Archives/edgar/data/0001598646/000104746914005459/a2219972zex-3_1.htm" TargetMode="External"/><Relationship Id="rId129" Type="http://schemas.openxmlformats.org/officeDocument/2006/relationships/hyperlink" Target="https://www.sec.gov/Archives/edgar/data/0001598646/000156459019039496/nerv-ex32_112.htm" TargetMode="External"/><Relationship Id="rId130" Type="http://schemas.openxmlformats.org/officeDocument/2006/relationships/hyperlink" Target="https://www.sec.gov/Archives/edgar/data/1598646/000119312522176540/d314076dex31.htm" TargetMode="External"/><Relationship Id="rId131" Type="http://schemas.openxmlformats.org/officeDocument/2006/relationships/hyperlink" Target="https://www.sec.gov/Archives/edgar/data/1598646/000119312523176877/d527050dex41.htm" TargetMode="External"/><Relationship Id="rId132" Type="http://schemas.openxmlformats.org/officeDocument/2006/relationships/hyperlink" Target="https://www.sec.gov/Archives/edgar/data/1598646/000119312523176877/d5270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2023-08-01T06:13:18Z</dcterms:created>
  <dcterms:modified xsi:type="dcterms:W3CDTF">2023-08-01T06:13:18Z</dcterms:modified>
</cp:coreProperties>
</file>