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2" w:lineRule="exact"/>
        <w:rPr>
          <w:sz w:val="24"/>
          <w:szCs w:val="24"/>
          <w:color w:val="auto"/>
        </w:rPr>
      </w:pPr>
    </w:p>
    <w:p>
      <w:pPr>
        <w:ind w:left="520" w:right="300" w:hanging="512"/>
        <w:spacing w:after="0" w:line="273" w:lineRule="auto"/>
        <w:tabs>
          <w:tab w:leader="none" w:pos="4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Commission File Number 001-36517</w:t>
            </w:r>
          </w:p>
        </w:tc>
        <w:tc>
          <w:tcPr>
            <w:tcW w:w="1160" w:type="dxa"/>
            <w:vAlign w:val="bottom"/>
          </w:tcPr>
          <w:p>
            <w:pPr>
              <w:spacing w:after="0"/>
              <w:rPr>
                <w:sz w:val="18"/>
                <w:szCs w:val="18"/>
                <w:color w:val="auto"/>
              </w:rPr>
            </w:pPr>
          </w:p>
        </w:tc>
      </w:tr>
      <w:tr>
        <w:trPr>
          <w:trHeight w:val="87"/>
        </w:trPr>
        <w:tc>
          <w:tcPr>
            <w:tcW w:w="29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464"/>
        </w:trPr>
        <w:tc>
          <w:tcPr>
            <w:tcW w:w="6320" w:type="dxa"/>
            <w:vAlign w:val="bottom"/>
            <w:gridSpan w:val="3"/>
          </w:tcPr>
          <w:p>
            <w:pPr>
              <w:ind w:left="1720"/>
              <w:spacing w:after="0"/>
              <w:rPr>
                <w:sz w:val="20"/>
                <w:szCs w:val="20"/>
                <w:color w:val="auto"/>
              </w:rPr>
            </w:pPr>
            <w:r>
              <w:rPr>
                <w:rFonts w:ascii="Times New Roman" w:cs="Times New Roman" w:eastAsia="Times New Roman" w:hAnsi="Times New Roman"/>
                <w:sz w:val="38"/>
                <w:szCs w:val="38"/>
                <w:b w:val="1"/>
                <w:bCs w:val="1"/>
                <w:color w:val="auto"/>
                <w:w w:val="99"/>
              </w:rPr>
              <w:t>Minerva Neurosciences, Inc.</w:t>
            </w:r>
          </w:p>
        </w:tc>
        <w:tc>
          <w:tcPr>
            <w:tcW w:w="1160" w:type="dxa"/>
            <w:vAlign w:val="bottom"/>
          </w:tcPr>
          <w:p>
            <w:pPr>
              <w:spacing w:after="0"/>
              <w:rPr>
                <w:sz w:val="24"/>
                <w:szCs w:val="24"/>
                <w:color w:val="auto"/>
              </w:rPr>
            </w:pPr>
          </w:p>
        </w:tc>
      </w:t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160" w:type="dxa"/>
            <w:vAlign w:val="bottom"/>
          </w:tcPr>
          <w:p>
            <w:pPr>
              <w:spacing w:after="0"/>
              <w:rPr>
                <w:sz w:val="18"/>
                <w:szCs w:val="18"/>
                <w:color w:val="auto"/>
              </w:rPr>
            </w:pPr>
          </w:p>
        </w:tc>
      </w:tr>
      <w:tr>
        <w:trPr>
          <w:trHeight w:val="101"/>
        </w:trPr>
        <w:tc>
          <w:tcPr>
            <w:tcW w:w="29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90"/>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151"/>
        </w:trPr>
        <w:tc>
          <w:tcPr>
            <w:tcW w:w="6320" w:type="dxa"/>
            <w:vAlign w:val="bottom"/>
            <w:gridSpan w:val="3"/>
          </w:tcPr>
          <w:p>
            <w:pPr>
              <w:jc w:val="center"/>
              <w:ind w:right="396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1160" w:type="dxa"/>
            <w:vAlign w:val="bottom"/>
          </w:tcPr>
          <w:p>
            <w:pPr>
              <w:spacing w:after="0"/>
              <w:rPr>
                <w:sz w:val="24"/>
                <w:szCs w:val="24"/>
                <w:color w:val="auto"/>
              </w:rPr>
            </w:pPr>
          </w:p>
        </w:tc>
      </w:tr>
      <w:tr>
        <w:trPr>
          <w:trHeight w:val="238"/>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1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93"/>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75"/>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 w:type="dxa"/>
            <w:vAlign w:val="bottom"/>
            <w:tcBorders>
              <w:top w:val="single" w:sz="8" w:color="auto"/>
              <w:bottom w:val="single" w:sz="8" w:color="auto"/>
            </w:tcBorders>
          </w:tcPr>
          <w:p>
            <w:pPr>
              <w:spacing w:after="0"/>
              <w:rPr>
                <w:sz w:val="23"/>
                <w:szCs w:val="23"/>
                <w:color w:val="auto"/>
              </w:rPr>
            </w:pPr>
          </w:p>
        </w:tc>
        <w:tc>
          <w:tcPr>
            <w:tcW w:w="3880" w:type="dxa"/>
            <w:vAlign w:val="bottom"/>
            <w:tcBorders>
              <w:top w:val="single" w:sz="8" w:color="auto"/>
              <w:bottom w:val="single" w:sz="8" w:color="auto"/>
              <w:right w:val="single" w:sz="8" w:color="auto"/>
            </w:tcBorders>
            <w:gridSpan w:val="4"/>
          </w:tcPr>
          <w:p>
            <w:pPr>
              <w:jc w:val="center"/>
              <w:ind w:right="339"/>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NERV</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gridSpan w:val="3"/>
          </w:tcPr>
          <w:p>
            <w:pPr>
              <w:jc w:val="center"/>
              <w:ind w:right="779"/>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6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74"/>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YES</w:t>
            </w:r>
          </w:p>
        </w:tc>
        <w:tc>
          <w:tcPr>
            <w:tcW w:w="2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57"/>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28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132320" cy="334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8" w:lineRule="exact"/>
        <w:rPr>
          <w:sz w:val="24"/>
          <w:szCs w:val="24"/>
          <w:color w:val="auto"/>
        </w:rPr>
      </w:pPr>
    </w:p>
    <w:p>
      <w:pPr>
        <w:ind w:right="3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36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42"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right="2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8" w:lineRule="exact"/>
        <w:rPr>
          <w:sz w:val="24"/>
          <w:szCs w:val="24"/>
          <w:color w:val="auto"/>
        </w:rPr>
      </w:pPr>
    </w:p>
    <w:p>
      <w:pPr>
        <w:ind w:right="30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8" w:lineRule="exact"/>
        <w:rPr>
          <w:sz w:val="24"/>
          <w:szCs w:val="24"/>
          <w:color w:val="auto"/>
        </w:rPr>
      </w:pPr>
    </w:p>
    <w:p>
      <w:pPr>
        <w:ind w:right="3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56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aggregate value of the Company’s Common Stock held by non-affiliates of the Company was approximately $17.1 million as of June 30, 2022, when the last reported sales price was $3.31 per share.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3, 2023 was 5,340,193.</w:t>
      </w:r>
    </w:p>
    <w:p>
      <w:pPr>
        <w:spacing w:after="0" w:line="7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73" w:lineRule="exact"/>
        <w:rPr>
          <w:sz w:val="24"/>
          <w:szCs w:val="24"/>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2023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80" w:type="dxa"/>
            <w:vAlign w:val="bottom"/>
            <w:gridSpan w:val="11"/>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MINERVA NEUROSCIENCES,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9"/>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8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EE"/>
            </w:tcBorders>
            <w:vMerge w:val="continue"/>
          </w:tcPr>
          <w:p>
            <w:pPr>
              <w:spacing w:after="0"/>
              <w:rPr>
                <w:sz w:val="14"/>
                <w:szCs w:val="14"/>
                <w:color w:val="auto"/>
              </w:rPr>
            </w:pPr>
          </w:p>
        </w:tc>
        <w:tc>
          <w:tcPr>
            <w:tcW w:w="58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1300" w:type="dxa"/>
            <w:vAlign w:val="bottom"/>
            <w:tcBorders>
              <w:top w:val="single" w:sz="8" w:color="0000EE"/>
            </w:tcBorders>
            <w:gridSpan w:val="8"/>
          </w:tcPr>
          <w:p>
            <w:pPr>
              <w:spacing w:after="0"/>
              <w:rPr>
                <w:sz w:val="18"/>
                <w:szCs w:val="18"/>
                <w:color w:val="auto"/>
              </w:rPr>
            </w:pPr>
          </w:p>
        </w:tc>
        <w:tc>
          <w:tcPr>
            <w:tcW w:w="7500" w:type="dxa"/>
            <w:vAlign w:val="bottom"/>
            <w:gridSpan w:val="1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00" w:type="dxa"/>
            <w:vAlign w:val="bottom"/>
            <w:gridSpan w:val="17"/>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7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20" w:type="dxa"/>
            <w:vAlign w:val="bottom"/>
            <w:gridSpan w:val="4"/>
          </w:tcPr>
          <w:p>
            <w:pPr>
              <w:spacing w:after="0"/>
              <w:rPr>
                <w:sz w:val="18"/>
                <w:szCs w:val="18"/>
                <w:color w:val="auto"/>
              </w:rPr>
            </w:pPr>
          </w:p>
        </w:tc>
        <w:tc>
          <w:tcPr>
            <w:tcW w:w="80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Selected Financial Data</w:t>
            </w:r>
          </w:p>
        </w:tc>
        <w:tc>
          <w:tcPr>
            <w:tcW w:w="7820" w:type="dxa"/>
            <w:vAlign w:val="bottom"/>
            <w:gridSpan w:val="15"/>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3"/>
          </w:tcPr>
          <w:p>
            <w:pPr>
              <w:spacing w:after="0"/>
              <w:rPr>
                <w:sz w:val="18"/>
                <w:szCs w:val="18"/>
                <w:color w:val="auto"/>
              </w:rPr>
            </w:pPr>
          </w:p>
        </w:tc>
        <w:tc>
          <w:tcPr>
            <w:tcW w:w="308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6200" w:type="dxa"/>
            <w:vAlign w:val="bottom"/>
            <w:gridSpan w:val="9"/>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6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6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20" w:type="dxa"/>
            <w:vAlign w:val="bottom"/>
            <w:gridSpan w:val="18"/>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40" w:type="dxa"/>
            <w:vAlign w:val="bottom"/>
            <w:gridSpan w:val="2"/>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40" w:type="dxa"/>
            <w:vAlign w:val="bottom"/>
            <w:gridSpan w:val="8"/>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4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 and Director Independence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59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0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7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460" w:type="dxa"/>
            <w:vAlign w:val="bottom"/>
            <w:gridSpan w:val="3"/>
          </w:tcPr>
          <w:p>
            <w:pPr>
              <w:spacing w:after="0"/>
              <w:rPr>
                <w:sz w:val="18"/>
                <w:szCs w:val="18"/>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1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20" w:type="dxa"/>
            <w:vAlign w:val="bottom"/>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service marks, and copyrights appearing in this Annual Report on Form 10-K are the property of their respective owners.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 Form 10-K under Part I, Item IA, “Risk Factors.”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summary of risks below provides an overview of the principal risks that we are exposed to in the normal course of our business activities. The below summary of risks is not exhaustive, and such summary should be considered in addition to the other risks described elsewhere in this report:</w:t>
      </w:r>
    </w:p>
    <w:p>
      <w:pPr>
        <w:spacing w:after="0" w:line="54" w:lineRule="exact"/>
        <w:rPr>
          <w:sz w:val="20"/>
          <w:szCs w:val="20"/>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regarding fair value of intangible assets may result in an adverse impact on our results of operations;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give any assurance that any of our product candidates will receive regulatory approval in a timely manner or at all. The results of clinical trials conducted at sites outside the U.S. may not be accepted by the FDA and the results of clinical trials conducted at sites in the U.S. may not be accepted by comparable foreign regulatory authorities;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in clinical testing, we will be delayed in commercializing our product candidates, our costs may increase, and our business may be harmed. If we are unable to enroll subjects in clinical trials, we will be unable to complete these trials on a timely basis or at all. Our clinical trials may fail to demonstrate adequately the safety and efficacy of our product candidates, which could prevent or delay regulatory approval and commercialization, and also increase costs;</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 product candidate or the approval may be for a narrower indication than we expect. We have no experience in advancing product candidates beyond Phase 3 clinical trials, which makes it difficult to assess our ability to develop and commercialize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our product candidate, MIN-301, has not yet been determined. Depending on the pathway, we may be subject to different regulatory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 w:name="page4"/>
    <w:bookmarkEnd w:id="3"/>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any product that we or our collaborators develop are smaller than we believe, our revenue may be adversely affected and our business may suffer;</w:t>
      </w:r>
    </w:p>
    <w:p>
      <w:pPr>
        <w:spacing w:after="0" w:line="53" w:lineRule="exact"/>
        <w:rPr>
          <w:rFonts w:ascii="Times New Roman" w:cs="Times New Roman" w:eastAsia="Times New Roman" w:hAnsi="Times New Roman"/>
          <w:sz w:val="18"/>
          <w:szCs w:val="18"/>
          <w:color w:val="auto"/>
        </w:rPr>
      </w:pPr>
    </w:p>
    <w:p>
      <w:pPr>
        <w:ind w:left="503" w:right="9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us;</w:t>
      </w:r>
    </w:p>
    <w:p>
      <w:pPr>
        <w:spacing w:after="0" w:line="53"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 Even if we commercialize any of our product candidates, these products may become subject to unfavorable pricing regulations, third-party reimbursement practices or healthcare reform initiatives, which could harm our business;</w:t>
      </w:r>
    </w:p>
    <w:p>
      <w:pPr>
        <w:spacing w:after="0" w:line="75"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and future legislation may increase the difficulty and cost for us to commercialize our product candidates and affect the prices we may obtain;</w:t>
      </w:r>
    </w:p>
    <w:p>
      <w:pPr>
        <w:spacing w:after="0" w:line="53"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system failures. 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 Our disclosure controls and procedures may not prevent or detect all errors or acts of fraud;</w:t>
      </w:r>
    </w:p>
    <w:p>
      <w:pPr>
        <w:spacing w:after="0" w:line="71" w:lineRule="exact"/>
        <w:rPr>
          <w:rFonts w:ascii="Times New Roman" w:cs="Times New Roman" w:eastAsia="Times New Roman" w:hAnsi="Times New Roman"/>
          <w:sz w:val="18"/>
          <w:szCs w:val="18"/>
          <w:color w:val="auto"/>
        </w:rPr>
      </w:pPr>
    </w:p>
    <w:p>
      <w:pPr>
        <w:ind w:left="503" w:right="40" w:hanging="503"/>
        <w:spacing w:after="0" w:line="312" w:lineRule="auto"/>
        <w:tabs>
          <w:tab w:leader="none" w:pos="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w:t>
      </w:r>
    </w:p>
    <w:p>
      <w:pPr>
        <w:spacing w:after="0" w:line="31" w:lineRule="exact"/>
        <w:rPr>
          <w:rFonts w:ascii="Times New Roman" w:cs="Times New Roman" w:eastAsia="Times New Roman" w:hAnsi="Times New Roman"/>
          <w:sz w:val="17"/>
          <w:szCs w:val="17"/>
          <w:color w:val="auto"/>
        </w:rPr>
      </w:pPr>
    </w:p>
    <w:p>
      <w:pPr>
        <w:ind w:left="503" w:right="4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policies and other obligations related to data privacy and security.</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continue to expect to rely on third parties to conduct our future clinical trials. The failure of these third parties to successfully carry out their contractual duties or meet expected deadlines could substantially harm our business;</w:t>
      </w:r>
    </w:p>
    <w:p>
      <w:pPr>
        <w:spacing w:after="0" w:line="5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certain of our licensing partners, and could be seriously harmed if our license agreements are terminated or breached;</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potential future milestone payments to the Company depend on the development and commercialization of seltorexant, and we may be obligated to make related payments to certain of our contractual partners even if certain of our other contractual partners breach their obligations to pay us;</w:t>
      </w:r>
    </w:p>
    <w:p>
      <w:pPr>
        <w:spacing w:after="0" w:line="67"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new collaborations, which could adversely affect our ability to develop future product candidates and commercialize future products;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53" w:lineRule="exact"/>
        <w:rPr>
          <w:rFonts w:ascii="Times New Roman" w:cs="Times New Roman" w:eastAsia="Times New Roman" w:hAnsi="Times New Roman"/>
          <w:sz w:val="18"/>
          <w:szCs w:val="18"/>
          <w:color w:val="auto"/>
        </w:rPr>
      </w:pPr>
    </w:p>
    <w:p>
      <w:pPr>
        <w:ind w:left="503" w:right="7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what the market price of our common stock will be and, as a result, it may be difficult for you to sell your shares of our common stock;</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5" w:right="339" w:bottom="1440" w:gutter="0" w:footer="0" w:header="0"/>
        </w:sectPr>
      </w:pPr>
    </w:p>
    <w:bookmarkStart w:id="4" w:name="page5"/>
    <w:bookmarkEnd w:id="4"/>
    <w:p>
      <w:pPr>
        <w:ind w:left="503" w:right="5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by our existing stockholders in the public market could cause our stock price to fall;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litigation could result in substantial damages and may divert management’s time and attention from our business;</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dividends on our capital stock, and because we do not anticipate paying any cash dividends in the foreseeable future, capital appreciation, if any, of our common stock will be your sole source of gain on an investment in our common stock; and</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which could negatively impact the price of our common stock, liquidity and our ability to access capital markets, and “Penny Stock” rules may make buying or selling our securities difficult which may make our stock less liquid and make it harder for investors to buy and sell our securities.</w:t>
      </w:r>
    </w:p>
    <w:p>
      <w:pPr>
        <w:spacing w:after="0" w:line="17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5"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milestone payments, subject to completion of Phase 3 trials by Janssen and regulatory approvals. Janssen is currently conducting two Phase 3 studies with seltorexant, a third Phase 3 study was discontinued during 2022.</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(the “FDA”) for our lead product candidate, roluperidone. The FDA subsequently notified us that they would not accept the file for review, issuing a refusal to file letter in October 2022. In December 2022, we announced that, following the Type A meeting held on November 30, 2022, the FDA confirmed that the refusal to file letter remains in effect with respect to our NDA for roluperidone. We anticipate further discussion with the FDA over the coming months regarding the status of the roluperidone NDA and development program.</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December 31, 2022 and 2021, we had an accumulated deficit of $366.8 million and $334.7 million, respectively. For the years ended December 31, 2022 and 2021, we recorded net losses of $32.1 million and $49.9 million, respectively.</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believe our product candidates have potential to improve the lives of a large number of affected patients and their families who are currently not well-served by available therapies. According to Datamonitor, an independent market research firm, in 2022 approximately 2.9 million people suffered from schizophrenia in the United States (“U.S.”), Japan, the United Kingdom (“UK”), and the four major European Union (“EU”) markets of France, Germany, Italy, and Spain. There is no approved treatment to address negative symptoms in patients with schizophrenia in the U.S., which is a significant driver of the cost burden of that disease. An estimated 69% of treated patients with schizophrenia have predominant/persistent negative symptoms. Negative symptoms also exist in other CNS diseases beyond schizophrenia, the existing treatments for which we believe are poorly addressed in a broad range of indications such as Alzheimer’s disease, Parkinson’s disease and depression.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77" w:lineRule="exact"/>
        <w:rPr>
          <w:sz w:val="20"/>
          <w:szCs w:val="20"/>
          <w:color w:val="auto"/>
        </w:rPr>
      </w:pPr>
    </w:p>
    <w:p>
      <w:pPr>
        <w:ind w:left="1020" w:right="14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Identify, acquire and develop differentiated products with innovative mechanisms of action based on biological and clinical insights into the unmet needs of patients;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1020" w:right="40" w:hanging="503"/>
        <w:spacing w:after="0" w:line="26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the randomized, double-blind, placebo-controlled data from completed trials to advance the clinical development of our product candidates in multiple regulatory jurisdictions;</w:t>
      </w:r>
    </w:p>
    <w:p>
      <w:pPr>
        <w:ind w:left="1020" w:right="200" w:hanging="503"/>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our lead product, roluperidone, which, if approved, will potentially be the first product approved to treat negative symptoms in patients with schizophrenia in the U.S. and, in the longer term as a potential treatment for other brain disorders in which negative symptoms represent a significant debilitating, unmet need;</w:t>
      </w:r>
    </w:p>
    <w:p>
      <w:pPr>
        <w:spacing w:after="0" w:line="1"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 and</w:t>
      </w:r>
    </w:p>
    <w:p>
      <w:pPr>
        <w:ind w:left="1020" w:right="540" w:hanging="503"/>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Minerva Neurosciences, Inc. was formed in November 2013 from the merger of Cyrenaic Pharmaceuticals, Inc. and Sonkei Pharmaceuticals, Inc. These two predecessor companies had exclusively licensed roluperidone and another compound from Mitsubishi Tanabe Pharma Corporation (“MTPC”). In February 2014 we acquired Mind-NRG Sarl (“Mind-NRG”), which owns exclusive rights to develop and commercialize MIN-301 globally.</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potential commercialization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Roluperidone (MIN-101)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98" w:lineRule="exact"/>
        <w:rPr>
          <w:sz w:val="20"/>
          <w:szCs w:val="20"/>
          <w:color w:val="auto"/>
        </w:rPr>
      </w:pPr>
    </w:p>
    <w:p>
      <w:pPr>
        <w:ind w:right="80"/>
        <w:spacing w:after="0" w:line="227" w:lineRule="exact"/>
        <w:rPr>
          <w:sz w:val="20"/>
          <w:szCs w:val="20"/>
          <w:color w:val="auto"/>
        </w:rPr>
      </w:pPr>
      <w:r>
        <w:rPr>
          <w:rFonts w:ascii="Times New Roman" w:cs="Times New Roman" w:eastAsia="Times New Roman" w:hAnsi="Times New Roman"/>
          <w:sz w:val="18"/>
          <w:szCs w:val="18"/>
          <w:color w:val="auto"/>
        </w:rPr>
        <w:t>Roluperidone is a compound that has been shown to block serotonin, sigma, and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receptors that are involved in the regulation of mood, cognition, sleep and anxiety. We are developing roluperidone to treat patients with schizophrenia. Roluperidone has been designed to block a specific subtype of serotonin receptor called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When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promotes slow wave sleep, a sleep stage often disrupted in patients with schizophrenia. Roluperidone has also been designed to block a specific subtype of sigma receptor called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which is involved in movement control, psychotic symptom control and learning and memory. Blocking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along with blocking the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subtypes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to a lesser extent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also increases calcium levels in neurons in the brain, which can improve memory. Pre-clinical findings provide evidence of the effect of roluperidone on Brain-Derived Neurotrophic Factor (“BDNF”), which has been associated with neurogenesis, neuroplasticity, neuroprotection, synapse regulation, learning and memory.</w:t>
      </w:r>
    </w:p>
    <w:p>
      <w:pPr>
        <w:spacing w:after="0" w:line="20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believe the scientifically supported and innovative mechanisms of action of roluperidone may potentially address the unmet needs of schizophrenic patients, which include treatment of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 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Beyond schizophrenia, we believe roluperidone may potentially possess therapeutic utility in brain disorders where negative symptoms are a core feature of the disease associated with a range of poor clinical outcomes. These potential indications include apathy in dementia, for which we have filed an Investigational New Drug (“IND”) application, the majority of schizophrenia spectrum and other psychotic disorders, autism spectrum disorders, Alzheimer’s disease, Parkinson’s disease and depression.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Clinical and Regulatory Updates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NDA fee refund</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January 2023, we received a refund of our NDA filing fee of approximately $3.1 million from the FDA. This refund was made in accordance with the Federal Food Drug and Cosmetic Act, which allows a fee waiver for a small business submitting its first human drug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Refusal to File Letter and Type A Meeting (November 30, 2022)</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October 17, 2022, we announced that we received a refusal to file letter from the FDA for our NDA for roluperidone for the treatment of negative symptoms in schizophrenia. On December 28, 2022, we announced that, following the Type A meeting held on November 30, 2022, the FDA confirmed that the refusal to file letter remains in effect with respect to our NDA for roluperidone. We anticipate further discussion with the FDA over the coming months regarding the status of the roluperidone NDA and development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Drug Application</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August 22, 2022, we announced that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Type C Meeting (March 2, 2022)</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7, 2022, we announced that we had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The FDA, at that time, proposed to keep an open dialogue moving towards the NDA submission. Following the meeting, Minerva provided additional data to address:</w:t>
      </w:r>
    </w:p>
    <w:p>
      <w:pPr>
        <w:spacing w:after="0" w:line="72" w:lineRule="exact"/>
        <w:rPr>
          <w:sz w:val="20"/>
          <w:szCs w:val="20"/>
          <w:color w:val="auto"/>
        </w:rPr>
      </w:pPr>
    </w:p>
    <w:p>
      <w:pPr>
        <w:ind w:left="1020" w:right="14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US and non-US schizophrenia patients. More specifically, the Division wanted to be reassured that data collected in MIN-101C03 in non-US patients is applicable to US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statistical evidence of efficacy of roluperidone on negative symptoms.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 program</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chemistry, manufacturing and controls (“CMC”) scale-up program for roluperidone is ongoing to ensure consistency between the drug batches used during Phase 3 testing and those that will be available for potential marketing and commercialization and subsequent regulatory submission and review of an NDA for roluperidone. The CMC program requires validation of all aspects of the manufacturing processes required to result in a drug product that consistently meets approved quality standards.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2019 we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manufactures and packages the finished dose form of roluperidone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Drug-Drug Interaction Studies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completed certain pharmacology trials that include a Drug-Drug Interaction study, which comprise a standard part of the NDA. We have studied interactions separately with molecules inhibiting two subtypes of the cytochrome P450 (CYP2D6 and CYP3A4). The data from this study show minimal to no interaction with the strong CYP3A4 inhibitor, and some interaction (&lt; 1.6-fold increase in exposure) with the moderate CYP2D6 inhibitor.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Dose Escalation Study with formulation employed in Phase 3 clinical trial</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used in the Phase 3 trial.</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findings from the trial suggest an expanded therapeutic window and a significantly improved safety margin for roluperidone. Furthermore, we believe these data suggest the potential for future testing of roluperidone in schizophrenic patients with an exacerbation of psychosis at higher doses than those used in the Phase 3 trial.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Brain-Derived Neurotrophic Factor (“BDNF”) Findings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completed non-clinical studies that provide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18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serotoninergic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adrenergic neurotransmitter pathways.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Roluperidone License Agreement with MTPC</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entered into a license agreement with MTPC dated as of August 30, 2007, as amended (“Roluperidone License Agreement”). Under the terms of the Roluperidone License Agreement, we acquired an exclusive license to the lead compound known as CYR-101 (subsequently renamed MIN-101 and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expires upon the expiration of our obligation to pay royalties, upon which we will have a fully paid-up, non-exclusive, perpetual, irrevocable license. Our obligation to pay royalties continues, on a country-by-country basis, until the 12 year anniversary from the launch of the product in each country in our territory.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Seltorexant (MIN-202)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Seltorexant and the Royalty Pharma Arrangement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Seltorexant is an innovative selective orexin 2 receptor antagonist that we co-developed with Janssen for the treatment of insomnia and 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Phase 3 trials by Janssen and regulatory approvals. Janssen is currently conducting two Phase 3 studies with seltorexant, a third Phase 3 study was discontinued during 2022.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Historical Clinical Developments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2019 we announced top-line results from a Phase 2b clinical trial in which flexibly dosed seltorexant (20 mg or 40 mg) was compared to flexibly dosed quetiapine XR (150 mg or 300 mg) for adjunctive treatment of patients with MDD. There were 102 patients enrolled, each with MDD not responding adequately to SSRIs and SNRIs. The primary endpoint was all cause discontinuation 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the European Union.</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May 2019 we announced positive top-line results from a Phase 2b trial of seltorexant as adjunctive therapy to antidepressants in adult patients with MDD who have responded inadequately to antidepressant therapy, including selective serotonin reuptake inhibitors (“SSRIs”) and/or serotonin-norepinephrine reuptake inhibitors (“SNRIs”). 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may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an opportunity to improve treatment response rates safely in most of these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MIN-301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MIN-301 and Strategic Development Deferral</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our acquisition of Mind-NRG in February 2014, we have exclusive rights to develop and commercialize MIN-301, a soluble recombinant form of the Neuregulin-1b1 (“NRG-1b1”), protein, for the treatment of Parkinson’s disease and potentially for other neurodegenerative disorders. We believe MIN-301 may have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Gamma-Aminobutyric Acid (“GABA”) and glutamate in the brain, which are often unbalanced in individuals with Parkinson’s disease. Further, ErbB4 promotes oxygenation and metabolism of neurons and it is involved in the control of brain inflammation, which may indicate that MIN-301 could have the potential to reverse the damage caused by Parkinson’s disease.</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 neurological deficits, we believe MIN-301 may have the potential to address these unmet needs of patients and, if approved, may be used as an early-stage monotherapy as well as a complementary therapy to existing treatments.</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Development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Optimization of the bioanalytical method was accomplished during 2020 following the completion of a rat pharmacokinetic study. The new bioanalytical method facilitates the detection of MIN-301 concentrations at very low levels which we believe may enable further non-clinical testing of this compound.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Impairment of MIN-301 In-process Research and Development Asset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Competition in the Pharmaceutical Market for the Treatment of Schizophrenia</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Janssen’s Haldol (haloperidol), or second-generation “atypical antipsychotics,” such as Novartis’ Clozaril (clozapine), Janssen’s Risperdal (risperidone), AstraZeneca’s Seroquel (quetiapine), Eli Lilly’s Zyprexa (olanzapine) and Bristol-Myers Squibb’s Abilify (aripiprazole).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Both types of existing therapies have limited ability to improve negative symptoms and cognitive symptoms. In addition, existing therapies have extensive side effects such as weight gain, metabolic syndrome, sedation, nausea, movement disorders, restlessness, insomnia, impairment of cognitive skills, and prolactin increase. Since schizophrenia has a wide range of symptoms, multiple therapeutics are often prescribed in an attempt to address all aspects of the disease, compounding these side effects.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Given the focus of currently approved drug therapies for positive symptoms and their side effect profiles, we believe these therapies are unlikely to be directly competitive with roluperidone, which is intended to target primarily negative symptoms.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w:t>
      </w:r>
    </w:p>
    <w:p>
      <w:pPr>
        <w:spacing w:after="0" w:line="18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Specific compounds under late-stage development that include negative symptoms as a target include Acadia Pharmaceuticals’ pimavanserin, a selective serotonin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inverse agonist (“SSIA”) that is approved for the treatment of hallucinations and delusions associated with Parkinson’s disease psychosis. A Phase 3 trial to evaluate the efficacy and safety of pimavanserin as adjunctive treatment for the negative symptoms of schizophrenia was initiated in August 2020. In January 2019, Lundbeck indicated they would begin proof-of-concept studies for Lu AF11167, a PDE-10 inhibitor for the treatment of persistent negative symptoms in schizophrenia. In August 2020, Lundbeck announced they were discontinuing the trial based on the results of a futility interim analysis, which concluded that the trial was unlikely to achieve statistical significance on its primary endpoint, mean change from baseline to week 12 on the Brief Negative Symptom Scale (“BNSS”).</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products in clinical development, as a monotherapy or as an adjunctive treatment, whose targets include negative symptoms, (although not necessarily defined as a primary outcome of their clinical trials) are Roche’s RO6889450/RG-7906, Neurocrine’s NBI-1065844 (formerly Takeda’s TAK-831), SyneuRx’s NaBen, Avanir Pharmaceuticals’ AVP-786, and Karuna Therapeutics’ KarXT. In addition, a number of academic groups are conducting studies with existing compounds for the treatment of negative symptoms of schizophrenia.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 Competition in the Pharmaceutical Market for the Treatment of Parkinson’s Disease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to manage these side effects. While initially effective, symptoms become increasingly difficult to control over time, and patients experience a pattern of 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12" w:name="page13"/>
    <w:bookmarkEnd w:id="12"/>
    <w:p>
      <w:pPr>
        <w:ind w:right="20"/>
        <w:spacing w:after="0" w:line="256" w:lineRule="auto"/>
        <w:rPr>
          <w:sz w:val="20"/>
          <w:szCs w:val="20"/>
          <w:color w:val="auto"/>
        </w:rPr>
      </w:pPr>
      <w:r>
        <w:rPr>
          <w:rFonts w:ascii="Times New Roman" w:cs="Times New Roman" w:eastAsia="Times New Roman" w:hAnsi="Times New Roman"/>
          <w:sz w:val="18"/>
          <w:szCs w:val="18"/>
          <w:color w:val="auto"/>
        </w:rPr>
        <w:t>Unlike currently available therapies, MIN-301, if approved, is intended to delay the onset of the disease, slow or prevent the progression of the disease or reverse its effects. Since MIN-301 is expected to target Parkinson’s disease, rather than merely its 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disease modifying treatments of Parkinson’s disease are still in early-stage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portfolios for our product candidates, which we own or are exclusively licensed to us,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Minerva owns numerous granted patents and patent applications worldwide that provide strong protection for roluperidone. These include patents and applications directed to pharmaceutical compositions comprising roluperidone and methods of using roluperidone.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Compositions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own four granted U.S. patents, U.S. Patent Nos. 9,458,130, 9,730,920, 10,258,614 and 10,799,493, and patents in Australia, Chile, Colombia, Europe, Israel, Mexico, and Ukraine, as well as pending applications in the U.S., Australia, Brazil, Canada, Chile, Eurasia, Europe, Israel, New Zealand, Peru, Ukraine, and South Africa that cover a novel formulation comprising roluperidone. This novel formulation provides improved therapeutic response and minimizes the potential for transient QTc increases – and thus safety issues – when compared to previous formulations. Because of this improved safety profile, it is this formulation of roluperidone that is being used in Phase 3 clinical trials, and it is this formulation that we expect will be the basis for approval in the US and EU. The granted U.S. patents, as well as any other U.S. or foreign patents that may grant from these applications, will expire no earlier than November 30, 2035. These patents are listable in the FDA’s Orange Book and would, we believe, bar generic competition during their terms. In addition to the patent terms referenced above, a patent term extension of up to 5 years may also be available.</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own pending applications in the U.S., Australia, Brazil, Canada, Chile, Colombia, Europe, Israel, Mexico, New Zealand, Peru, Russia, Ukraine, and South Africa that cover gastro-resistant, controlled release dosage formulations of roluperidone. The terms of any future granted patents in this patent family would expire no earlier than June 21, 2038.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of Use</w:t>
      </w:r>
    </w:p>
    <w:p>
      <w:pPr>
        <w:spacing w:after="0" w:line="22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own U.S. Patent No. 9,732,059, three granted patents in Russia, a single patent in Canada, and a single patent in a number of European territories (Austria, Belgium, Denmark, Finland, France, Germany, Greece, Ireland, Italy, Luxembourg, Netherlands, Norway, Poland, Portugal, Spain, Sweden, Switzerland, Turkey, United Kingdom, Anguilla, Bermuda, Cayman Islands, Gibraltar, Jersey, Turks &amp; Caicos Islands, and British Virgin Islands), as well as pending applications in United States, Brazil, Canada, Europe, and Russia across two patent families that are directed to methods of use of roluperidone to treat negative and other symptoms of schizophrenia, sleep disorders, depression, and other sigma-2 disorders or conditions. U.S. Patent No. 9,732,059 covers the use of roluperidone to treat one or more negative symptoms of schizophrenia and will not expire until 2033. This patent is listable in the FDA’s Orange Book and would, we believe, bar generic competition during its term. A patent term extension of up to 5 years may also be available. The foreign patents, as well as any future U.S. or foreign patents granting in these families, are scheduled to expire no earlier than July 20, 2031.</w:t>
      </w:r>
    </w:p>
    <w:p>
      <w:pPr>
        <w:spacing w:after="0" w:line="1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also own U.S. and EP patent applications directed to the use of roluperidone to treat negative symptoms in non-schizophrenic patients. Any patents granting from these applications would expire no earlier than May 23, 2037.</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 w:name="page14"/>
    <w:bookmarkEnd w:id="13"/>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we own a U.S. patent and pending applications in the U.S., Australia, Brazil, Canada, Chile, Europe, Israel, Mexico, New Zealand, Russia, Ukraine, United Kingdom, and South Africa directed to the use of roluperidone to treat negative symptoms, various disorders (including autism disorders, amblyopia, personality disorders, traumatic brain injury), as well as increasing neuroplasticity and promoting neuroprotection in subjects in need thereof. The U.S. Patent and any future U.S. or foreign patents granting from these applications would expire no earlier than August 21, 2039.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own a patent family that is directed to the use of MIN-301 for treating neurologic and psychiatric diseases, including Parkinson’s disease. This patent family includes patents granted in the U.S., Australia, Brazil, Canada, Europe (Austria, Belgium, Denmark, France, Germany, Greece, Ireland, Italy, Netherlands, Norway, Portugal, Spain, Sweden, Switzerland, Turkey and United Kingdom), Japan, Mexico and Russia. Applications are also pending in the United States and Brazil. Any existing and future granted patents in this family will expire no earlier than November 17, 2028. A patent term extension of up to five years may be available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Sigma Ligands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U.S. and PCT applications directed to sigma ligand compounds and their potential use in treating a variety of diseases and disorders, including pain disorders, CNS disorders (e.g., Parkinson’s disease and Alzheimer’s disease), viruses, and cancer. Any patents granting from the U.S. application, or any national phase applications that may be filed based upon the PCT application, would expire no earlier than August 12, 2041. A patent term extension of up to five years may be available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our product candidates may also be eligible for data and marketing exclusivity protection in the U.S., EU and certain other countries. If our product candidates are approved and this protection is available, no competitor may use the data in our application for regulatory approval of our product candidates to obtain regulatory approval of a generic product during the data exclusivity period.</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small molecules, such as roluperidone, the data and marketing exclusivity period is generally five years in the U.S., measured from the FDA approval date. If MIN-301 is approved as a biologic product, it may be eligible for a data and marketing exclusivity period of twelve years in the U.S. The data and marketing exclusivity periods in the U.S. may be extended by 6 months of pediatric exclusivity if a qualifying pediatric study is performed. Similar data and market exclusivity opportunities are available in the EU; for more information, see the section titled “—Government Regulation and Product Approval —</w:t>
      </w:r>
      <w:r>
        <w:rPr>
          <w:rFonts w:ascii="Times New Roman" w:cs="Times New Roman" w:eastAsia="Times New Roman" w:hAnsi="Times New Roman"/>
          <w:sz w:val="18"/>
          <w:szCs w:val="18"/>
          <w:i w:val="1"/>
          <w:iCs w:val="1"/>
          <w:color w:val="auto"/>
        </w:rPr>
        <w:t>Data and Marketing Exclusivity in the EU”</w:t>
      </w:r>
      <w:r>
        <w:rPr>
          <w:rFonts w:ascii="Times New Roman" w:cs="Times New Roman" w:eastAsia="Times New Roman" w:hAnsi="Times New Roman"/>
          <w:sz w:val="18"/>
          <w:szCs w:val="18"/>
          <w:color w:val="auto"/>
        </w:rPr>
        <w:t xml:space="preserve">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regulatory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Except for most of Asia, we have global commercialization rights for roluperidone. We also own worldwide rights for MIN-301. We believe that it will be possible for us to access European and, in the case of roluperidone and MIN-301,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regulatory approval.</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receiving regulatory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Medicinal Products in the European Union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22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the EU, clinical trials are governed by the Clinical Trials Regulation (EU) No 536/2014 (“CTR”), which entered into application on January 31, 2022, repealing and replacing the former Clinical Trials Directive 2001/20 (“CTD”) and related national implementing legislation of EU Member States.</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increasing their transparency. Specifically, the Regulation,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extent to which ongoing clinical trials will be governed by the CTR will depend on the duration of the individual clinical trial. Sponsors could choose to submit a clinical trial application under either the CTD or the CTR until January 31, 2023. For clinical trials in relation to which application for approval was made on the basis of the CTD before January 31, 2022, the CTD will continue to apply on a transitional basis for three years. If authorized, those clinical trials will be governed by the CTD until January 31, 2025. By that date, all ongoing trials will become subject to the provisions of the CTR. The CTR will apply to clinical trials from an earlier date if the clinical trial has already transitioned to the CTR framework.</w:t>
      </w:r>
    </w:p>
    <w:p>
      <w:pPr>
        <w:spacing w:after="0" w:line="18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all cases, the clinical trials must be conducted in accordance with EU and national regulations governing clinical trials, including the Good Clinical Practice Directive 2005/28. Studies should also be conducted in accordance with all applicable European Medicines Agency (“EMA”), European Commission and national guidelines and investigational medicinal products used in clinical trials must be manufactured in accordance with Good Manufacturing Practices.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 in the EU</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(“MA”) has been granted. A company may submit a marketing authorization application (“MAA”), either on the basis of the centralized, or decentralized procedure or mutual recognition procedure.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obtain a MA for a product in the EEA (which is comprised of the 27 Member States of the European Union plus Norway, Iceland and Liechtenstein), an applicant must submit an MAA either under a centralized procedure administered by the EMA or one of the procedures administered by competent authorities in the EU Member States (decentralized procedure, national procedure or mutual recognition procedure). An MA may be granted only to an applicant established in the EU.</w:t>
      </w:r>
    </w:p>
    <w:p>
      <w:pPr>
        <w:spacing w:after="0" w:line="18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centralized procedure provides for the grant of a single MA by the European Commission that is valid for all EU Member States. Pursuant to Regulation (EC) No 726/2004, the centralized procedure is compulsory for specific products, including for (i) medicinal products derived from biotechnological processes, (ii)products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EU, Regulation (EC) No 1901/2006 provides that all marketing authorization applications for new medicinal products must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(“SPC”), if any is in effect at the time of authorization or, in the case of orphan medicinal products, a two-year extension of orphan market exclusivity. For other countries outside of the EU,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 in the EU</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EU also provides opportunities for market exclusivity. Upon receiving an MA in the EU,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during a period of eight years from the date on which the reference product was first authorized in the EU. During the additional two-year period of market exclusivity, a generic or biosimilar marketing authorization can be submitted, and the innovator’s data may be referenced, but no generic or biosimilar product can be marketed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U.S. FDA Approval Process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a qualified investigator. Clinical trials must be conducted in compliance with federal regulations, good clinical practices (“GCP”), which include the ethical principles that all research subjects provide their informed consent in writing for their participation in any clinical trial, and that all trials be approved and monitored on an ongoing basis by an institutional review board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(“NIH”), for public dissemination on their clinicaltrials.gov website.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ind w:right="140"/>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the Current Good Manufacturing Practices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may impose a clinical hold on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approvals from the FDA or comparable foreign regulatory authorities are subject to pervasive and continuing regulation by the FDA, or comparable foreign regulatory authorities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review and approval by the FDA or comparable foreign regulatory authorities.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announced and unannounced inspections by the FDA, state agencies, as well as comparable foreign regulatory authorities for compliance with cGMP and other regulatory requirements. Changes to the manufacturing process are strictly regulated and may require prior approval from or notification to the FDA or comparable foreign regulatory authorities before being implemented. FDA and comparable foreign regulatory authorities also require investigation and correction of any deviations from cGMP and impose reporting and documentation requirements upon the sponsor and any third-party manufacturers that the sponsor may decide to use.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and comparable foreign regulatory authorities strictly regulate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regulatory authorities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 Equivalent limitations and penalties are provided in the EU both at the EU and at national level in individual EU Member States.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Moreover, the Drug Quality and Security Act imposes obligations on manufacturers of pharmaceutical products, among others, related to product and tracking and tracing.</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right="20"/>
        <w:spacing w:after="0" w:line="253" w:lineRule="auto"/>
        <w:rPr>
          <w:sz w:val="20"/>
          <w:szCs w:val="20"/>
          <w:color w:val="auto"/>
        </w:rPr>
      </w:pPr>
      <w:r>
        <w:rPr>
          <w:rFonts w:ascii="Times New Roman" w:cs="Times New Roman" w:eastAsia="Times New Roman" w:hAnsi="Times New Roman"/>
          <w:sz w:val="18"/>
          <w:szCs w:val="18"/>
          <w:color w:val="auto"/>
        </w:rPr>
        <w:t>All new MAAs in the European Union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RMPs and PSURs can be made available to third parties requesting access, subject to limited redactions and related conditions.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EU Member State and can differ from one country to another. All advertising and promotional activities for the product must be consistent with the approved summary of product characteristics in connection with an MA. The SmPC is the document that provides information to physicians concerning the safe and effective use of the product. Promotional activity that does not comply with the SmPC is considered off-label and is prohibited in the EU. Direct-to-consumer advertising of prescription only medicines is also prohibited in the European Union.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UK’s withdrawal from the EU on January 31, 2020, commonly referred to as Brexit, has created significant uncertainty concerning the future relationship between the UK and the EU. The Medicines and Healthcare products Regulatory Agency (“MHRA”) is now the UK’s standalone regulator. On December 24, 2020, the EU and UK reached an agreement in principle on the framework for their future relationship, the EU-UK Trade and Cooperation Agreement (the “Agreement”). The Agreement primarily focuses on ensuring free trade between the EU and the UK in relation to goods, including medicinal products. Although the body of the Agreement includes general terms which apply to medicinal products, greater detail on sector-specific issues is provided in an Annex to the Agreement.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Among the changes that will now occur are that Great Britain (England, Scotland and Wales) will be treated as a third country. Northern Ireland will, with regard to EU regulations, continue to follow the EU regulatory rules. As part of the Agreement, the EU and the UK will recognize GMP inspections carried out by the other party and the acceptance of official GMP documents issued by the other party. The Agreement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However, the EU continues to apply EU laws that require batch testing and batch release to take place in the EU territory. This means that medicinal products that are tested and released in the UK must be retested and re-released when entering the EU market for commercial use.</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However, it is currently unclear to what extent the UK will seek to align its regulations with the EU following entry into application of the Clinical Trials Regulation on January 31, 2022.</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regards marketing authorizations, Great Britain has a separate regulatory submission process, approval process and a national marketing authorization. Northern Ireland will, however, continue to be covered by the marketing authorizations granted by the European Commission. Since January 1, 2021, an applicant for a centralized procedure marketing authorization can no longer be established in the UK. Since this date, companies established in the UK cannot use the centralized procedure and instead must follow one of the UK national authorization procedures to obtain an MA to market products in the UK. Until 31 December 2023, MHRA may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EU Member States through decentralized and mutual recognition procedures to be granted in the United Kingdom or Great Britain.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right="8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“ACA”), to a stricter standard such that a person or entity does not need to have actual knowledge of the statute or specific intent to violate it in order to have committed a violation. Further, the ACA codified case law that a claim including items or services resulting from a violation of the federal Anti-Kickback Statute constitutes a false or fraudulent claim for purposes of the civil False Claims Act.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federal false claims laws, including the civil False Claims Act, which can be enforced through civil whistleblower or qui tam actions, impose civil and criminal penalties on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 Further, 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Moreover, 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states and foreign countries also have statutes or regulations similar to the fraud and abuse laws described above, including certain state laws which apply to items and services reimbursed under Medicaid and other state programs, or, in several states, apply regardless of the payor. We may also be subject to state laws governing the privacy and security of health information in certain circumstances, many of which differ from each other in significant ways and often are not preempted by the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2" w:name="page23"/>
    <w:bookmarkEnd w:id="22"/>
    <w:p>
      <w:pPr>
        <w:ind w:right="4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national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August 16, 2022, President Biden signed the Inflation Reduction Act of 2022 (“IRA”) into law which,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3" w:name="page24"/>
    <w:bookmarkEnd w:id="23"/>
    <w:p>
      <w:pPr>
        <w:ind w:right="160"/>
        <w:spacing w:after="0" w:line="256" w:lineRule="auto"/>
        <w:rPr>
          <w:sz w:val="20"/>
          <w:szCs w:val="20"/>
          <w:color w:val="auto"/>
        </w:rPr>
      </w:pPr>
      <w:r>
        <w:rPr>
          <w:rFonts w:ascii="Times New Roman" w:cs="Times New Roman" w:eastAsia="Times New Roman" w:hAnsi="Times New Roman"/>
          <w:sz w:val="18"/>
          <w:szCs w:val="18"/>
          <w:color w:val="auto"/>
        </w:rPr>
        <w:t>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that pharmaceutical companies are requirement to offer. These efforts could continue as countries attempt to manage healthcare expenditures. The downward pressure on healthcare costs in general, particularly prescription products, has become intense. As a result, increasingly high barriers are being erected to the entry of new products onto national markets.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some EEA countries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United States, the pharmaceutical industry has been a particular focus of these efforts and has been significantly affected by major legislative initiatives, including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executive, judicial and congressional challenges to the ACA, as well as to repeal or replace certain aspects of the ACA. For example, on June 17, 2021, the U.S. Supreme Court dismissed a challenge on procedural grounds that argued the ACA is unconstitutional in its entirety because the “individual mandate” was repealed by Congress. 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any such challenges and additional healthcare reform measures of the Biden administration will impact the ACA and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Congress is considering additional health reform measures.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right="80"/>
        <w:spacing w:after="0" w:line="282" w:lineRule="auto"/>
        <w:rPr>
          <w:sz w:val="20"/>
          <w:szCs w:val="20"/>
          <w:color w:val="auto"/>
        </w:rPr>
      </w:pPr>
      <w:r>
        <w:rPr>
          <w:rFonts w:ascii="Times New Roman" w:cs="Times New Roman" w:eastAsia="Times New Roman" w:hAnsi="Times New Roman"/>
          <w:sz w:val="18"/>
          <w:szCs w:val="18"/>
          <w:color w:val="auto"/>
        </w:rPr>
        <w:t>Individual EU Member States will continue to be responsible for assessing non-clinical (e.g., economic, social, ethical) aspects of health technologies, and making decisions on pricing and reimbursement.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2022, we had 9 full-time employees. In addition, we are or have engaged with a number of consultants and companies, including Pharma Partnering in Research &amp; Strategy SAS (“PPRS”), that provide expertise in the key functions involved with the development of our products. None of our employees is subject to a collective bargaining agreement and we consider our relationship with our employees to be good.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the skills and experience of our employees are an essential driver of our business and important to our future prospects. We face intense competition for qualified individuals from numerous pharmaceutical and biotechnology companies, universities, governmental entities and other research institutions, and we believe that our future success will depend in part on our continued ability to attract and retain highly skilled employees. To attract qualified applicants and retain our employees, we offer our employees what we believe to be competitive salaries, comprehensive benefit packages, equity compensation awards, and discretionary bonuses based on a combination of seniority, individual performance and corporate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current reports on Form 8-K, and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In August 2022, we submitted a New Drug Application (“NDA”) with the U.S. Food and Drug Administration (the “FDA”) for our lead product candidate, roluperidone. The FDA subsequently notified us that they would not accept the file for review, issuing a refusal to file letter in October 2022. In December 2022, we announced that, following the Type A meeting held on November 30, 2022, the FDA confirmed that the refusal to file letter remains in effect with respect to our NDA for roluperidone. While we anticipate further discussion with the FDA over the coming months regarding the status of the roluperidone NDA and development program, we may never succeed in any or all these activities and, even if we do, we may never generate sufficient revenue to achieve profitability.</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to date, and we may never generate product revenue or achieve profitability. Our net loss was $32.1 million and $49.9 million for the fiscal years ended December 31, 2022 and 2021, respectively. As of December 31, 2022, we had an accumulated deficit of approximately $366.8 million.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December 31, 2022, we had cash, cash equivalents, and restricted cash of $36.2 million. We believe that our existing cash, cash equivalents, and restricted cash will be sufficient to meet our cash commitments for at least the next 12 months after the date that the year-end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6" w:name="page27"/>
    <w:bookmarkEnd w:id="26"/>
    <w:p>
      <w:pPr>
        <w:ind w:right="20"/>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including the recent disruptions to and volatility in the credit and financial markets in the U.S. and worldwide resulting from the COVID-19 pandemic, the war in Ukraine and other factors. Our future funding requirements, both short and long-term, will depend on many factors, including:</w:t>
      </w:r>
    </w:p>
    <w:p>
      <w:pPr>
        <w:spacing w:after="0" w:line="81" w:lineRule="exact"/>
        <w:rPr>
          <w:sz w:val="20"/>
          <w:szCs w:val="20"/>
          <w:color w:val="auto"/>
        </w:rPr>
      </w:pPr>
    </w:p>
    <w:p>
      <w:pPr>
        <w:ind w:left="1020" w:right="56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ind w:left="102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ind w:left="1020" w:right="30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9" w:lineRule="exact"/>
        <w:rPr>
          <w:rFonts w:ascii="Times New Roman" w:cs="Times New Roman" w:eastAsia="Times New Roman" w:hAnsi="Times New Roman"/>
          <w:sz w:val="18"/>
          <w:szCs w:val="18"/>
          <w:color w:val="auto"/>
        </w:rPr>
      </w:pPr>
    </w:p>
    <w:p>
      <w:pPr>
        <w:ind w:left="1020" w:right="640" w:hanging="503"/>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We cannot guarantee that future financing will be available in sufficient amounts or on terms acceptable to us, if at all. If we raise additional equity financing, our stockholders may experience significant dilution of their ownership interests, the terms of these securities may include liquidation or other preferences that could adversely affect the rights of a common stockholder, and the per-share value of our common stock could decline. If we engage in debt financing, we may be required to accept terms that restrict or limit our ability to take specific actions, such as incurring additional indebtedness, making capital expenditures or declaring dividends, and other restrictive covenants that could adversely impact our ability to conduct our business. If we raise additional funds through collaborations, strategic alliances or marketing, distribution or licensing arrangements with third parties, we may have to relinquish valuable rights to our future revenue streams, research programs or any future product candidate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estimates regarding fair value of intangible assets may result in an adverse impact on our results of operations.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any significant change in market conditions, estimates or judgments used to determine expected future cash flows that indicate a reduction in carrying value may give rise to impairment in the period that the change becomes known.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(“NOL”) carryforwards may be limited.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use our federal and state NOL carryforwards to offset potential future taxable income is dependent upon our generation of future taxable income before the expiration dates of the NOL carryforwards, and we cannot predict with certainty when, or whether, we will generate sufficient taxable income to use all of our NOL carryforwards. As of December 31, 2022, we had approximately $98.0 million of federal NOL carryforwards and approximately $94.4 million of state NOL carryforwards. Our federal NOL carryforwards will begin to expire in 2030, if not utilized. Under current law, federal NOL carryforwards generated in taxable years beginning after December 31, 2017 may be carried forward indefinitely, but the deductibility of such NOL carryforwards is limited to 80% of taxable income. Many states have similar laws. Accordingly, our federal and state NOL carryforwards could expire unused and be unavailable to offset future income tax liabilities.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federal NOL carryforwards may become subject to an annual limitation in the event of certain cumulative changes in our ownership.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substantial changes in ownership have occurred, there could be annual limitations on the amount of NOL carryforwards that can be realized in future periods. It is possible that some or all of our existing or future NOL carryforwards could be limited by the provisions of Section 382 of the Tax Code as a result of future changes in ownership, including as a result of subsequent sales of securities by us or our stockholders. Further,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tax rulings could materially affect our financial position, results of operations, and cash flows.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Tax Cuts and Jobs Act Tax Act enacted in 2017 (the “Tax Act”) made broad and complex changes to the U.S. tax code, including changes to U.S. federal tax rates, additional limitations on the deductibility of interest, both positive and negative changes to the utilization of future NOL carryforwards, allowing for the expensing of certain capital expenditures, and putting into effect the migration from a “worldwide” system of taxation to a territorial system. Moreover, recently, in the United States, Congress passed the Inflation Reduction Act, which provides for a minimum tax equal to 15% of the adjusted financial statement income of certain large corporations, as well as a 1% excise tax on certain share buybacks by public corporations that would be imposed on such corporations. The issuance of additional regulatory or accounting guidance related to the Tax Act or the Inflation Reduction Act could materially affect our tax obligations and effective tax rate. In addition, many countries in Europe, as well as a number of other countries and organizations (including the Organization for Economic Cooperation and Development and the European Commission), have recently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 These proposals, recommendations and enactments include changes to the existing framework in respect of income taxes, as well as new types of non-income taxes (such as taxes based on a percentage of revenue or taxes applicable to digital services) which could apply to our business. These types of changes to the taxation of our activities could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a New Drug Application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We are presently assessing the next steps for the roluperidone program, including additional discussions with the FDA. There can be no assurance that such discussions will change the requirements of the FDA, EMA or other regulators. Additional studies and data will impose increased costs and delays in the 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w:t>
      </w:r>
    </w:p>
    <w:p>
      <w:pPr>
        <w:spacing w:after="0" w:line="27" w:lineRule="exact"/>
        <w:rPr>
          <w:rFonts w:ascii="Times New Roman" w:cs="Times New Roman" w:eastAsia="Times New Roman" w:hAnsi="Times New Roman"/>
          <w:sz w:val="18"/>
          <w:szCs w:val="18"/>
          <w:color w:val="auto"/>
        </w:rPr>
      </w:pPr>
    </w:p>
    <w:p>
      <w:pPr>
        <w:ind w:left="1020" w:right="56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the European Commission, the FDA or other comparable regulatory authorities that a product candidate is safe and effective for its proposed indication.</w:t>
      </w:r>
    </w:p>
    <w:p>
      <w:pPr>
        <w:ind w:left="1020" w:right="2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FDA or other regulatory authorities for approval.</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9"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European Commission, the FDA or other regulatory authorities may disagree with our interpretation of data from pre-clinical studies or clinical trials.</w:t>
      </w:r>
    </w:p>
    <w:p>
      <w:pPr>
        <w:ind w:left="1020" w:right="3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ind w:left="1020" w:right="6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ind w:left="1020" w:right="60" w:hanging="503"/>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European Commission, FDA or other regulatory authorities may significantly change in a manner rendering our clinical data insufficient for approval.</w:t>
      </w:r>
    </w:p>
    <w:p>
      <w:pPr>
        <w:spacing w:after="0" w:line="1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For example, our Phase 3 trial of roluperidone for the treatment of negative symptoms of schizophrenia failed to meet its primary endpoint despite our Phase 2b trial of the same design achieving statistical significance on the same endpoint. Inconsistencies such as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positive results in earlier trials.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comparable foreign regulatory authorities.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conduct our future clinical trials outside the United States. Although the FDA may accept data from clinical trials conducted outside the United States, acceptance of this data would be subject to certain conditions imposed by the FDA. For example, the clinical trial must be well-designed and conducted and performed by qualified investigators in accordance with ethical safeguards such as institutional review board (“IRB”), or Ethics Committee positive opinions are part of the decision on the authorization of the clinical trial issued by EU Member States including input from the national competent authorities and Ethic Committee,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an application for regulatory approval,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development can be delayed or halted for a number of reasons, including:</w:t>
      </w:r>
    </w:p>
    <w:p>
      <w:pPr>
        <w:spacing w:after="0" w:line="117" w:lineRule="exact"/>
        <w:rPr>
          <w:sz w:val="20"/>
          <w:szCs w:val="20"/>
          <w:color w:val="auto"/>
        </w:rPr>
      </w:pPr>
    </w:p>
    <w:p>
      <w:pPr>
        <w:ind w:left="1020" w:right="5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ind w:left="102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20" w:right="70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failing to conduct the trial in accordance with regulatory requirements;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parties, such as CROs, to satisfy their contractual duties or meet expected deadlines;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identification and auditing of central or other laboratories and the transfer and validation of assays or tests to be used;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subjects complete participation in a trial or return for post-treatment follow-up;</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0" w:name="page31"/>
    <w:bookmarkEnd w:id="30"/>
    <w:p>
      <w:pPr>
        <w:ind w:left="1020" w:right="22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Ethics Committee positive opinions, as part of the decision on the authorization of the clinical trial issued by EU Member States including input from the national competent authorities and Ethics Committee to conduct a trial at a prospective site, or complying with conditions imposed by IRBs, Ethics Committees or comparable foreign regulatory authorities;</w:t>
      </w:r>
    </w:p>
    <w:p>
      <w:pPr>
        <w:spacing w:after="0" w:line="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subjects to participate in clinical trials for a variety of reasons, including competition from other programs for the treatment of similar conditions;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9"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our product candidate roluperidone;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and</w:t>
      </w:r>
    </w:p>
    <w:p>
      <w:pPr>
        <w:spacing w:after="0" w:line="9"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imposed competent authorities, including national regulatory authorities of EU Member States, the FDA or IRBs or Ethics Committees.</w:t>
      </w:r>
    </w:p>
    <w:p>
      <w:pPr>
        <w:spacing w:after="0" w:line="1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national competent authorities of EU Member States or the FDA due to a number of factors, including:</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the trial protocols and applicable laws;</w:t>
      </w:r>
    </w:p>
    <w:p>
      <w:pPr>
        <w:spacing w:after="0" w:line="27"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inspection of the clinical trial operations or trial sites by the national competent authorities of EU Member States, FDA or other comparable foreign regulatory authorities that ultimately result in the imposition of a clinical hold;</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national competent authorities of EU Member States,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advancing product candidates beyond Phase 3, which makes it difficult to assess our ability to develop and commercialize our product candidates.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no experience in progressing clinical trials past Phase 3, obtaining regulatory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enroll subjects in clinical trials, we will be unable to complete these trials on a timely basis or at 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subject enrollment. Many factors affect subject enrollment,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subjects;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subject consents;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and</w:t>
      </w:r>
    </w:p>
    <w:p>
      <w:pPr>
        <w:spacing w:after="0" w:line="27" w:lineRule="exact"/>
        <w:rPr>
          <w:rFonts w:ascii="Times New Roman" w:cs="Times New Roman" w:eastAsia="Times New Roman" w:hAnsi="Times New Roman"/>
          <w:sz w:val="18"/>
          <w:szCs w:val="18"/>
          <w:color w:val="auto"/>
        </w:rPr>
      </w:pPr>
    </w:p>
    <w:p>
      <w:pPr>
        <w:ind w:left="1020" w:right="260" w:hanging="503"/>
        <w:spacing w:after="0" w:line="26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due to the mental health of the subjects that we will need to enroll, related diagnoses and drop-out rates.</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 Phase 2b trial in MDD with respect to a drug that we were previously developing, MIN-117, failed to achieve its primary endpoint, and we decided to discontinue development of MIN-117 for MDD.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regulatory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case of our product candidate roluperidone, we are seeking to develop a treatment for schizophrenia, which adds a layer of complexity to our clinical trials and may delay regulatory approval. The cause and pathophysiology of schizophrenia are not fully understood, and our results rely on subjective feedback from patients, caregivers and healthcare providers,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our product candidates are not shown to be both safe and effective in clinical trials, we will not be able to obtain regulatory approval or commercialize our product candidates.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For instance, at the present time we are prioritizing the development of the most advanced of our product candidates, roluperidone. As a result, we have suspended further development of MIN-301, and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or the approval may be for a narrower indication than we expect.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authorities may not complete their review processes in a timely manner, or we may not be able to obtain regulatory approval from the relevant regulatory authorities.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or comparable foreign strategies,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approved products would further be subject to ongoing requirements imposed by the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such product;</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otherwise restrict the product’s indicated use, label, or marketing;</w:t>
      </w:r>
    </w:p>
    <w:p>
      <w:pPr>
        <w:spacing w:after="0" w:line="9"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issue safety alerts, Dear Healthcare Provider letters, press releases or other communications containing warnings about such product;</w:t>
      </w:r>
    </w:p>
    <w:p>
      <w:pPr>
        <w:ind w:left="102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 or surveillance;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including contracted facilities, are subject to continual review and periodic inspections by national competent authorities of EU Member States, the FDA and other comparable foreign regulatory authorities for compliance with current Good Manufacturing Practices (“cGMP”), regulations and standards. The European Union cGMP guidelines are as set forth in Commission Directive 2003/94/EC of October 8, 2003. If we or a regulatory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regulatory approval, a regulatory authority may, depending on the stage of product development and approval:</w:t>
      </w:r>
    </w:p>
    <w:p>
      <w:pPr>
        <w:spacing w:after="0" w:line="8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adverse inspectional findings;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and update labels or package inserts;</w:t>
      </w:r>
    </w:p>
    <w:p>
      <w:pPr>
        <w:spacing w:after="0" w:line="9" w:lineRule="exact"/>
        <w:rPr>
          <w:rFonts w:ascii="Times New Roman" w:cs="Times New Roman" w:eastAsia="Times New Roman" w:hAnsi="Times New Roman"/>
          <w:sz w:val="18"/>
          <w:szCs w:val="18"/>
          <w:color w:val="auto"/>
        </w:rPr>
      </w:pPr>
    </w:p>
    <w:p>
      <w:pPr>
        <w:ind w:left="1020" w:right="260" w:hanging="503"/>
        <w:spacing w:after="0" w:line="26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33" w:name="page34"/>
    <w:bookmarkEnd w:id="33"/>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criminal and/or administrative penalties, damages or monetary fines or imprisonment;</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terminate any ongoing clinical studies;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 us from submitting or assisting in the submission of new regulatory applications;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government contracts;</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authorities. Additionally, comparable foreign regulatory authorities will heavily scrutinize advertising and promotion of any product candidate that obtains approval outside of the United States.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an MA. Promotional activity that does not comply with the SmPC is considered off-label and is prohibited in the EU. Direct-to-consumer advertising of prescription medicinal products is also prohibited in the EU. Enforcement of advertising and promotional requirements relating to medicinal products in the EU is carried out at the national level by the national competent authorities of EU Member States. Furthermore, in the United Kingdom the code of practice of the Association of the British Pharmaceutical Industry (the lead United Kingdom trade association) is considerably stricter than applicable legislative requirements.</w:t>
      </w:r>
    </w:p>
    <w:p>
      <w:pPr>
        <w:spacing w:after="0" w:line="1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 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ind w:right="420"/>
        <w:spacing w:after="0" w:line="266" w:lineRule="auto"/>
        <w:rPr>
          <w:sz w:val="20"/>
          <w:szCs w:val="20"/>
          <w:color w:val="auto"/>
        </w:rPr>
      </w:pPr>
      <w:r>
        <w:rPr>
          <w:rFonts w:ascii="Times New Roman" w:cs="Times New Roman" w:eastAsia="Times New Roman" w:hAnsi="Times New Roman"/>
          <w:sz w:val="18"/>
          <w:szCs w:val="18"/>
          <w:color w:val="auto"/>
        </w:rPr>
        <w:t>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policies of the FDA, the national competent authorities of the EU Member States, the EMA, the European Commission and other applicable comparable foreign regulatory may change and additional government regulations may be enacted that could prevent, limit or delay regulatory approval and marketing authorization, and the sale and promotion of our product candidates. For instance, the regulatory landscape related to clinical trials in the EU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2022, the Clinical Trials Directive will continue to apply on a transitional basis for three years. Additionally, sponsors could choose to submit a clinical trial application under either the Clinical Trials Directive or the CTR until January 31, 2023 and, if authorized, those will be governed by the Clinical Trials Directive until January 31, 2025. By that date, all ongoing trials will become subject to the provisions of the CTR. Compliance with the CTR requirements by us and our third-party service providers, such as CROs, may impact our developments plans.</w:t>
      </w:r>
    </w:p>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in the future. The UK regulatory framework in relation to clinical trials is derived from existing EU legislation (as implemented into UK law, through secondary legislation). However, the Retained EU Law (Revocation and Reform) Bill published in late 2022 which is intended to remove all EU-derived legislation from the UK statute book by the end of 2023, may result in a divergence of approach between the EU and the UK.</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January 17, 2022, the UK Medicines and Healthcare products Regulatory Agency, or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our development plans may be impacted, we may lose any regulatory approval that we may have obtained, and be subject to civil, criminal and administrative enforcement, which would adversely affect our business, prospects and ability to achieve or sustain profitability.</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our product candidate, MIN-301, has not yet been determined in the US. Depending on the pathway, we may be subject to different regulatory requirements.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MIN-301 is a peptide, and, as a peptide, may be subject to the Public Health Service Act (“PHSA”), and the Food, Drug, and Cosmetic Act (“FDCA”). We have yet to meet with the FDA regarding the approval pathway for this product candidate. Based on the definition of a biologic in the PHSA, we believe that MIN-301 meets the definition of a biologic and, thus, we will need to submit a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5" w:name="page36"/>
    <w:bookmarkEnd w:id="3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are intended for the treatment of schizophrenia,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notification to the FDA or comparable foreign regulatory authorities or approval from, the FDA or comparable foreign regulatory authorities.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European Union and the United States. We also expect to seek regulatory approval in additional foreign countries. To market and sell our products in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European Commission or FDA approval. The regulatory approval process outside the European Union and United States generally includes risks substantially similar to those associated with obtaining European Commission or FDA approval. In addition, in many countries outside the United States, we must secure product price and reimbursement approvals before regulatory authorities will approve the product for sale in that country or within a short time after receiving such regulatory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regulatory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authority. Our failure to obtain approval of any of our product candidates by regulatory authorities in another country may significantly diminish the commercial prospects of that product candidate and our business prospects could decline.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us.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ind w:right="100"/>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or comparable foreign regulatory authorities, standards for interchangeability, the structure of government and commercial managed care formularies, and applicable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If any of our drug candidates receives regulatory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perceived and potential advantages compared to alternative treatments, including any similar generics and biosimilars;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relative to alternative treatment;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 relative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7" w:name="page38"/>
    <w:bookmarkEnd w:id="37"/>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We may not be successful in doing so on commercially reasonable terms or at all.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clinical benefits of our products to achieve market acceptance;</w:t>
      </w:r>
    </w:p>
    <w:p>
      <w:pPr>
        <w:ind w:left="1020" w:right="18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personnel on legal compliance matters and monitoring their actions;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personnel failing to comply with the applicable legal requirements;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5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laws that govern regulatory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regulatory approval.</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In the European Union, the pricing and reimbursement schemes of medicinal products is governed by the national legislation of each EU Member State and also vary widely from country to country. In these countries, pricing negotiations with governmental authorities can take considerable time after receipt of regulatory approval for a product.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there can be considerable pressure by governments and other stakeholders on prices and reimbursement levels, including as part of cost containment measures in the current economic climate in the European Union. There is very limited harmonization between EU Member States regarding pricing and reimbursement practices.</w:t>
      </w:r>
    </w:p>
    <w:p>
      <w:pPr>
        <w:spacing w:after="0" w:line="17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in the European Economic Area some countries require the completion of additional studies that compare the cost-effectiveness of a particular medicinal product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On January 31, 2018, the European Commission adopted a proposal for a regulation on health technologies assessment. The proposed regulation is intended to boost cooperation among EU Member States in assessing health technologies, including new medicinal products, and providing the basis for cooperation at EU level for joint clinical assessments in these areas. In December 2021 the HTA Regulation was adopted and entered into force on 11 January 2022. It will apply from 2025.</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reimbursement of our drugs is unavailable or limited in scope or amount, or if pricing is set at unsatisfactory levels, our business could be materially harmed.</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right="220"/>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European Commission,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August 16, 2022, President Biden signed the Inflation Reduction Act of 2022 (“IRA”) into law which,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regulatory approval of our product candidates, restrict or regulate post-approval activities and affect our ability to profitably sell any product candidate for which we obtain regulatory approval.</w:t>
      </w:r>
    </w:p>
    <w:p>
      <w:pPr>
        <w:spacing w:after="0" w:line="18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of 2010 (collectively,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additional healthcare reform measures of the Biden administration will impact the ACA and our business.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Further, Congress is considering additional health reform measures.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7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or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foreign currency and exchange rate risks.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plan to continue to conduct our clinical trials in Europe, we are exposed to currency fluctuations and exchange rate risks. The costs of our CROs may be incurred in Euros and we may pay them in Euros, or other currencies,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own one Swiss subsidiary, expect to engage in significant cross-border activities, and we will be subject to risks related to international operations, including:</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such as the instability caused by Russia’s invasion of Ukraine, or public health issues or pandemics, such as the COVID-19 pandemic;</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laws of various jurisdictions, including with respect to intercompany transfer pricing arrangements and taxable nexus;</w:t>
      </w:r>
    </w:p>
    <w:p>
      <w:pPr>
        <w:spacing w:after="0" w:line="9" w:lineRule="exact"/>
        <w:rPr>
          <w:rFonts w:ascii="Times New Roman" w:cs="Times New Roman" w:eastAsia="Times New Roman" w:hAnsi="Times New Roman"/>
          <w:sz w:val="18"/>
          <w:szCs w:val="18"/>
          <w:color w:val="auto"/>
        </w:rPr>
      </w:pPr>
    </w:p>
    <w:p>
      <w:pPr>
        <w:ind w:left="1020" w:right="40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patient data; and</w:t>
      </w:r>
    </w:p>
    <w:p>
      <w:pPr>
        <w:spacing w:after="0" w:line="9" w:lineRule="exact"/>
        <w:rPr>
          <w:rFonts w:ascii="Times New Roman" w:cs="Times New Roman" w:eastAsia="Times New Roman" w:hAnsi="Times New Roman"/>
          <w:sz w:val="18"/>
          <w:szCs w:val="18"/>
          <w:color w:val="auto"/>
        </w:rPr>
      </w:pPr>
    </w:p>
    <w:p>
      <w:pPr>
        <w:ind w:left="1020" w:right="400" w:hanging="503"/>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political instability, hostilities, war and terrorism, such as the war in Ukraine, or natural disasters including pandemics, earthquakes, typhoons, floods and fires.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financial markets and our business, which could reduce the price of our common shares.</w:t>
      </w:r>
    </w:p>
    <w:p>
      <w:pPr>
        <w:spacing w:after="0" w:line="15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 on January 31, 2020, commonly referred to as Brexit. Pursuant to the formal withdrawal arrangements agreed between the United Kingdom and the EU, the United Kingdom, or the UK, was subject to a transition period until December 31, 2020, or the Transition Period, during which EU rules continued to apply. The UK and the EU have signed a EU-UK Trade and Cooperation Agreement, or TCA, which became provisionally applicable on January 1, 2021 and entered into force on May 1, 2021. This agreement provides details on how some aspects of the UK and EU’s relationship will operate going forwards however there are still many uncertainties.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 The Annex provides a framework for the recognition of Good Manufacturing Practice, or GMP, inspections and for the exchange and acceptance of official GMP documents. The regime does not, however, extended to procedures such as batch release certification. Among the changes that have occurred are that Great Britain (England, Scotland and Wales) is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has a separate regulatory submission process, approval process and a separate national marketing authorization. Northern Ireland continues, however, to be covered by the marketing authorizations granted by the European Commission. For example, the scope of a marketing authorization for a medicinal product granted by the European Commission or by the competent authorities of EU Member States will no longer encompass Great Britain (England, Scotland and Wales). In these circumstances, a separate marketing authorization granted by the UK competent authorities is required to place medicinal products on the market in Great Britain. Northern Ireland continues, however, to be covered by the marketing authorizations granted by the European Commission.</w:t>
      </w: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Brexit, following the Transition Period, could materially impact the regulatory regime with respect to the development, manufacture, importation, approval and commercialization of our product candidates in the UK or the EU, now that UK legislation has the potential to diverge from EU legislation. All of these changes could increase our costs and otherwise adversely affect our business. Any delay in obtaining, or an inability to obtain, any regulatory approvals, as a result of Brexit or otherwise, would prevent us from commercializing our product candidates in the UK or the EU and restrict our ability to generate revenue and achieve and sustain profitability.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2" w:name="page43"/>
    <w:bookmarkEnd w:id="42"/>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may be required to pay taxes or duties or be subjected to other hurdles in connection with the importation of our product candidates into the EU. If any of these outcomes occur, we may be forced to restrict or delay efforts to seek regulatory approval in the UK or the EU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and performance-based restricted stock units. The value to employees of such equity grants that vest over time is significantly affected by movements in our stock price that are beyond our control, and may at any time be insufficient to counteract more lucrative offers from other companies. In addition, if performance conditions in these awards, to the extent applicable, are not met or if our stock-based compensation otherwise ceases to be viewed as a valuable benefit, our ability to attract, retain and motivate personnel could be weakened, which could harm our business.</w:t>
      </w:r>
    </w:p>
    <w:p>
      <w:pPr>
        <w:spacing w:after="0" w:line="18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Despite our efforts to retain valuable employees, members of our management, scientific and development teams generally may terminate their employment with us, with or without good reason, upon written notice to us. Pursuant to their employment arrangements, some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89"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As of December 31, 2022, we had 9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collaborators, contractors and other third parties;</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systems; and</w:t>
      </w:r>
    </w:p>
    <w:p>
      <w:pPr>
        <w:spacing w:after="0" w:line="9"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compliance infrastructure and processes to ensure compliance with complex regulations and industry standards regarding us and our product candidates.</w:t>
      </w:r>
    </w:p>
    <w:p>
      <w:pPr>
        <w:spacing w:after="0" w:line="1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ind w:right="100"/>
        <w:spacing w:after="0" w:line="266" w:lineRule="auto"/>
        <w:rPr>
          <w:sz w:val="20"/>
          <w:szCs w:val="20"/>
          <w:color w:val="auto"/>
        </w:rPr>
      </w:pPr>
      <w:r>
        <w:rPr>
          <w:rFonts w:ascii="Times New Roman" w:cs="Times New Roman" w:eastAsia="Times New Roman" w:hAnsi="Times New Roman"/>
          <w:sz w:val="18"/>
          <w:szCs w:val="18"/>
          <w:color w:val="auto"/>
        </w:rPr>
        <w:t>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mergers or joint ventures could disrupt our business and otherwise harm our business.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9" w:lineRule="exact"/>
        <w:rPr>
          <w:rFonts w:ascii="Times New Roman" w:cs="Times New Roman" w:eastAsia="Times New Roman" w:hAnsi="Times New Roman"/>
          <w:sz w:val="18"/>
          <w:szCs w:val="18"/>
          <w:color w:val="auto"/>
        </w:rPr>
      </w:pPr>
    </w:p>
    <w:p>
      <w:pPr>
        <w:ind w:left="1020" w:right="24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revisions, marketing or promotional restrictions;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outbreaks of contagious diseases, such as coronavirus,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We are required to comply with the SEC’s rules that implement Section 404 of the Sarbanes-Oxley Act and the Committee on Sponsoring Organizations,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5" w:name="page46"/>
    <w:bookmarkEnd w:id="45"/>
    <w:p>
      <w:pPr>
        <w:ind w:right="120"/>
        <w:spacing w:after="0" w:line="258" w:lineRule="auto"/>
        <w:rPr>
          <w:sz w:val="20"/>
          <w:szCs w:val="20"/>
          <w:color w:val="auto"/>
        </w:rPr>
      </w:pPr>
      <w:r>
        <w:rPr>
          <w:rFonts w:ascii="Times New Roman" w:cs="Times New Roman" w:eastAsia="Times New Roman" w:hAnsi="Times New Roman"/>
          <w:sz w:val="18"/>
          <w:szCs w:val="18"/>
          <w:color w:val="auto"/>
        </w:rPr>
        <w:t>Prior to November 2013, we operated without full-time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and independent contractors, such as principal investigators, CROs, manufacturers, consultants, commercial partners and vendors, could include failures to comply with regulations of the FDA or comparable foreign regulatory authorities, to provide accurate information to the FDA or comparable foreign regulatory authorities to comply with manufacturing standards we have established, to comply with US federal and state healthcare fraud and abuse laws and comparable foreign regulatory requirements, to report financial information or data accurately or to disclose unauthorized activities to us. For example, in our Phase 3 trial of roluperidone for the treatment of negative symptoms of schizophrenia, one clinical site that recruited 17 patients reported implausible behavioral (schizophrenia symptoms) and physiological (blood pressure) data. As a result, these 17 patients were excluded and made part of an mITT analysis set.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comply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or comparable foreign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as well as equivalent foreign legislation. If we are unable to comply, or have not fully complied, with such laws, we could face penalties, contractual damages, reputational harm, diminished profits and future earnings and curtailment or restructuring of our operations.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75" w:lineRule="exact"/>
        <w:rPr>
          <w:sz w:val="20"/>
          <w:szCs w:val="20"/>
          <w:color w:val="auto"/>
        </w:rPr>
      </w:pPr>
    </w:p>
    <w:p>
      <w:pPr>
        <w:ind w:left="1020" w:right="8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left="503" w:right="300" w:hanging="503"/>
        <w:spacing w:after="0" w:line="253"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5" w:lineRule="exact"/>
        <w:rPr>
          <w:rFonts w:ascii="Times New Roman" w:cs="Times New Roman" w:eastAsia="Times New Roman" w:hAnsi="Times New Roman"/>
          <w:sz w:val="18"/>
          <w:szCs w:val="18"/>
          <w:color w:val="auto"/>
        </w:rPr>
      </w:pPr>
    </w:p>
    <w:p>
      <w:pPr>
        <w:ind w:left="503" w:right="160" w:hanging="503"/>
        <w:spacing w:after="0" w:line="250"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jc w:val="both"/>
        <w:ind w:left="503" w:right="240" w:hanging="503"/>
        <w:spacing w:after="0" w:line="250"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Times New Roman" w:cs="Times New Roman" w:eastAsia="Times New Roman" w:hAnsi="Times New Roman"/>
          <w:sz w:val="18"/>
          <w:szCs w:val="18"/>
          <w:color w:val="auto"/>
        </w:rPr>
      </w:pPr>
    </w:p>
    <w:p>
      <w:pPr>
        <w:ind w:left="503" w:right="60" w:hanging="503"/>
        <w:spacing w:after="0" w:line="250"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Times New Roman" w:cs="Times New Roman" w:eastAsia="Times New Roman" w:hAnsi="Times New Roman"/>
          <w:sz w:val="18"/>
          <w:szCs w:val="18"/>
          <w:color w:val="auto"/>
        </w:rPr>
      </w:pPr>
    </w:p>
    <w:p>
      <w:pPr>
        <w:ind w:left="503" w:right="60" w:hanging="503"/>
        <w:spacing w:after="0" w:line="250"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2" w:lineRule="exact"/>
        <w:rPr>
          <w:rFonts w:ascii="Times New Roman" w:cs="Times New Roman" w:eastAsia="Times New Roman" w:hAnsi="Times New Roman"/>
          <w:sz w:val="18"/>
          <w:szCs w:val="18"/>
          <w:color w:val="auto"/>
        </w:rPr>
      </w:pPr>
    </w:p>
    <w:p>
      <w:pPr>
        <w:ind w:left="503" w:right="40" w:hanging="503"/>
        <w:spacing w:after="0" w:line="265" w:lineRule="auto"/>
        <w:tabs>
          <w:tab w:leader="none" w:pos="50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ind w:left="503" w:hanging="503"/>
        <w:spacing w:after="0" w:line="250"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&amp; Medicaid Services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2" w:lineRule="exact"/>
        <w:rPr>
          <w:rFonts w:ascii="Times New Roman" w:cs="Times New Roman" w:eastAsia="Times New Roman" w:hAnsi="Times New Roman"/>
          <w:sz w:val="18"/>
          <w:szCs w:val="18"/>
          <w:color w:val="auto"/>
        </w:rPr>
      </w:pPr>
    </w:p>
    <w:p>
      <w:pPr>
        <w:ind w:left="503" w:right="440" w:hanging="503"/>
        <w:spacing w:after="0" w:line="250"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and other activities that potentially harm consumers.</w:t>
      </w:r>
    </w:p>
    <w:p>
      <w:pPr>
        <w:ind w:left="503" w:right="40" w:hanging="503"/>
        <w:spacing w:after="0" w:line="265" w:lineRule="auto"/>
        <w:tabs>
          <w:tab w:leader="none" w:pos="50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ind w:left="503"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9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337" w:right="359" w:bottom="1440" w:gutter="0" w:footer="0" w:header="0"/>
        </w:sectPr>
      </w:pPr>
    </w:p>
    <w:bookmarkStart w:id="47" w:name="page48"/>
    <w:bookmarkEnd w:id="47"/>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any sales of our products or product candidates once commercialized outside the United States will also likely subject us to foreign equivalents of the healthcare laws mentioned above. Outside the United States,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These laws may include, for instance, the UK Bribery Act 2010 other national anti-corruption legislation related to EU Member States’ adherence to the OECD Convention on Combating Bribery of Foreign Public Officials in International Business Transactions, European Union consumer laws protecting against defective products, including the Product Liability Directive 85/374/EEC, the UK ABPI Code of Practice as well as the French “Bertrand Law” and related Decrees and Ordinances Imposing Transparency requirements on manufacturers in their interactions with French health care professionals. Failure to comply with these requirements could result in reputational risk, public reprimands, administrative penalties, fines or imprisonment.</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significant civil, criminal and administrative penalties, damages, monetary fines, disgorgement, individual imprisonment, possible exclusion from participation in Medicare, Medicaid and other federal healthcare programs or comparable foreign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United States and foreign laws, regulations, rules, contractual obligations, policies and other obligations related to data privacy and security, including the European Union’s General Data Protection Regulation (“EU GDPR”) and the United Kingdom’s General Data Protection Regulation (“UK GDPR”). New privacy rules are being enacted in the United States and globally, and existing ones are being expanded, updated and strengthened.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our processing of personal data may be subject to EU and/or UK data protection laws. For example, the European Union’s General Data Protection Regulation (“GDPR”) applies to processing operations carried out in the context of the activities of an establishment in the EEA, as well as any processing relating to the offering of goods or services to individuals in the EEA and/or the monitoring of their behavior in the EEA. Also, notwithstanding the UK’s withdrawal from the EU, by operation of the so-called UK GDPR, the GDPR continues to apply in substantially equivalent form to processing operations carried out in the context of the activities of an establishment in the UK, as well as any processing relating to the offering of goods or services to individuals in the UK and/or monitoring of their behavior in the UK—so, when we refer to the GDPR in this section, we are also making reference to the UK GDPR in the context of the UK, unless the context requires otherwise. For example, the GDPR may apply in the context of our processing of personal data related to the conduct of clinical trials in the EEA and/or UK.</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that Regulation itself, the GDPR provides that EEA Member States may make their own further laws and regulations to introduce specific requirements related to the processing of “special categories of personal data,” including personal data related to health and genetic information, which we may process in the context of clinical trials. The UK Data Protection Act of 2018 complements the UK GDPR in this regard. This may lead to greater divergence on the law that applies to the processing of such types of personal data across the EEA and/or UK, compliance with which, as and where applicable, may increase our costs and could increase our overall compliance risk. For example, in France, the conduct of clinical trials is subject to compliance with reference methodologies (such as MR-001) imposing stringent rules to process health-related data. Such country-specific regulations could also limit our ability to collect, use and share data in the context of our EEA and/or UK operations, and/or could cause our compliance costs to increase, ultimately having an adverse impact on our business and harming our business and financial condition.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8" w:name="page49"/>
    <w:bookmarkEnd w:id="48"/>
    <w:p>
      <w:pPr>
        <w:ind w:right="220"/>
        <w:spacing w:after="0" w:line="258" w:lineRule="auto"/>
        <w:rPr>
          <w:sz w:val="20"/>
          <w:szCs w:val="20"/>
          <w:color w:val="auto"/>
        </w:rPr>
      </w:pPr>
      <w:r>
        <w:rPr>
          <w:rFonts w:ascii="Times New Roman" w:cs="Times New Roman" w:eastAsia="Times New Roman" w:hAnsi="Times New Roman"/>
          <w:sz w:val="18"/>
          <w:szCs w:val="18"/>
          <w:color w:val="auto"/>
        </w:rPr>
        <w:t>The GDPR imposes stringent data protection obligations, and requires organizations to give detailed disclosures about how they collect, use and share personal data; in certain cases, obtain explicit consent to process special categories of personal data, such as the health or genetic information referred to above;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data.</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particular issue, the GDPR imposes strict rules on the transfer of personal data out of the EEA and UK to the United States and similar “third countries”. Although one of the primary mechanisms for transferring personal data to the United States (known as the “EU-U.S. Privacy Shield”) was invalidated in July 2020, alternative solutions exist that may still serve as a valid mechanism by which entities can validly transfer personal data that is subject to the GDPR to recipients in jurisdictions outside the EEA and UK, which have not been found to provide an adequate level of protection for the purposes of the GDPR, which would include the United States. For example, such transfers may rely on the European Commission’s Standard Contractual Clauses or similar approved-form “appropriate safeguards” (such as the UK “International Data Transfer Agreement”); however, these safeguards require parties that rely upon them to comply with onerous obligations, such as conducting “transfer impact assessments” to determine whether additional measures are need to supplement such safeguards to protect the transferred personal data effectively. Furthermore, relevant regulatory guidance appears to conclude that no combination of such supplementary measures could be sufficient to allow effective reliance on these safeguards in the context of transfers of unencrypted personal data to recipients in third countries where public authorities have excessive powers to access and surveil the transferred personal data – which may, according to relevant case law and regulatory guidance, include the United States in certain circumstances. At present, there are few, if any, viable alternatives to these safeguards for many transfers.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although the European Commission adopted an adequacy decision in relation to the United Kingdom, which provides some relief regarding the legality of continued personal data flows from the EEA to the UK, some uncertainty remains, as this adequacy decision must be renewed after four years and may be modified or revoked in the interim. If the adequacy decision is withdrawn, modified or revoked, transfers of personal data from the EEA to the UK may require an alternative ‘transfer mechanism’ and we may be required to implement new processes and put new agreements in place, such as the above-mentioned Standard Contractual Clauses, to enable transfers of personal data from the EEA to the UK to continue, which could disrupt our operations.</w:t>
      </w:r>
    </w:p>
    <w:p>
      <w:pPr>
        <w:spacing w:after="0" w:line="18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If we are unable to implement valid solutions for transfers of personal data processed under the GDPR, we will face increased exposure to regulatory actions, substantial fines and injunctions against processing personal data from the EEA and UK. It may also (i) restrict our activities in the EEA and/or UK; (ii) limit our ability to collaborate with partners as well as other service providers, contractors and other companies subject to the GDPR; or (iii) require us to increase our data processing capabilities in the EEA and/or UK at significant expense or otherwise cause us to change the geographical location or segregation of our relevant systems and operations—any or all of which could adversely affect our financial results.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GDPR also provides for a robust regulatory enforcement regime and significant penalties for noncompliance, including fines of up to €20 million or 4% of an undertaking’s total worldwide annual turnover for the preceding financial year, whichever is higher. In addition to these fines, supervisory authorities have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 Additionally, as noted above, the UK has transposed the GDPR into the laws of the UK, which could expose us to two parallel regimes, each of which potentially authorizes similar fines, with the UK GDPR permitting fines of up to the higher of £17.5 million or 4% of global annual revenue of any noncompliant organizations for the preceding financial year, as well as other potentially overlapping or divergent enforcement actions for certain actual or perceived violations.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endeavor, and have taken steps, to comply with the GDPR and other EEA and UK privacy and data protection laws and regulations, as well as associated policies, contracts and other obligations, together, European Data Protection Requirements. However, these efforts may not always have been wholly successful. In addition, we anticipate needing to continue to devote significant resources to our compliance efforts in this area. Furthermore, it is possible that the GDPR and/or other EEA and UK privacy and data protection laws and regulations, and other associated European Data Protection Requirements, may be interpreted and applied in a manner that is inconsistent from jurisdiction to jurisdiction or inconsistent with our current policies and practices. Our actual or perceived failure to adequately comply with the European Data Protection Requirements could result in significant fines, penalties, regulatory investigations, lawsuits, significant costs for remediation, damage to our reputation, or other liabilities.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9" w:name="page50"/>
    <w:bookmarkEnd w:id="49"/>
    <w:p>
      <w:pPr>
        <w:ind w:right="280"/>
        <w:spacing w:after="0" w:line="258" w:lineRule="auto"/>
        <w:rPr>
          <w:sz w:val="20"/>
          <w:szCs w:val="20"/>
          <w:color w:val="auto"/>
        </w:rPr>
      </w:pPr>
      <w:r>
        <w:rPr>
          <w:rFonts w:ascii="Times New Roman" w:cs="Times New Roman" w:eastAsia="Times New Roman" w:hAnsi="Times New Roman"/>
          <w:sz w:val="18"/>
          <w:szCs w:val="18"/>
          <w:color w:val="auto"/>
        </w:rPr>
        <w:t>Moreover, despite our efforts, our personnel or third parties on whom we rely may fail to comply with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addition,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maintained about California residents.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California Privacy Rights Act of 2020 (“CPRA”), effective January 1, 2023, expands the CCPA’s requirements, adds a new right for individuals to correct their personal information, and establishes a new regulatory agency to implement and enforce the law. Other states, such as Virginia, Colorado and Utah, have also passed comprehensive privacy laws, and similar laws are being considered in several other states. While these states, like the CCPA, also exempt some data processed in the context of clinical trials, these developments may further complicate compliance efforts, and may increase legal risk and compliance costs for us, the third parties upon whom we rely. In addition, data privacy and security laws have been proposed at the federal, state, and local levels in recent years, which could further complicate compliance efforts.</w:t>
      </w:r>
    </w:p>
    <w:p>
      <w:pPr>
        <w:spacing w:after="0" w:line="18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may apply to data privacy and security, including the GDPR, as described in preceding risk factors, imposes strict requirements for processing personal data, and violators of these laws face significant penalties.</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jurisdictions, such as the EU, Switzerland and the UK, have enacted cross-border personal data transfer laws regulating personal data flows to third countries. In addition to personal data transfer restrictions, other countries (such as Russia and China) have adopted or proposed laws prohibiting certain businesses from transferring data outside those countries, which may increase the cost and complexity of doing business or require us not to conduct business in certain countries. Existing mechanisms that facilitate cross-border personal data transfers may change or be invalidated and may pose additional compliance burdens. For example, absent appropriate safeguards or other circumstances, the EU GDPR generally restricts the transfer of personal data to countries outside of the European Economic Area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If we cannot implement a valid personal data transfer mechanism, we may face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w:t>
      </w:r>
    </w:p>
    <w:p>
      <w:pPr>
        <w:spacing w:after="0" w:line="1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practices and to those of any third parties that process personal data on our behalf.</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In the ordinary course of our business, we or the third parties upon which we rely, may process proprietary, confidential, and sensitive data, including personal data (such as health-related data and data related to clinical trials), intellectual property, and trade secrets (collectively, sensitive information).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also share or receive sensitive information with or from third parties.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Future or past business transactions (such as acquisitions or integrations) could expose us to additional cybersecurity risks and vulnerabilities, as our systems could be negatively affected by vulnerabilities present in acquired or integrated entities’ systems and technologies.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2" w:name="page53"/>
    <w:bookmarkEnd w:id="52"/>
    <w:p>
      <w:pPr>
        <w:ind w:right="6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a third party upon whom we rely, will be effective. For example, an external contractor experienced a cyberattack in 2019, which resulted in a disruption to patient recruitment in our Phase 3 clinical trial of roluperidone. We may be unable in the future to detect vulnerabilities in our information technology systems.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national competent authorities of EEA countries and comparable foreign regulatory authorities for all of our products in clinical development. Regulatory authorities enforce these GCPs through periodic unannounced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3" w:name="page54"/>
    <w:bookmarkEnd w:id="53"/>
    <w:p>
      <w:pPr>
        <w:ind w:right="20"/>
        <w:spacing w:after="0" w:line="256"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regulatory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also expect to rely on third-party manufacturers or third-party collaborators for the manufacturing of commercial supply of any other drug candidates for which we or our collaborators obtain regulatory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the facilities used by our contract manufacturers to manufacture our products must be approved by the FDA pursuant to inspections that will be conducted after we submit our marketing application to the FDA. Other comparable foreign regulatory authorities have comparable requirements and powers. We, our contract manufacturers, any future collaborators and their contract manufacturers could be subject to periodic unannounced inspections by the FDA or other comparable foreign regulatory authorities, to monitor and ensure compliance with cGMP. Despite our efforts to audit and verify regulatory compliance, one or more of our third-party manufacturing vendors may be found.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comparable regulatory authorities, we will not be able to secure and/or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 our suppliers are subject to regulatory requirements, covering manufacturing, testing, quality control, and record keeping relating to our product candidates, and subject to ongoing inspections by the regulatory authorities.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If on regulatory inspection by the FDA or other comparable foreign regulatory authorities, one or more of our third-party manufacturing vendors are found to be to be noncompliant with cGMP regulation, this may result in shutdown of the third-party vendor or invalidation of drug product lots or processes. In some cases, a product recall may be warranted or required, which would materially affect our ability to supply and market our drug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regulatory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manufacturing of our drug candidates or drugs may adversely affect our future profit margins and our ability to commercialize any drugs that receive regulatory approval on a timely and competitive basis.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or will be subject to supranational, national,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collaboration with Mitsubishi Tanabe Pharma Corporation (“MTPC”), and could be seriously harmed if our license agreement with MTPC was terminated.</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exclusively license roluperidone, our lead product candidate, from MTPC, with the rights to develop, sell and import roluperidone globally, excluding most of Asia. If our license agreement with MTPC was terminated, it could have a material impact on our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5" w:name="page56"/>
    <w:bookmarkEnd w:id="5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potential future milestone payments from Royalty Pharma depend on the development and commercialization of seltorexant. We may be obligated to make payments to Royalty Pharma even if Janssen breaches its obligations to pay us.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19, 2021, we entered into an agreement with Royalty Pharma under which Royalty Pharma acquired our royalty interest in seltorexant for an upfront payment of $60 million and up to $95 million in future milestone payments that are contingent upon the achievement of certain clinical, regulatory and commercial milestones for seltorexant by Janssen Pharmaceutica NV, one of the Janssen Pharmaceutical Companies of Johnson &amp; Johnson (“Janssen”), or any other party in the event that Janssen sells seltorexant. For more information regarding this arrangement, see the sections titled “Item 1. Business—Overview” and “Item 1. Business—Our Clinical-Stage Programs—Seltorexant (MIN-202)” in this Annual Report on Form 10-K.</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Therefore, we will only realize future payments if Janssen achieves certain milestones over which we have no control. Some or all of the milestones may never be achieved, and we may never receive any such future payments.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addition, if Janssen breaches its contractual obligations to pay royalties, we will be obligated to Royalty Pharma to provide makeup payments to compensate for the loss of those royalties, which payments could be substantial.</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also seek to enter into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6" w:name="page57"/>
    <w:bookmarkEnd w:id="56"/>
    <w:p>
      <w:pPr>
        <w:ind w:right="20"/>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exclusivity. Such diminution of our proprietary position could have a material adverse effect on our business, results of operations and financial condition.</w:t>
      </w:r>
    </w:p>
    <w:p>
      <w:pPr>
        <w:spacing w:after="0" w:line="16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or acquire additional patents and intellectual property rights.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our patent rights relating to our product candidates may limit our ability to prevent third parties from competing against us.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8" w:name="page59"/>
    <w:bookmarkEnd w:id="58"/>
    <w:p>
      <w:pPr>
        <w:ind w:right="380"/>
        <w:spacing w:after="0" w:line="312" w:lineRule="auto"/>
        <w:rPr>
          <w:sz w:val="20"/>
          <w:szCs w:val="20"/>
          <w:color w:val="auto"/>
        </w:rPr>
      </w:pPr>
      <w:r>
        <w:rPr>
          <w:rFonts w:ascii="Times New Roman" w:cs="Times New Roman" w:eastAsia="Times New Roman" w:hAnsi="Times New Roman"/>
          <w:sz w:val="17"/>
          <w:szCs w:val="17"/>
          <w:color w:val="auto"/>
        </w:rPr>
        <w:t>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7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ind w:left="1020" w:right="10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make the inventions covered by the issued patents or pending patent applications that we own or have exclusively licensed.</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file patent applications covering certain of our inventions.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9" w:lineRule="exact"/>
        <w:rPr>
          <w:rFonts w:ascii="Times New Roman" w:cs="Times New Roman" w:eastAsia="Times New Roman" w:hAnsi="Times New Roman"/>
          <w:sz w:val="18"/>
          <w:szCs w:val="18"/>
          <w:color w:val="auto"/>
        </w:rPr>
      </w:pPr>
    </w:p>
    <w:p>
      <w:pPr>
        <w:ind w:left="1020" w:right="46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ind w:left="1020" w:right="680" w:hanging="503"/>
        <w:spacing w:after="0" w:line="26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what the market price of our common stock will be and, as a result, it may be difficult for you to sell your shares of our common stock.</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As a result of this volatility, investors may not be able to sell their securities at a profit. The market price of our securities could be subject to wide fluctuations in response to a variety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preclinical or clinical trials or those of our competitors;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including adverse regulatory decision,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or commercialize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limited market sizes or pricing for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collaborations or enter into new collaborations;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0" w:name="page61"/>
    <w:bookmarkEnd w:id="60"/>
    <w:p>
      <w:pPr>
        <w:ind w:left="1020" w:right="66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any inability to obtain additional funding;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9" w:lineRule="exact"/>
        <w:rPr>
          <w:rFonts w:ascii="Times New Roman" w:cs="Times New Roman" w:eastAsia="Times New Roman" w:hAnsi="Times New Roman"/>
          <w:sz w:val="18"/>
          <w:szCs w:val="18"/>
          <w:color w:val="auto"/>
        </w:rPr>
      </w:pPr>
    </w:p>
    <w:p>
      <w:pPr>
        <w:ind w:left="1020" w:right="50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changes in the structure of healthcare payment systems, including coverage and reimbursement;</w:t>
      </w:r>
    </w:p>
    <w:p>
      <w:pPr>
        <w:ind w:left="1020" w:right="24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 and litigation filed by us or filed against us pertaining to patent infringement or other violations of intellectual property rights;</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including in connection with the COVID-19 pandemic or the war in Ukraine, which has resulted in decreased stock prices for many companies notwithstanding the lack of a fundamental change in their underlying business models or prospects. Biopharmaceutical companies in particular have experienced extreme price and volume fluctuations that have often been unrelated or disproportionate to the operating performance of these companies. Broad market and industry factors, including potentially worsening economic conditions, increased inflation and other adverse effects or developments, including political, regulatory and other market conditions, may negatively affect the market price of shares of our common stock, regardless of our actual operating performance. The market price of shares of our common stock may decline, and you may lose some or all of your investment.</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 our knowledge, our executive officers, directors, holders of 5% or more of our capital stock and their respective affiliates beneficially own approximately 26% of our voting stock as of December 31, 2022.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 These sales, or the possibility that these sales may occur, might also make it more difficult for us to sell equity securities in the future at a time and price that we deem appropriate.</w:t>
      </w:r>
    </w:p>
    <w:p>
      <w:pPr>
        <w:spacing w:after="0" w:line="18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shares of common stock, or other equity or debt securities convertible into common stock, in connection with a financing, acquisition, employee arrangement or otherwise. Any such issuance, including pursuant to any at-the-market agreements, such as the at-the-market offering program that we entered into with Jefferies LLC in September 2022, could result in substantial dilution to our existing stockholders and could cause the price of our common stock to decline.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1" w:name="page62"/>
    <w:bookmarkEnd w:id="61"/>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5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6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that we will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2013 Equity Incentive Plan, our management is authorized to grant stock options and other equity-based awards of up to 1,378,917 shares to our employees, directors and consultants. To the extent that new awards are granted and exercised or settled, or we issue additional shares of common stock in the future, our stockholders may experience additional dilution, which could cause our stock price to fall.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(“SEC”), annual, quarterly and current reports with respect to our business and financial condition. In addition, changing laws, regulations and standards relating to corporate governance and public disclosure, including regulations implemented by the SEC and The Nasdaq Stock Market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SEC’s disclosure rules, meaning that we have either: (i) a public float of less than $250 million; or (ii) annual revenues of less than $100 million during the most recently completed fiscal year; and no public float; or a public float of less than $700 million.</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shares less attractive as a result of our election to use the scaled-back disclosure permitted for smaller reporting companies, there may be a less active trading market for our common shares and our share price may be more volatile.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ind w:right="40"/>
        <w:spacing w:after="0" w:line="256" w:lineRule="auto"/>
        <w:rPr>
          <w:sz w:val="20"/>
          <w:szCs w:val="20"/>
          <w:color w:val="auto"/>
        </w:rPr>
      </w:pPr>
      <w:r>
        <w:rPr>
          <w:rFonts w:ascii="Times New Roman" w:cs="Times New Roman" w:eastAsia="Times New Roman" w:hAnsi="Times New Roman"/>
          <w:sz w:val="18"/>
          <w:szCs w:val="18"/>
          <w:color w:val="auto"/>
        </w:rPr>
        <w:t>We are also a non-accelerated filer under the Exchange Act of 1934,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shares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 could result in substantial damages and may divert management’s time and attention from our business.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We have and may become the target of securities litigation in the future. 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 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18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such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authorized number of directors to be changed only by resolution of our board of directors;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than can be acted upon at stockholder meetings; and</w:t>
      </w:r>
    </w:p>
    <w:p>
      <w:pPr>
        <w:ind w:left="1020" w:right="120" w:hanging="503"/>
        <w:spacing w:after="0" w:line="26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66 2/3% of the votes that all of our stockholders would be entitled to cast to amend or repeal our bylaws.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3" w:name="page64"/>
    <w:bookmarkEnd w:id="63"/>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pursuant to the Delaware General Corporation Law, our amended and restated certificate of incorporation, as amended, or our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bylaws to be inapplicable or unenforceable in an action, we may incur additional costs associated with resolving such action in other jurisdictions, which could harm our business and financial condition.</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1020" w:right="52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and fewer business development opportunities.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4" w:name="page65"/>
    <w:bookmarkEnd w:id="64"/>
    <w:p>
      <w:pPr>
        <w:ind w:right="80"/>
        <w:spacing w:after="0" w:line="254" w:lineRule="auto"/>
        <w:rPr>
          <w:sz w:val="20"/>
          <w:szCs w:val="20"/>
          <w:color w:val="auto"/>
        </w:rPr>
      </w:pPr>
      <w:r>
        <w:rPr>
          <w:rFonts w:ascii="Times New Roman" w:cs="Times New Roman" w:eastAsia="Times New Roman" w:hAnsi="Times New Roman"/>
          <w:sz w:val="18"/>
          <w:szCs w:val="18"/>
          <w:color w:val="auto"/>
        </w:rPr>
        <w:t>As previously reported, on January 12, 2022, we received a deficiency letter from Nasdaq notifying us that, for the previous 30 consecutive business days, the closing bid price of our shares of common stock had not been maintained at the minimum required closing bid price of at least $1.00 per share, as required for continued listing on The Nasdaq Global Market, where our securities were listed for trading at the time. In accordance with the listing rules of Nasdaq, we were given 180 calendar days, or until July 11, 2022, to regain compliance with the minimum bid price requirement. On June 17, 2022, we implemented a one-for-eight (1-for-8) reverse stock split of our outstanding commons stock in an effort to regain compliance with Nasdaq’s minimum bid price requirement of $1.00 per share. On July 6, 2022, we received a letter from Nasdaq notifying us that the closing bid price of our common stock had been at $1.00 per share or greater for the last 10 consecutive business days and we had regained compliance with Nasdaq Stock Market Rule 5450(a)(1) and this matter was closed.</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8, 2022, we received a second deficiency letter from Nasdaq that our stockholders’ equity as reported in our Annual Report on Form 10-K for the year ended December 31, 2021 did not satisfy The Nasdaq Global Market continued listing requirement of $10 million as set forth in Nasdaq Stock Market Rule 5450(b)(1). We had 45 calendar days from the date of this letter to submit to Nasdaq a plan to regain compliance with such requirement. Nasdaq later extended the deadline for such submission, and we subsequently submitted our plans to regain compliance on May 2, 2022, May 24, 2022 and May 25, 2022. On June 3, 2022, we received a letter from Nasdaq notifying us that it has determined to grant us an extension until September 5, 2022 to regain compliance with Nasdaq Stock Market Rule 5450(b)(1). In September 2022, we submitted an application to Nasdaq to transfer our common stock from The Nasdaq Global Market to The Nasdaq Capital Market, as allowed under Nasdaq Stock Market Rule 5810(c)(3)(A). Based on our meeting the listing requirements of The Nasdaq Capital Market, our application was approved by Nasdaq. Effective September 12, 2022, we transferred the listing of our common stock from The Nasdaq Global Market to The Nasdaq Capital Market.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as previously reported, on December 1, 2022, we received a deficiency letter from Nasdaq notifying us that for the last 30 consecutive business days, our minimum Market Value of Listed Securities (“MVLS”) was below the minimum of $35 million required for continued listing on The Nasdaq Capital Market pursuant to Nasdaq Listing Rule 5550(b)(2). In accordance with the listing rules of Nasdaq, we have been provided an initial period of 180 calendar days, or until May 30, 2023, to regain compliance. The letter states that the Nasdaq staff will provide written notification that we have achieved compliance with Rule 5550(b)(2) if at any time before May 30, 2023, our MVLS closes at $35 million or more for a minimum of ten consecutive business days. If compliance is not achieved by May 30, 2023, we expect that Nasdaq would provide written notification to us that our securities are subject to delisting.</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While we will continue to monitor our MVLS and consider available options to regain compliance with the Nasdaq minimum MVLS requirements, which may include applying for an extension of the compliance period or appealing to a Nasdaq Hearings Panel, there can be no assurance that we will be able to regain compliance with the Nasdaq minimum MVLS requirements or otherwise maintain compliance with the other Nasdaq listing requirements.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“Penny stock” rules may make buying or selling our securities difficult which may make our stock less liquid and make it harder for investors to buy and sell our securities.</w:t>
      </w:r>
    </w:p>
    <w:p>
      <w:pPr>
        <w:spacing w:after="0" w:line="15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Trading in our securities is subject to the SEC’s “penny stock” rules and it is anticipated that trading in our securities will continue to be subject to the penny stock rules for the foreseeable future. The SEC has adopted regulations that generally define a penny stock to be any equity security that has a market price of less than $5.00 per share, subject to certain exceptions. These rules require that any broker-dealer who recommends our securities to persons other than prior customers and accredited investors must, prior to the sale, make a special written suitability determination for the purchaser and receive the purchaser’s written agreement to execute the transaction. Unless an exception is available, the regulations require the delivery, prior to any transaction involving a penny stock, of a disclosure schedule explaining the penny stock market and the risks associated with trading in the penny stock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5" w:name="page66"/>
    <w:bookmarkEnd w:id="65"/>
    <w:p>
      <w:pPr>
        <w:spacing w:after="0" w:line="266" w:lineRule="auto"/>
        <w:rPr>
          <w:sz w:val="20"/>
          <w:szCs w:val="20"/>
          <w:color w:val="auto"/>
        </w:rPr>
      </w:pPr>
      <w:r>
        <w:rPr>
          <w:rFonts w:ascii="Times New Roman" w:cs="Times New Roman" w:eastAsia="Times New Roman" w:hAnsi="Times New Roman"/>
          <w:sz w:val="18"/>
          <w:szCs w:val="18"/>
          <w:color w:val="auto"/>
        </w:rPr>
        <w:t>In addition, broker-dealers must disclose commissions payable to both the broker-dealer and the registered representative and current quotations for the securities they offer.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1500 District Avenue, Burlington, MA 01803. We lease this facility, which consists of approximately 491 square feet of office space. The lease is on a month-to-month basis commencing on February 1, 2023, with a monthly payment of $8,290. The term of the previous lease for this space began on July 15, 2022 and expired on January 31, 2023. We believe that our existing facility is sufficient for our current needs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was traded on the Nasdaq Global Market under the symbol “NERV” from our initial public offering on July 1, 2014 until September 11, 2022. Effective September 12, 2022, our common stock began trading on The Nasdaq Capital Market under the symbol “NERV.”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the close of business on March 3, 2023, there were approximately 33 holders of record of our common stock, including Cede &amp; Co., a nominee for The Depository Trust Company (“DTC”), which holds shares of our common stock on behalf of an indeterminate number of beneficial owners. All of the shares of common stock held by brokerage firms, banks and other financial institutions as nominees for beneficial owners are deposited into participant accounts at DTC, and are considered to be held of record by Cede &amp; Co. as one stockholder. Because many of our shares are held by brokers and other institutions on behalf of stockholders, we are unable to estimate the total number of stockholders represented by these record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milestone payments, subject to completion of Phase 3 trials by Janssen and regulatory approvals. Janssen is currently conducting two Phase 3 studies with seltorexant, a third Phase 3 study was discontinued during 2022.</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(the “FDA”) for our lead product candidate, roluperidone. The FDA subsequently notified us that they would not accept the file for review, issuing a refusal to file letter in October 2022. In December 2022, we announced that, following the Type A meeting held on November 30, 2022, the FDA confirmed that the refusal to file letter remains in effect with respect to our NDA for roluperidone. We anticipate further discussion with the FDA over the coming months regarding the status of the roluperidone NDA and development program.</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December 31, 2022 and 2021, we had an accumulated deficit of $366.8 million and $334.7 million, respectively. For the years ended December 31, 2022 and 2021, we recorded net losses of $32.1 million and $49.9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fee refund</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January 2023, we received a refund of our NDA filing fee of approximately $3.1 million from the FDA. This refund was made in accordance with the Federal Food Drug and Cosmetic Act, which allows a fee waiver for a small business submitting its first human drug application.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Refusal to File Letter and Type A Meeting (November 30, 2022)</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October 17, 2022, we announced that we received a refusal to file letter from the FDA for our NDA for roluperidone for the treatment of negative symptoms in schizophrenia. On December 28, 2022 we announced that, following the Type A meeting held on November 30, 2022, the FDA confirmed that the refusal to file letter remains in effect with respect to our NDA for roluperidone. We anticipate further discussion with the FDA over the coming months regarding the status of the roluperidone NDA and development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Application</w:t>
      </w:r>
    </w:p>
    <w:p>
      <w:pPr>
        <w:spacing w:after="0" w:line="2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August 22, 2022, we announced that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Type C Meeting (March 2, 2022)</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7, 2022, we announced that we had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The FDA, at that time, proposed to keep an open dialogue moving towards the NDA submission. Following the meeting, Minerva provided additional data to address:</w:t>
      </w:r>
    </w:p>
    <w:p>
      <w:pPr>
        <w:spacing w:after="0" w:line="72" w:lineRule="exact"/>
        <w:rPr>
          <w:sz w:val="20"/>
          <w:szCs w:val="20"/>
          <w:color w:val="auto"/>
        </w:rPr>
      </w:pPr>
    </w:p>
    <w:p>
      <w:pPr>
        <w:ind w:left="1020" w:right="14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US and non-US schizophrenia patients. More specifically, the Division wanted to be reassured that data collected in MIN-101C03 in non-US patients is applicable to US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statistical evidence of efficacy of roluperidone on negative symptoms.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Seltorexant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Phase 3 trials by Janssen and regulatory approvals. Janssen is currently conducting two Phase 3 studies with seltorexant, a third Phase 3 study was discontinued during 2022.</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sale of our rights to potential royalties, we will recognize non-cash interest expense related to the amortization of estimated future royalty payments to Royalty Pharma. Accordingly, for the three and twelve months ended December 31, 2022, we recognized $1.9 million and $7.4 million in non-cash interest expense related to this agreement.</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$60 million payment received from Royalty Pharma has been included on our balance sheet under Liability related to the sale of future royalties. As we recognize interest expense, the Liability related to the sale of future royalties will increase until such time that we begin to receive the related royalty payments. Under the terms of the 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 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 direct costs relating to each of our product candidates are summarized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Roluperidone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80" w:type="dxa"/>
            <w:vAlign w:val="bottom"/>
            <w:shd w:val="clear" w:color="auto" w:fill="CFF0FC"/>
          </w:tcPr>
          <w:p>
            <w:pPr>
              <w:spacing w:after="0"/>
              <w:rPr>
                <w:sz w:val="20"/>
                <w:szCs w:val="20"/>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MIN-117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47"/>
        </w:trPr>
        <w:tc>
          <w:tcPr>
            <w:tcW w:w="6140" w:type="dxa"/>
            <w:vAlign w:val="bottom"/>
            <w:tcBorders>
              <w:bottom w:val="single" w:sz="8" w:color="CFF0FC"/>
            </w:tcBorders>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MIN-301</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ind w:left="900" w:hanging="518"/>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 As a result of our limited resources and development deferral combined with the overall market conditions, we recognized a non-cash impairment charge of $15.2 million in the fourth quarter of 2021 to the carrying value of in-process research and development related to our MIN-301 development program. No updates were made in respect of the development of MIN-301 during 2022.</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(Losses) Gains</w:t>
      </w:r>
    </w:p>
    <w:p>
      <w:pPr>
        <w:spacing w:after="0" w:line="229"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Foreign exchange (losses) gains are comprised primarily of (losses) and gains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(loss) or gain.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 Carryforwards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2022, we had approximately $98.0 million of federal net operating loss carryforwards. These federal net operating loss carryforwards will begin to expire at various dates beginning in 2030, if not utilized. As of December 31, 2022, we had approximately $94.4 million of state net operating loss carryforwards. During the year ended December 31, 2022, no state operating loss carryforwards had expired.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December 31, 2021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32,039</w:t>
            </w:r>
          </w:p>
        </w:tc>
        <w:tc>
          <w:tcPr>
            <w:tcW w:w="80" w:type="dxa"/>
            <w:vAlign w:val="bottom"/>
          </w:tcPr>
          <w:p>
            <w:pPr>
              <w:spacing w:after="0"/>
              <w:rPr>
                <w:sz w:val="20"/>
                <w:szCs w:val="20"/>
                <w:color w:val="auto"/>
              </w:rPr>
            </w:pPr>
          </w:p>
        </w:tc>
      </w:tr>
      <w:tr>
        <w:trPr>
          <w:trHeight w:val="247"/>
        </w:trPr>
        <w:tc>
          <w:tcPr>
            <w:tcW w:w="6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80" w:type="dxa"/>
            <w:vAlign w:val="bottom"/>
          </w:tcPr>
          <w:p>
            <w:pPr>
              <w:spacing w:after="0"/>
              <w:rPr>
                <w:sz w:val="20"/>
                <w:szCs w:val="20"/>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6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r>
      <w:tr>
        <w:trPr>
          <w:trHeight w:val="24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(28 )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(7,407 )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(6,327 )</w:t>
            </w:r>
          </w:p>
        </w:tc>
      </w:tr>
      <w:tr>
        <w:trPr>
          <w:trHeight w:val="20"/>
        </w:trPr>
        <w:tc>
          <w:tcPr>
            <w:tcW w:w="6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2"/>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xml:space="preserve">(32,109 </w:t>
            </w:r>
            <w:r>
              <w:rPr>
                <w:rFonts w:ascii="Times New Roman" w:cs="Times New Roman" w:eastAsia="Times New Roman" w:hAnsi="Times New Roman"/>
                <w:sz w:val="18"/>
                <w:szCs w:val="18"/>
                <w:color w:val="auto"/>
                <w:highlight w:val="white"/>
              </w:rPr>
              <w:t>)</w:t>
            </w:r>
          </w:p>
        </w:tc>
        <w:tc>
          <w:tcPr>
            <w:tcW w:w="3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(51,709 </w:t>
            </w:r>
            <w:r>
              <w:rPr>
                <w:rFonts w:ascii="Times New Roman" w:cs="Times New Roman" w:eastAsia="Times New Roman" w:hAnsi="Times New Roman"/>
                <w:sz w:val="18"/>
                <w:szCs w:val="18"/>
                <w:color w:val="auto"/>
                <w:highlight w:val="white"/>
              </w:rPr>
              <w:t>)</w:t>
            </w:r>
          </w:p>
        </w:tc>
      </w:tr>
      <w:tr>
        <w:trPr>
          <w:trHeight w:val="247"/>
        </w:trPr>
        <w:tc>
          <w:tcPr>
            <w:tcW w:w="6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(1,803 )</w:t>
            </w:r>
          </w:p>
        </w:tc>
      </w:tr>
      <w:tr>
        <w:trPr>
          <w:trHeight w:val="20"/>
        </w:trPr>
        <w:tc>
          <w:tcPr>
            <w:tcW w:w="6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xml:space="preserve">(32,109 </w:t>
            </w:r>
            <w:r>
              <w:rPr>
                <w:rFonts w:ascii="Times New Roman" w:cs="Times New Roman" w:eastAsia="Times New Roman" w:hAnsi="Times New Roman"/>
                <w:sz w:val="18"/>
                <w:szCs w:val="18"/>
                <w:color w:val="auto"/>
                <w:highlight w:val="white"/>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(49,906 </w:t>
            </w:r>
            <w:r>
              <w:rPr>
                <w:rFonts w:ascii="Times New Roman" w:cs="Times New Roman" w:eastAsia="Times New Roman" w:hAnsi="Times New Roman"/>
                <w:sz w:val="18"/>
                <w:szCs w:val="18"/>
                <w:color w:val="auto"/>
                <w:highlight w:val="white"/>
              </w:rPr>
              <w:t>)</w:t>
            </w:r>
          </w:p>
        </w:tc>
      </w:tr>
      <w:tr>
        <w:trPr>
          <w:trHeight w:val="20"/>
        </w:trPr>
        <w:tc>
          <w:tcPr>
            <w:tcW w:w="6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-1448435</wp:posOffset>
            </wp:positionV>
            <wp:extent cx="6032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-1448435</wp:posOffset>
            </wp:positionV>
            <wp:extent cx="5143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$14.6 million and $32.0 million for the years ended December 31, 2022 and 2021, respectively, a decrease of $17.4 million. The decrease in research and development expenses was primarily due to a non-cash impairment charge of $15.2 million in the fourth quarter of 2021 to the carrying value of in-process research and development related to our MIN-301 development program, as well as lower clinical trial costs for roluperidone due to the completion of the 40-week open-label extension during 2021. Non-cash stock compensation costs included in research and development expenses was $2.0 million and $2.4 million for the years ended December 31, 2022 and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were $10.6 million and $13.3 million for the years ended December 31, 2022 and 2021, respectively, a decrease of</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$2.7 million. The decrease in general and administrative expenses was primarily due to lower staffing related expenses and lower legal and insurance costs. Non-cash stock compensation costs included in general and administrative expenses was $2.1 million and $2.8 million for the years ended December 31, 2022 and 2021,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losses were $28 thousand and $33 thousand for the years ended December 31, 2022 and 2021, respectively, an increase of $5 thousand.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was primarily due to changes in foreign exchange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Investment income was $557 thousand and $17 thousand for the years ended December 31, 2022 and 2021, respectively, an increase of $540 thousand. The increase was primarily due to higher interest rates during 2022</w:t>
      </w:r>
      <w:r>
        <w:rPr>
          <w:rFonts w:ascii="Times New Roman" w:cs="Times New Roman" w:eastAsia="Times New Roman" w:hAnsi="Times New Roman"/>
          <w:sz w:val="18"/>
          <w:szCs w:val="18"/>
          <w:color w:val="FF0000"/>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$7.4 million and $6.3 million for the years ended December 31, 2022 and 2021, respectively, an increase of $1.1 million. The increase was due to a higher effective interest rate during 2022 and an increase in the carrying value of the liability related to the sale of future royalties for seltorexant to Royalty Pharma in accordance with ASC 470,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Benefit for income taxes was zero and $1.8 million for the years ended December 31, 2022 and 2021, respectively, an increase of $1.8 million. The increase was primarily due to the benefit received from lowering the deferred tax liability due to the impairment of the MIN-301 intangible asset during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2022, we had an accumulated deficit of approximately $366.8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December 31, 2022, we had approximately $36.2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 During the twelve months ended December 31, 2022, no shares of our common stock were issued or sold under the Sales Agreement. As of December 31, 2022, an aggregate of $22.6 million was eligible for sale pursuant to the Sales Agreement under our effective registration statement on Form S-3 (File No. 333-267424).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 Janssen is currently conducting two Phase 3 studies with seltorexant, a third Phase 3 study was discontinued during 2022.</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 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including the recent disruptions to and volatility in the credit and financial markets in the U.S. and worldwide resulting from the COVID-19 pandemic, the war in Ukraine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Pr>
          <w:p>
            <w:pPr>
              <w:spacing w:after="0"/>
              <w:rPr>
                <w:sz w:val="14"/>
                <w:szCs w:val="14"/>
                <w:color w:val="auto"/>
              </w:rPr>
            </w:pPr>
          </w:p>
        </w:tc>
      </w:tr>
      <w:tr>
        <w:trPr>
          <w:trHeight w:val="169"/>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(24.6 )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(24.6 )</w:t>
            </w:r>
          </w:p>
        </w:tc>
      </w:tr>
      <w:tr>
        <w:trPr>
          <w:trHeight w:val="247"/>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1"/>
                <w:szCs w:val="21"/>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1"/>
                <w:szCs w:val="21"/>
                <w:color w:val="auto"/>
              </w:rPr>
            </w:pPr>
          </w:p>
        </w:tc>
      </w:tr>
      <w:tr>
        <w:trPr>
          <w:trHeight w:val="23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$24.6 million during the year ended December 31, 2022 was primarily due to our net loss of $32.1 million and a $3.1 million increase in refundable regulatory fees, partially offset by non-cash interest expense for the sale of future royalties of $7.4 million and stock-based compensation expense of $4.1 million.</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$24.6 million during the year ended December 31, 2021 was primarily due to our net loss of $49.9 million, a $1.8 million increase in deferred taxes and approximately a $1.0 million decrease in accrued expenses, partially offset by an impairment charge to the carrying value of in-process research and development of $15.2 million, non-cash interest expense for the sale of future royalties of $6.3 million and stock-based compensation expense of $5.2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years ended December 31, 2022 and 2021.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year ended December 31, 2022.</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$60 million during the year ended December 31, 2021 represents the cash payment received from the sale of future royalties on the seltorexant program to Royalty Pharma.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17, 2022, we filed a Certificate of Amendment to our Amended and Restated Certificate of Incorporation (the “Amendment”) with the Secretary of State of the State of Delaware to effect a one-for-eight (1-for-8) reverse stock split of our outstanding common stock. The Amendment became effective at 5:00 p.m. Eastern Time on June 17, 2022. A series of alternate amendments to effect a reverse stock split was approved by our stockholders at our 2022 Annual Meeting of Stockholders held on June 10, 2022, and the specific one-for-eight (1-for-8) reverse stock split was subsequently approved by our board of directors on June 10, 2022.</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our issued and outstanding common stock automatically combined into one issued and outstanding share of common stock, without any change in par value per share. The reverse stock split affected all shares of our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us and outstanding immediately prior to the effective time of the Amendment, which resulted in a proportionate decrease in the number of shares of our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our equity compensation plans immediately prior to the effective time of the Amendment was reduced proportionately. The reverse stock split did not affect the number of shares of common stock authorized for issuance under our Amended and Restated Certificate of Incorporation, which remained at 125,000,000 shares.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our common stock (except to the extent that the reverse stock split results in any stockholder owning only a fractional share). As a result of the reverse stock split, the number of our outstanding shares of common stock as of June 17, 2022 decreased from 42,721,566 (pre-split) shares to 5,340,193 (post-split) shares.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Our common stock began trading on The Nasdaq Global Market on a split-adjusted basis when the market opened on June 21, 2022. Effective September 12, 2022, we transferred the listing of our common stock from The Nasdaq Global Market to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assets represent capitalized incomplete research projects that we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we will make a determination about the remaining useful life of the intangible asset and begin amortization. We test our indefinite-lived intangibles, IPR&amp;D assets, for impairment annually and more frequently if events or changes in circumstances indicate that it is more likely than not that the asset is impaired. When testing indefinite-lived intangibles for impairment, we may assess qualitative factors for our indefinite-lived intangibles to determine whether it is more likely than not (that is, a likelihood of more than 50 percent) that the asset is impaired. Alternatively, we may bypass this qualitative assessment for some or all of our indefinite-lived intangibles and perform the quantitative impairment test that compares the fair value of the indefinite-lived intangible asset with the asset’s carrying amount.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MIN-301 In-process Research and Development Asset</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 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have a single reporting unit, which is the level that the goodwill impairment test is performed. There was no impairment of goodwill for the years ended December 31, 2022 and 2021. As of December 31, 2022, $14.9 million of goodwill was associated with a reporting unit with zero or negative carrying value. As the reporting unit had a positive fair value, there was no impairment </w:t>
      </w:r>
      <w:r>
        <w:rPr>
          <w:rFonts w:ascii="Calibri" w:cs="Calibri" w:eastAsia="Calibri" w:hAnsi="Calibri"/>
          <w:sz w:val="18"/>
          <w:szCs w:val="18"/>
          <w:color w:val="auto"/>
        </w:rPr>
        <w:t xml:space="preserve">associated </w:t>
      </w:r>
      <w:r>
        <w:rPr>
          <w:rFonts w:ascii="Times New Roman" w:cs="Times New Roman" w:eastAsia="Times New Roman" w:hAnsi="Times New Roman"/>
          <w:sz w:val="18"/>
          <w:szCs w:val="18"/>
          <w:color w:val="auto"/>
        </w:rPr>
        <w:t>with this reporting unit.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use a recognition threshold and measurement attribute for the financial statement recognition and measurement of a tax position taken, or expected to be taken, in a tax return. We have elected to treat interest and penalties, to the extent they arise, as a component of income taxes. There was no interest or penalties related to income taxes for the years ended December 31, 2022 or 2021. Income tax years beginning in 2019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treat the sale of future royalties to Royalty Pharma as a debt financing, as we have significant continuing involvement in facilitating the transfer of royalties to Royalty Pharma and Royalty Pharma has recourse against us relating to the payments due from Janssen. As a result, we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We will periodically assess the expected royalty payments using a combination of internal projections and forecasts from external sources. To the extent our future estimates of royalty payments are greater or less than previous estimates or the estimated timing of such payments is materially different than its previous estimates, we will prospectively recognize related non-cash interest expense. As of December 31, 2022, we estimated the effective annual interest rate to be approximately 10.7%. For example, as of December 31, 2022, a 20% increase in the probability of clinical success of the MDD with insomnia trial would represent a 1.6 percentage points increase in the effective annual interest rate, which would increase the non-cash interest expense and future milestone payments by $37.7 million and $5.4 million, respectively, over the remaining life of the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Financial Accounting Standards Board (“FASB”) and are adopted by us as of the specified effective date. Our significant accounting policies are described in Note 2 to our financial statements appearing elsewhere in this Form 10-K. Except as described in Note 2, we believe that the impact of other recently issued, but not yet adopted, accounting pronouncements will not have a material impact on the financial position, results of operations and cash flows, or do not apply to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5"/>
        </w:trPr>
        <w:tc>
          <w:tcPr>
            <w:tcW w:w="20" w:type="dxa"/>
            <w:vAlign w:val="bottom"/>
          </w:tcPr>
          <w:p>
            <w:pPr>
              <w:spacing w:after="0"/>
              <w:rPr>
                <w:sz w:val="24"/>
                <w:szCs w:val="24"/>
                <w:color w:val="auto"/>
              </w:rPr>
            </w:pPr>
          </w:p>
        </w:tc>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No. 34)</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2022 and 2021</w:t>
            </w:r>
          </w:p>
        </w:tc>
        <w:tc>
          <w:tcPr>
            <w:tcW w:w="4200" w:type="dxa"/>
            <w:vAlign w:val="bottom"/>
            <w:gridSpan w:val="3"/>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20" w:type="dxa"/>
            <w:vAlign w:val="bottom"/>
          </w:tcPr>
          <w:p>
            <w:pPr>
              <w:spacing w:after="0"/>
              <w:rPr>
                <w:sz w:val="19"/>
                <w:szCs w:val="19"/>
                <w:color w:val="auto"/>
              </w:rPr>
            </w:pPr>
          </w:p>
        </w:tc>
        <w:tc>
          <w:tcPr>
            <w:tcW w:w="7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Equity for the Years Ended December 31, 2022 and 2021</w:t>
            </w:r>
          </w:p>
        </w:tc>
        <w:tc>
          <w:tcPr>
            <w:tcW w:w="28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2021</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20" w:type="dxa"/>
            <w:vAlign w:val="bottom"/>
          </w:tcPr>
          <w:p>
            <w:pPr>
              <w:spacing w:after="0"/>
              <w:rPr>
                <w:sz w:val="19"/>
                <w:szCs w:val="19"/>
                <w:color w:val="auto"/>
              </w:rPr>
            </w:pPr>
          </w:p>
        </w:tc>
        <w:tc>
          <w:tcPr>
            <w:tcW w:w="6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160" w:type="dxa"/>
            <w:vAlign w:val="bottom"/>
            <w:gridSpan w:val="2"/>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F-7</w:t>
            </w:r>
          </w:p>
        </w:tc>
      </w:tr>
      <w:tr>
        <w:trPr>
          <w:trHeight w:val="682"/>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3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ind w:right="508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Minerva Neurosciences, Inc.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Minerva Neurosciences, Inc. and subsidiaries (the “Company”) as of December 31, 2022 and 2021, the related consolidated statements of operations, stockholders’ (deficit)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on January 19, 2021, the Company entered into an agreement with Royalty Pharma under which Royalty Pharma acquired the Company’s royalty interest in seltorexant for an upfront payment of $60 million and up to an additional $95 million in potential milestone payments. Management applied significant judgment in determining the appropriate accounting treatment for the transaction and accounted for the sale of future revenue to Royalty Pharma as a debt financing, as the Company continues to have significant continuing involvement in the generation of the cash flows. The proceeds from the transaction were recorded as a liability related to the sale of future royalties, to be amortized under the interest method over the estimated life of the agreement.</w:t>
      </w:r>
    </w:p>
    <w:p>
      <w:pPr>
        <w:spacing w:after="0" w:line="12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identified the accounting treatment for the sale of future royalties as a critical accounting matter due to the significant judgment involved in determining the treatment. We identified the valuation of the liability related to the sale of future royalties as a critical audit matter because of the significant estimates and assumptions management makes related to the balance. Specifically, the determination of the discount rate involved significant estimation uncertainty.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46"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Our testing approach included both consideration of the accounting treatment, and the recognition and valuation of the liability. Our testing of the accounting treatment for the sale of future royalties was performed in the prior year and included the assistance of professionals in our firm having expertise in accounting and evaluated the Company’s conclusions regarding the accounting model applied to the sale of future royalties through consideration of possible alternatives under accounting principles generally accepted in the United States of America.</w:t>
      </w:r>
    </w:p>
    <w:p>
      <w:pPr>
        <w:spacing w:after="0" w:line="11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 test the estimated value of the liability related to the sale of future royalties and the non-cash interest expense, our audit procedures included the following, among others:</w:t>
      </w:r>
    </w:p>
    <w:p>
      <w:pPr>
        <w:spacing w:after="0" w:line="94" w:lineRule="exact"/>
        <w:rPr>
          <w:sz w:val="20"/>
          <w:szCs w:val="20"/>
          <w:color w:val="auto"/>
        </w:rPr>
      </w:pPr>
    </w:p>
    <w:p>
      <w:pPr>
        <w:ind w:left="760" w:right="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year to test the initial recognition of the liability related to the sale of future royalties, with the assistance of our fair value specialists, we:</w:t>
      </w:r>
    </w:p>
    <w:p>
      <w:pPr>
        <w:spacing w:after="0" w:line="13" w:lineRule="exact"/>
        <w:rPr>
          <w:rFonts w:ascii="Times New Roman" w:cs="Times New Roman" w:eastAsia="Times New Roman" w:hAnsi="Times New Roman"/>
          <w:sz w:val="18"/>
          <w:szCs w:val="18"/>
          <w:color w:val="auto"/>
        </w:rPr>
      </w:pPr>
    </w:p>
    <w:p>
      <w:pPr>
        <w:ind w:left="1140" w:hanging="37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appropriateness of the methodology used to estimate the implied discount rate, evaluated the significant assumptions discussed above that are used by management to estimate the future royalties to be paid and tested the underlying data used by the Company in its analysis.</w:t>
      </w:r>
    </w:p>
    <w:p>
      <w:pPr>
        <w:spacing w:after="0" w:line="27" w:lineRule="exact"/>
        <w:rPr>
          <w:rFonts w:ascii="Times New Roman" w:cs="Times New Roman" w:eastAsia="Times New Roman" w:hAnsi="Times New Roman"/>
          <w:sz w:val="18"/>
          <w:szCs w:val="18"/>
          <w:color w:val="auto"/>
        </w:rPr>
      </w:pPr>
    </w:p>
    <w:p>
      <w:pPr>
        <w:ind w:left="1140" w:hanging="37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Compared the significant assumptions used by management to relevant industry forecasts and economic trends, to evaluate consistency with external market and industry data, as well as consistency with evidence obtained in other areas of the audit.</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current year to test the subsequent recognition of the liability related to the sale of future royalties, we obtained the liability calculation and accretion schedule and:</w:t>
      </w:r>
    </w:p>
    <w:p>
      <w:pPr>
        <w:spacing w:after="0" w:line="2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Reviewed changes in significant estimates and assumptions used by management.</w:t>
      </w:r>
    </w:p>
    <w:p>
      <w:pPr>
        <w:spacing w:after="0" w:line="7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Recalculated the liability related to the sale of future royalties and associated non-cash interest expense.</w:t>
      </w:r>
    </w:p>
    <w:p>
      <w:pPr>
        <w:spacing w:after="0" w:line="7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Sent a confirmation to the relevant counterparty.</w:t>
      </w:r>
    </w:p>
    <w:p>
      <w:pPr>
        <w:spacing w:after="0" w:line="9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there were any events or underlying factors that would indicate reassessment of the accounting conclusions.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880" w:type="dxa"/>
            <w:vAlign w:val="bottom"/>
            <w:shd w:val="clear" w:color="auto" w:fill="CFF0FC"/>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36,093,606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60,755,080</w:t>
            </w: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848,117</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1,346,359</w:t>
            </w:r>
          </w:p>
        </w:tc>
        <w:tc>
          <w:tcPr>
            <w:tcW w:w="100" w:type="dxa"/>
            <w:vAlign w:val="bottom"/>
          </w:tcPr>
          <w:p>
            <w:pPr>
              <w:spacing w:after="0"/>
              <w:rPr>
                <w:sz w:val="21"/>
                <w:szCs w:val="21"/>
                <w:color w:val="auto"/>
              </w:rPr>
            </w:pPr>
          </w:p>
        </w:tc>
      </w:tr>
      <w:tr>
        <w:trPr>
          <w:trHeight w:val="237"/>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40,158,941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62,201,439</w:t>
            </w:r>
          </w:p>
        </w:tc>
        <w:tc>
          <w:tcPr>
            <w:tcW w:w="100" w:type="dxa"/>
            <w:vAlign w:val="bottom"/>
            <w:shd w:val="clear" w:color="auto" w:fill="CFF0FC"/>
          </w:tcPr>
          <w:p>
            <w:pPr>
              <w:spacing w:after="0"/>
              <w:rPr>
                <w:sz w:val="20"/>
                <w:szCs w:val="20"/>
                <w:color w:val="auto"/>
              </w:rPr>
            </w:pPr>
          </w:p>
        </w:tc>
      </w:tr>
      <w:tr>
        <w:trPr>
          <w:trHeight w:val="243"/>
        </w:trPr>
        <w:tc>
          <w:tcPr>
            <w:tcW w:w="7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spacing w:after="0"/>
              <w:rPr>
                <w:sz w:val="21"/>
                <w:szCs w:val="21"/>
                <w:color w:val="auto"/>
              </w:rPr>
            </w:pPr>
          </w:p>
        </w:tc>
      </w:tr>
      <w:tr>
        <w:trPr>
          <w:trHeight w:val="24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100" w:type="dxa"/>
            <w:vAlign w:val="bottom"/>
          </w:tcPr>
          <w:p>
            <w:pPr>
              <w:spacing w:after="0"/>
              <w:rPr>
                <w:sz w:val="20"/>
                <w:szCs w:val="20"/>
                <w:color w:val="auto"/>
              </w:rPr>
            </w:pPr>
          </w:p>
        </w:tc>
      </w:tr>
      <w:tr>
        <w:trPr>
          <w:trHeight w:val="247"/>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55,087,233</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88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969,667</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1,853,215</w:t>
            </w:r>
          </w:p>
        </w:tc>
        <w:tc>
          <w:tcPr>
            <w:tcW w:w="100" w:type="dxa"/>
            <w:vAlign w:val="bottom"/>
          </w:tcPr>
          <w:p>
            <w:pPr>
              <w:spacing w:after="0"/>
              <w:rPr>
                <w:sz w:val="20"/>
                <w:szCs w:val="20"/>
                <w:color w:val="auto"/>
              </w:rPr>
            </w:pPr>
          </w:p>
        </w:tc>
      </w:tr>
      <w:tr>
        <w:trPr>
          <w:trHeight w:val="247"/>
        </w:trPr>
        <w:tc>
          <w:tcPr>
            <w:tcW w:w="7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2,818,954</w:t>
            </w:r>
          </w:p>
        </w:tc>
        <w:tc>
          <w:tcPr>
            <w:tcW w:w="100" w:type="dxa"/>
            <w:vAlign w:val="bottom"/>
          </w:tcPr>
          <w:p>
            <w:pPr>
              <w:spacing w:after="0"/>
              <w:rPr>
                <w:sz w:val="20"/>
                <w:szCs w:val="20"/>
                <w:color w:val="auto"/>
              </w:rPr>
            </w:pPr>
          </w:p>
        </w:tc>
      </w:tr>
      <w:tr>
        <w:trPr>
          <w:trHeight w:val="247"/>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73,733,876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66,327,321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75,111,452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69,146,275</w:t>
            </w:r>
          </w:p>
        </w:tc>
        <w:tc>
          <w:tcPr>
            <w:tcW w:w="100" w:type="dxa"/>
            <w:vAlign w:val="bottom"/>
          </w:tcPr>
          <w:p>
            <w:pPr>
              <w:spacing w:after="0"/>
              <w:rPr>
                <w:sz w:val="20"/>
                <w:szCs w:val="20"/>
                <w:color w:val="auto"/>
              </w:rPr>
            </w:pPr>
          </w:p>
        </w:tc>
      </w:tr>
      <w:tr>
        <w:trPr>
          <w:trHeight w:val="23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100,000,000 shares authorized; none issued or outstanding as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2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5,340,193 and 5,340,196 shares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2022 and December 31, 2021, respectively</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346,785,322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342,676,508</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(366,810,075 )</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(334,701,399 )</w:t>
            </w:r>
          </w:p>
        </w:tc>
      </w:tr>
      <w:tr>
        <w:trPr>
          <w:trHeight w:val="20"/>
        </w:trPr>
        <w:tc>
          <w:tcPr>
            <w:tcW w:w="7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(20,024,219 )</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7,975,643</w:t>
            </w:r>
          </w:p>
        </w:tc>
        <w:tc>
          <w:tcPr>
            <w:tcW w:w="100" w:type="dxa"/>
            <w:vAlign w:val="bottom"/>
          </w:tcPr>
          <w:p>
            <w:pPr>
              <w:spacing w:after="0"/>
              <w:rPr>
                <w:sz w:val="20"/>
                <w:szCs w:val="20"/>
                <w:color w:val="auto"/>
              </w:rPr>
            </w:pPr>
          </w:p>
        </w:tc>
      </w:tr>
      <w:tr>
        <w:trPr>
          <w:trHeight w:val="277"/>
        </w:trPr>
        <w:tc>
          <w:tcPr>
            <w:tcW w:w="7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55,087,233</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-3154045</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-2193925</wp:posOffset>
            </wp:positionV>
            <wp:extent cx="7747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-1876425</wp:posOffset>
            </wp:positionV>
            <wp:extent cx="7747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-351155</wp:posOffset>
            </wp:positionV>
            <wp:extent cx="7747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14,649,087</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32,038,947</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10,582,239</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13,326,710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25,231,326</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45,365,657</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(25,231,326</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(45,365,657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7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(27,741 )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556,946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(7,406,555 )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(6,327,321 )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(32,108,676 )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(51,709,308 )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(1,803,356 )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(32,108,676 )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(49,905,952 )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spacing w:after="0"/>
              <w:rPr>
                <w:sz w:val="19"/>
                <w:szCs w:val="19"/>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(6.01 )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5,340,194</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-1945005</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-1002030</wp:posOffset>
            </wp:positionV>
            <wp:extent cx="6858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-685165</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4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4"/>
                <w:szCs w:val="14"/>
                <w:color w:val="auto"/>
              </w:rPr>
            </w:pPr>
          </w:p>
        </w:tc>
        <w:tc>
          <w:tcPr>
            <w:tcW w:w="140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4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337,457,514</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(284,795,447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52,662,601</w:t>
            </w:r>
          </w:p>
        </w:tc>
        <w:tc>
          <w:tcPr>
            <w:tcW w:w="100" w:type="dxa"/>
            <w:vAlign w:val="bottom"/>
            <w:shd w:val="clear" w:color="auto" w:fill="CFF0FC"/>
          </w:tcPr>
          <w:p>
            <w:pPr>
              <w:spacing w:after="0"/>
              <w:rPr>
                <w:sz w:val="20"/>
                <w:szCs w:val="20"/>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5,218,994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5,218,994</w:t>
            </w:r>
          </w:p>
        </w:tc>
        <w:tc>
          <w:tcPr>
            <w:tcW w:w="100" w:type="dxa"/>
            <w:vAlign w:val="bottom"/>
          </w:tcPr>
          <w:p>
            <w:pPr>
              <w:spacing w:after="0"/>
              <w:rPr>
                <w:sz w:val="20"/>
                <w:szCs w:val="20"/>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(49,905,952 )</w:t>
            </w: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(49,905,952 )</w:t>
            </w:r>
          </w:p>
        </w:tc>
      </w:tr>
      <w:tr>
        <w:trPr>
          <w:trHeight w:val="20"/>
        </w:trPr>
        <w:tc>
          <w:tcPr>
            <w:tcW w:w="40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4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342,676,508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(334,701,399 )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7,975,643</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100" w:type="dxa"/>
            <w:vAlign w:val="bottom"/>
            <w:shd w:val="clear" w:color="auto" w:fill="CFF0FC"/>
          </w:tcPr>
          <w:p>
            <w:pPr>
              <w:spacing w:after="0"/>
              <w:rPr>
                <w:sz w:val="19"/>
                <w:szCs w:val="19"/>
                <w:color w:val="auto"/>
              </w:rPr>
            </w:pPr>
          </w:p>
        </w:tc>
      </w:tr>
      <w:tr>
        <w:trPr>
          <w:trHeight w:val="21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due to the rounding impact from the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 stock split for fractional shares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14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5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(32,108,676 )</w:t>
            </w: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(32,108,676 )</w:t>
            </w:r>
          </w:p>
        </w:tc>
      </w:tr>
      <w:tr>
        <w:trPr>
          <w:trHeight w:val="20"/>
        </w:trPr>
        <w:tc>
          <w:tcPr>
            <w:tcW w:w="40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24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346,785,322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(366,810,075 )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(20,024,219 )</w:t>
            </w:r>
          </w:p>
        </w:tc>
      </w:tr>
      <w:tr>
        <w:trPr>
          <w:trHeight w:val="20"/>
        </w:trPr>
        <w:tc>
          <w:tcPr>
            <w:tcW w:w="4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-976630</wp:posOffset>
            </wp:positionV>
            <wp:extent cx="7747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-976630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-976630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-976630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-187960</wp:posOffset>
            </wp:positionV>
            <wp:extent cx="7747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(32,108,676 )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(49,905,952 )</w:t>
            </w: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380" w:type="dxa"/>
            <w:vAlign w:val="bottom"/>
          </w:tcPr>
          <w:p>
            <w:pPr>
              <w:spacing w:after="0"/>
              <w:rPr>
                <w:sz w:val="20"/>
                <w:szCs w:val="20"/>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15,200,000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tcPr>
          <w:p>
            <w:pPr>
              <w:spacing w:after="0"/>
              <w:rPr>
                <w:sz w:val="20"/>
                <w:szCs w:val="20"/>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101,786</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5,218,994</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7,406,555</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6,327,321</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taxes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(1,803,356 )</w:t>
            </w: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(3,117,218 )</w:t>
            </w:r>
          </w:p>
        </w:tc>
        <w:tc>
          <w:tcPr>
            <w:tcW w:w="6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498,242</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636,905</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(51,080 )</w:t>
            </w: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Pr>
          <w:p>
            <w:pPr>
              <w:spacing w:after="0"/>
              <w:rPr>
                <w:sz w:val="20"/>
                <w:szCs w:val="20"/>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(883,548 )</w:t>
            </w: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857,601</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(557,830 )</w:t>
            </w:r>
          </w:p>
        </w:tc>
        <w:tc>
          <w:tcPr>
            <w:tcW w:w="6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(1,087,670 )</w:t>
            </w:r>
          </w:p>
        </w:tc>
      </w:tr>
      <w:tr>
        <w:trPr>
          <w:trHeight w:val="243"/>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(111,229 )</w:t>
            </w:r>
          </w:p>
        </w:tc>
      </w:tr>
      <w:tr>
        <w:trPr>
          <w:trHeight w:val="20"/>
        </w:trPr>
        <w:tc>
          <w:tcPr>
            <w:tcW w:w="75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(24,645,143 )</w:t>
            </w:r>
          </w:p>
        </w:tc>
        <w:tc>
          <w:tcPr>
            <w:tcW w:w="6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(24,601,872 )</w:t>
            </w:r>
          </w:p>
        </w:tc>
      </w:tr>
      <w:tr>
        <w:trPr>
          <w:trHeight w:val="241"/>
        </w:trPr>
        <w:tc>
          <w:tcPr>
            <w:tcW w:w="75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equipment</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(16,326 )</w:t>
            </w:r>
          </w:p>
        </w:tc>
        <w:tc>
          <w:tcPr>
            <w:tcW w:w="6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(16,326 )</w:t>
            </w:r>
          </w:p>
        </w:tc>
        <w:tc>
          <w:tcPr>
            <w:tcW w:w="6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5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Fees paid in connection with the reverse stock split fractional shares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(5 )</w:t>
            </w:r>
          </w:p>
        </w:tc>
        <w:tc>
          <w:tcPr>
            <w:tcW w:w="6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future royalties</w:t>
            </w:r>
          </w:p>
        </w:tc>
        <w:tc>
          <w:tcPr>
            <w:tcW w:w="380" w:type="dxa"/>
            <w:vAlign w:val="bottom"/>
          </w:tcPr>
          <w:p>
            <w:pPr>
              <w:spacing w:after="0"/>
              <w:rPr>
                <w:sz w:val="20"/>
                <w:szCs w:val="20"/>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Pr>
          <w:p>
            <w:pPr>
              <w:spacing w:after="0"/>
              <w:rPr>
                <w:sz w:val="20"/>
                <w:szCs w:val="20"/>
                <w:color w:val="auto"/>
              </w:rPr>
            </w:pPr>
          </w:p>
        </w:tc>
      </w:tr>
      <w:tr>
        <w:trPr>
          <w:trHeight w:val="236"/>
        </w:trPr>
        <w:tc>
          <w:tcPr>
            <w:tcW w:w="7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(24,661,474 )</w:t>
            </w: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35,398,128</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60,855,080</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25,456,952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60,855,080</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75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2"/>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36,093,606</w:t>
            </w:r>
          </w:p>
        </w:tc>
        <w:tc>
          <w:tcPr>
            <w:tcW w:w="3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60,755,080</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60,855,080</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-3188335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-2553970</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-1602105</wp:posOffset>
            </wp:positionV>
            <wp:extent cx="6858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-976630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product candidates to treat patients suffering from central nervous system (“CNS”)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In October 2022, the Company announced that it received a refusal to file letter from the U.S. Food and Drug Administration (the “FDA”) for its New Drug Application (“NDA”) for roluperidone for the treatment of negative symptoms in schizophrenia. The Company also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further discussion of the joint development agreement with Janssen and the sale of future royalties, please refer to Note 5, Sale of Future Royalties.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2022, the Company had an accumulated deficit of approximately $366.8 million and net cash used in operating activities was approximately $24.6 million during the year ended December 31, 2022.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cash, cash equivalents, and restricted cash of $36.2 million, which it believes will be sufficient to meet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in order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December 1, 2022, the Company received a deficiency letter from Nasdaq notifying the Company that for the last 30 consecutive business days, its minimum Market Value of Listed Securities (“MVLS”) was below the minimum of $35 million required for continued listing on The Nasdaq Capital Market pursuant to Nasdaq Listing Rule 5550(b)(2). In accordance with the listing rules of Nasdaq, the Company has been provided an initial period of 180 calendar days, or until May 30, 2023, to regain compliance. If compliance is not achieved by May 30, 2023, the Company expects that Nasdaq would provide written notification that its securities are subject to delisting.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17, 2022, the Company filed a Certificate of Amendment to its Amended and Restated Certificate of Incorporation (the “Amendment”) with the Secretary of State of the State of Delaware to effect a one-for-eight (1-for-8) reverse stock split of its outstanding common stock. The Amendment became effective at 5:00 p.m. Eastern Time on June 17, 2022. A series of alternate amendments to effect a reverse stock split was approved by the Company’s stockholders at the Company’s 2022 Annual Meeting of Stockholders held on June 10, 2022, and the specific one-for-eight (1-for-8) reverse stock split was subsequently approved by the Company’s board of directors on June 10, 2022.</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the Company’s issued and outstanding common stock automatically combined into one issued and outstanding share of common stock, without any change in par value per share. The reverse stock split affected all shares of the Company’s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the Company and outstanding immediately prior to the effective time of the Amendment, which resulted in a proportionate decrease in the number of shares of the Company’s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the Company’s equity compensation plans immediately prior to the effective time of the Amendment was reduced proportionately. The reverse stock split did not affect the number of shares of common stock authorized for issuance under the Company’s Amended and Restated Certificate of Incorporation, which remained at 125,000,000 shares.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results in any stockholder owning only a fractional share). As a result of the reverse stock split, the number of the Company’s outstanding shares of common stock as of June 17, 2022 decreased from 42,721,566 (pre-split) shares to 5,340,193 (post-split) shares.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The Company’s common stock began trading on The Nasdaq Global Market on a split-adjusted basis when the market opened on June 21, 2022. Effective September 12, 2022, the Company transferred the listing of its common stock from The Nasdaq Global Market to The Nasdaq Capital Market.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December 31, 2022 and 2021.</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Refundable regulatory fee</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August 12, 2022, the Company paid $3,117,218 to the FDA for the NDA user fee related to roluperidone. The Company met the conditions of the Federal Food, Drug, and Cosmetic Act, as amended, for the small business waiver of the user fees and its request for a waiver of an application user fee was granted by the FDA on November 2, 2022. On January 26, 2023, the refund was received from the FDA.</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assets represent capitalized incomplete research projects that the Company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ind w:right="20"/>
        <w:spacing w:after="0" w:line="253" w:lineRule="auto"/>
        <w:rPr>
          <w:sz w:val="20"/>
          <w:szCs w:val="20"/>
          <w:color w:val="auto"/>
        </w:rPr>
      </w:pPr>
      <w:r>
        <w:rPr>
          <w:rFonts w:ascii="Times New Roman" w:cs="Times New Roman" w:eastAsia="Times New Roman" w:hAnsi="Times New Roman"/>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remaining useful life of the intangible asset and begin amortization. The Company tests its indefinite-lived intangibles, IPR&amp;D assets, for impairment annually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MIN-301 In-process Research and Development Asset</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2021, the Company made the strategic decision to focus its limited resources on moving forward its lead drug candidate, roluperidone, and deferred the development of MIN-301 until additional resources become available. As a result of the Company’s limited resources and development deferral combined with the overall market conditions, it recognized a non-cash charge of $15.2 million as of December 31, 2021 related to the impairment of the intangible asset for MIN-301. The Company had previously recognized in-process research and development for MIN-301 in conjunction with the acquisition of MIN-301 during 2014. No updates were made in respect of the development of MIN-301 during 2022.</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 See Note 6 for information on the Company’s performance-based restricted stock units (“PRSU”) grants.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2022 or 2021. Income tax years beginning in 2019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capitalized software in accordance with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350-40”), which provides guidance for computer software developed or obtained for internal use. The Company is required to continually evaluate the stage of the implementation process to determine whether costs are expensed or capitalized. Costs incurred during the preliminary project phase or planning and research phase are expensed as incurred. Costs incurred during the development phase, such as material and direct services costs, compensation costs of employees associated with the development and interest cost, are capitalized as incurred. Costs incurred during the post-implementation or operation phase, such as training and maintenance costs, are expensed as incurred. In addition, costs incurred to modify existing software that result in additional functionality are capitalized as incurred. Capitalized costs are amortized over the expected useful life of the asset.</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w:t>
      </w:r>
      <w:r>
        <w:rPr>
          <w:rFonts w:ascii="Times New Roman" w:cs="Times New Roman" w:eastAsia="Times New Roman" w:hAnsi="Times New Roman"/>
          <w:sz w:val="18"/>
          <w:szCs w:val="18"/>
          <w:color w:val="auto"/>
        </w:rPr>
        <w:t>. This new guidance requires a customer in a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arrangement (i.e., hosting arrangement) that is a service contract to follow the internal-use software guidance in ASC 350-40 to determine which implementation costs to capitalize as assets or expense as incurred. Also, capitalized implementation costs related to a hosting arrangement that is a service contract will be amortized over the term of the hosting arrangement, beginning when the module or component of the hosting arrangement is ready for its intended use.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FASB ASC Topic 842, Leases (“ASC 842”), the Company utilized the remaining lease term of its leases in determining the appropriate incremental borrowing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2022 and 2021.</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has a single reporting unit, which is the level that the goodwill impairment test is performed. There was no impairment of goodwill for the years ended December 31, 2022 and 2021. As of December 31, 2022, $14.9 million of goodwill was associated with a reporting unit with zero or negative carrying value. As the reporting unit had a positive fair value, there was no impairment </w:t>
      </w:r>
      <w:r>
        <w:rPr>
          <w:rFonts w:ascii="Calibri" w:cs="Calibri" w:eastAsia="Calibri" w:hAnsi="Calibri"/>
          <w:sz w:val="18"/>
          <w:szCs w:val="18"/>
          <w:color w:val="auto"/>
        </w:rPr>
        <w:t>associated</w:t>
      </w:r>
      <w:r>
        <w:rPr>
          <w:rFonts w:ascii="Times New Roman" w:cs="Times New Roman" w:eastAsia="Times New Roman" w:hAnsi="Times New Roman"/>
          <w:sz w:val="18"/>
          <w:szCs w:val="18"/>
          <w:color w:val="auto"/>
        </w:rPr>
        <w:t xml:space="preserve"> with this reporting unit.</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2" w:name="page93"/>
    <w:bookmarkEnd w:id="92"/>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cash equivalents and marketable securities as of December 31, 2022 and 2021, measured at fair value on a recurring basis and indicates the fair value hierarchy of the valuation techniques the Company utilized to determine such fair value:</w:t>
      </w: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427"/>
        </w:trPr>
        <w:tc>
          <w:tcPr>
            <w:tcW w:w="3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54,003,831</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54,003,831</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54,003,831</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54,003,831</w:t>
            </w:r>
          </w:p>
        </w:tc>
        <w:tc>
          <w:tcPr>
            <w:tcW w:w="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-868045</wp:posOffset>
            </wp:positionV>
            <wp:extent cx="77470" cy="316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31686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-868045</wp:posOffset>
            </wp:positionV>
            <wp:extent cx="68580" cy="316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-868045</wp:posOffset>
            </wp:positionV>
            <wp:extent cx="68580" cy="316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-868045</wp:posOffset>
            </wp:positionV>
            <wp:extent cx="68580" cy="557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5753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-156845</wp:posOffset>
            </wp:positionV>
            <wp:extent cx="7747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-156845</wp:posOffset>
            </wp:positionV>
            <wp:extent cx="6858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-156845</wp:posOffset>
            </wp:positionV>
            <wp:extent cx="685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1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restricted cash, accounts payable, accrued expenses and liabilities related to the sale of future royalties. The carrying amounts of cash and cash equivalents, restricted cash, accounts payable, and accrued expenses approximate fair value because of their short-term nature.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revenue recognition guidance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enters into an arrangement that meets the definition of a collaboration under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items of comprehensive loss other than its net loss for each period presented.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279,434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113,643</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407,909</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NET LOSS PER SHARE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0" w:type="dxa"/>
            <w:vAlign w:val="bottom"/>
            <w:vMerge w:val="continue"/>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-479425</wp:posOffset>
            </wp:positionV>
            <wp:extent cx="5143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per share for common stockholders: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(32,108,676</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(49,905,952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(6.01 )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(9.35 )</w:t>
            </w: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December 31, 2022 and 2021 have been excluded from the calculation of weighted average shares outstanding as their effect on the calculation of loss per share is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260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700,929</w:t>
            </w:r>
          </w:p>
        </w:tc>
        <w:tc>
          <w:tcPr>
            <w:tcW w:w="24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264,933</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48"/>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820" w:type="dxa"/>
            <w:vAlign w:val="bottom"/>
            <w:gridSpan w:val="2"/>
          </w:tcPr>
          <w:p>
            <w:pPr>
              <w:jc w:val="right"/>
              <w:ind w:right="2702"/>
              <w:spacing w:after="0"/>
              <w:rPr>
                <w:sz w:val="20"/>
                <w:szCs w:val="20"/>
                <w:color w:val="auto"/>
              </w:rPr>
            </w:pPr>
            <w:r>
              <w:rPr>
                <w:rFonts w:ascii="Times New Roman" w:cs="Times New Roman" w:eastAsia="Times New Roman" w:hAnsi="Times New Roman"/>
                <w:sz w:val="18"/>
                <w:szCs w:val="18"/>
                <w:color w:val="auto"/>
              </w:rPr>
              <w:t>F-14</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62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Debt,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December 31, 2022, the Company estimated the effective annual interest rate to be approximately 10.7%.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 Janssen is currently conducting two Phase 3 studies with seltorexant, a third Phase 3 study was discontinued during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of the Royalty Obligation since the transaction inception through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payment from the sale of future royalties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13,733,876</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73,733,876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1140" w:type="dxa"/>
            <w:vAlign w:val="bottom"/>
          </w:tcPr>
          <w:p>
            <w:pPr>
              <w:spacing w:after="0"/>
              <w:rPr>
                <w:sz w:val="24"/>
                <w:szCs w:val="24"/>
                <w:color w:val="auto"/>
              </w:rPr>
            </w:pPr>
          </w:p>
        </w:tc>
        <w:tc>
          <w:tcPr>
            <w:tcW w:w="738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F-15</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7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twelve months ended December 31, 2022, no shares of the Company’s common stock were issued or sold under the Sales Agreement. As of December 31, 2022, an aggregate of $22.6 million was eligible for sale pursuant to the Sales Agreement under the Company’s effective registration statement on Form S-3 (File No. 333-267424).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previous sales agreement with Jefferies entered into in August 2018 terminated pursuant to its terms in August 2021.</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Option Exchange Program</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11, 2021, the Company’s stockholders, upon recommendation of the board of directors of the Company, approved a one-time stock option exchange program (the “Exchange Program”) for certain employee option holders (including its named executive officers) (the “Eligible Participants”) who remained employed by the Company through the completion of the Exchange Program. The Exchange Program permitted Eligible Participants to surrender stock options issued and outstanding under the Plan granted before July 1, 2020, with a per-share exercise price of $35.76 or greater (the “Eligible Options”), in exchange for a grant of performance-based restricted stock units (“PRSUs”) that will settle in shares of the Company’s common stock upon vesting. 50% of the new PRSUs will vest upon the FDA acceptance of a new drug application for roluperidone, provided that such acceptance is not “over protest” and occurs within three years after the grant date. The remaining new PRSUs will vest upon roluperidone receiving FDA marketing approval provided that such approval occurs within five years after the grant date.</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6, 2021, the Company filed with the SEC a Tender Offer Statement on Schedule TO disclosing the terms and conditions of the Exchange Program. The Exchange Program closed on August 3, 2021. On August 6, 2021, options to purchase 953,980 shares of the Company’s common stock were exchanged for 476,640 PRSUs. Options surrendered in the Exchange Program were cancelled and shares subject to the cancelled options again became available for issuance under the Plan.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non-cash incremental stock-based compensation cost associated with the Exchange Program was $0.5 million. This incremental cost was measured as the excess of the fair value of each new PRSU, measured as of the date the new PRSUs were granted, over the fair value of the stock options surrendered in exchange for the new PRSU, measured immediately prior to the cancellation. This incremental compensation cost will be recognized when it is deemed probable that the two vesting conditions of the PRSUs will be achieved.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96" w:name="page97"/>
    <w:bookmarkEnd w:id="9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year ended December 31, 2022 is as follows:</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Terms (years)</w:t>
            </w:r>
          </w:p>
        </w:tc>
        <w:tc>
          <w:tcPr>
            <w:tcW w:w="8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264,929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December 31, 2022</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242,319</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bottom w:val="single" w:sz="8" w:color="CFF0FC"/>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-530860</wp:posOffset>
            </wp:positionV>
            <wp:extent cx="6032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6032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December 31, 2022 was $10.75 per share. Total unrecognized compensation costs related to non-vested stock options at December 31, 2022 were approximately $1.6 million and are expected to be recognized within future operating results over a weighted-average period of 2.8 years. The total intrinsic value of the options exercised during both the years ended December 31, 2022 and 2021 was zero.</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For stock options granted during the years ended December 31, 2022 and 2021, the Company utilized the following assumptions: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6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r>
      <w:tr>
        <w:trPr>
          <w:trHeight w:val="23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55"/>
              <w:spacing w:after="0"/>
              <w:rPr>
                <w:sz w:val="20"/>
                <w:szCs w:val="20"/>
                <w:color w:val="auto"/>
              </w:rPr>
            </w:pPr>
            <w:r>
              <w:rPr>
                <w:rFonts w:ascii="Times New Roman" w:cs="Times New Roman" w:eastAsia="Times New Roman" w:hAnsi="Times New Roman"/>
                <w:sz w:val="18"/>
                <w:szCs w:val="18"/>
                <w:color w:val="auto"/>
                <w:w w:val="99"/>
              </w:rPr>
              <w:t>5.5-6.25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5.5-6.25</w:t>
            </w:r>
          </w:p>
        </w:tc>
        <w:tc>
          <w:tcPr>
            <w:tcW w:w="80" w:type="dxa"/>
            <w:vAlign w:val="bottom"/>
            <w:shd w:val="clear" w:color="auto" w:fill="CFF0FC"/>
          </w:tcPr>
          <w:p>
            <w:pPr>
              <w:spacing w:after="0"/>
              <w:rPr>
                <w:sz w:val="20"/>
                <w:szCs w:val="20"/>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20"/>
                <w:szCs w:val="20"/>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8"/>
              </w:rPr>
              <w:t>1.96%-3.62%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0.86%-1.14%</w:t>
            </w:r>
          </w:p>
        </w:tc>
        <w:tc>
          <w:tcPr>
            <w:tcW w:w="80" w:type="dxa"/>
            <w:vAlign w:val="bottom"/>
          </w:tcPr>
          <w:p>
            <w:pPr>
              <w:spacing w:after="0"/>
              <w:rPr>
                <w:sz w:val="20"/>
                <w:szCs w:val="20"/>
                <w:color w:val="auto"/>
              </w:rPr>
            </w:pPr>
          </w:p>
        </w:tc>
      </w:tr>
      <w:tr>
        <w:trPr>
          <w:trHeight w:val="24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center"/>
              <w:ind w:right="55"/>
              <w:spacing w:after="0"/>
              <w:rPr>
                <w:sz w:val="20"/>
                <w:szCs w:val="20"/>
                <w:color w:val="auto"/>
              </w:rPr>
            </w:pPr>
            <w:r>
              <w:rPr>
                <w:rFonts w:ascii="Times New Roman" w:cs="Times New Roman" w:eastAsia="Times New Roman" w:hAnsi="Times New Roman"/>
                <w:sz w:val="18"/>
                <w:szCs w:val="18"/>
                <w:color w:val="auto"/>
                <w:w w:val="99"/>
              </w:rPr>
              <w:t>75%-97%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75%-97%</w:t>
            </w: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Pr>
          <w:p>
            <w:pPr>
              <w:spacing w:after="0"/>
              <w:rPr>
                <w:sz w:val="20"/>
                <w:szCs w:val="20"/>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0"/>
                <w:szCs w:val="20"/>
                <w:color w:val="auto"/>
              </w:rPr>
            </w:pPr>
          </w:p>
        </w:tc>
      </w:tr>
      <w:tr>
        <w:trPr>
          <w:trHeight w:val="24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6, 2021, the Company granted 476,640 PRSUs through the Exchange Program. The Exchange Program was treated as a Type II modification (Probable-to improbable) under ASC 718. The total PRSUs outstanding at December 31, 2022 was 456,422. 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Company is using the pre-modification stock options for determining the compensation cost related to the PRSUs as the vesting conditions remain uncertain for the new PRSUs. The total unrecognized compensation costs related to non-vested stock options at December 31, 2022 were approximately $1.0 million and are expected to be recognized within future operating results over a weighted-average period of 1.0 year. As of December 31, 2022, no PRSUs have vested and 20,218 have been cancelled.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2,007,681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2,414,040</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2,101,138</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2,804,954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5,218,994</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9"/>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80" w:type="dxa"/>
            <w:vAlign w:val="bottom"/>
            <w:gridSpan w:val="2"/>
          </w:tcPr>
          <w:p>
            <w:pPr>
              <w:jc w:val="right"/>
              <w:ind w:right="1676"/>
              <w:spacing w:after="0"/>
              <w:rPr>
                <w:sz w:val="20"/>
                <w:szCs w:val="20"/>
                <w:color w:val="auto"/>
              </w:rPr>
            </w:pPr>
            <w:r>
              <w:rPr>
                <w:rFonts w:ascii="Times New Roman" w:cs="Times New Roman" w:eastAsia="Times New Roman" w:hAnsi="Times New Roman"/>
                <w:sz w:val="18"/>
                <w:szCs w:val="18"/>
                <w:color w:val="auto"/>
              </w:rPr>
              <w:t>F-17</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-513715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-496570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foreign and state income taxes for the years ended December 31, 2022 and 2021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0"/>
        </w:trPr>
        <w:tc>
          <w:tcPr>
            <w:tcW w:w="114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140" w:type="dxa"/>
            <w:vAlign w:val="bottom"/>
          </w:tcPr>
          <w:p>
            <w:pPr>
              <w:spacing w:after="0"/>
              <w:rPr>
                <w:sz w:val="21"/>
                <w:szCs w:val="21"/>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140" w:type="dxa"/>
            <w:vAlign w:val="bottom"/>
          </w:tcPr>
          <w:p>
            <w:pPr>
              <w:spacing w:after="0"/>
              <w:rPr>
                <w:sz w:val="21"/>
                <w:szCs w:val="21"/>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(638,400 )</w:t>
            </w:r>
          </w:p>
        </w:tc>
      </w:tr>
      <w:tr>
        <w:trPr>
          <w:trHeight w:val="247"/>
        </w:trPr>
        <w:tc>
          <w:tcPr>
            <w:tcW w:w="1140" w:type="dxa"/>
            <w:vAlign w:val="bottom"/>
          </w:tcPr>
          <w:p>
            <w:pPr>
              <w:spacing w:after="0"/>
              <w:rPr>
                <w:sz w:val="21"/>
                <w:szCs w:val="21"/>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1140" w:type="dxa"/>
            <w:vAlign w:val="bottom"/>
          </w:tcPr>
          <w:p>
            <w:pPr>
              <w:spacing w:after="0"/>
              <w:rPr>
                <w:sz w:val="22"/>
                <w:szCs w:val="22"/>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(1,164,956 )</w:t>
            </w:r>
          </w:p>
        </w:tc>
      </w:tr>
      <w:tr>
        <w:trPr>
          <w:trHeight w:val="283"/>
        </w:trPr>
        <w:tc>
          <w:tcPr>
            <w:tcW w:w="1140" w:type="dxa"/>
            <w:vAlign w:val="bottom"/>
          </w:tcPr>
          <w:p>
            <w:pPr>
              <w:spacing w:after="0"/>
              <w:rPr>
                <w:sz w:val="24"/>
                <w:szCs w:val="24"/>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(1,803,356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8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 (liabilities) as of December 31, 2022 and 2021 consist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26,695,408</w:t>
            </w:r>
          </w:p>
        </w:tc>
        <w:tc>
          <w:tcPr>
            <w:tcW w:w="22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19,129,605</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29,527,069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30,884,326</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10,038,836</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8,947,268</w:t>
            </w: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start-up and license costs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3,559,272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4,122,178</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 of royalties</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20,144,095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18,120,624</w:t>
            </w: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90,109,795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81,350,488</w:t>
            </w:r>
          </w:p>
        </w:tc>
        <w:tc>
          <w:tcPr>
            <w:tcW w:w="80" w:type="dxa"/>
            <w:vAlign w:val="bottom"/>
            <w:shd w:val="clear" w:color="auto" w:fill="CFF0FC"/>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(90,108,904 )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(81,350,488 )</w:t>
            </w:r>
          </w:p>
        </w:tc>
      </w:tr>
      <w:tr>
        <w:trPr>
          <w:trHeight w:val="241"/>
        </w:trPr>
        <w:tc>
          <w:tcPr>
            <w:tcW w:w="1140" w:type="dxa"/>
            <w:vAlign w:val="bottom"/>
          </w:tcPr>
          <w:p>
            <w:pPr>
              <w:spacing w:after="0"/>
              <w:rPr>
                <w:sz w:val="20"/>
                <w:szCs w:val="20"/>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2"/>
        </w:trPr>
        <w:tc>
          <w:tcPr>
            <w:tcW w:w="114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11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(891 )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140" w:type="dxa"/>
            <w:vAlign w:val="bottom"/>
          </w:tcPr>
          <w:p>
            <w:pPr>
              <w:spacing w:after="0"/>
              <w:rPr>
                <w:sz w:val="20"/>
                <w:szCs w:val="20"/>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-3308350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-3291205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-3308350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-3291205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-822325</wp:posOffset>
            </wp:positionV>
            <wp:extent cx="6032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-822325</wp:posOffset>
            </wp:positionV>
            <wp:extent cx="51435"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for the years ended December 31, 2022 and 2021 are as follows:</w:t>
      </w:r>
    </w:p>
    <w:p>
      <w:pPr>
        <w:spacing w:after="0" w:line="9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(0.08 %)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5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(20.92 %)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(17.22 %)</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-179705</wp:posOffset>
            </wp:positionV>
            <wp:extent cx="5700395"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increased by approximately $8.8 million and $10.3 million during the years ended December 31, 2022 and 2021, respectively.</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98" w:name="page99"/>
    <w:bookmarkEnd w:id="98"/>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approximately $98.0 million of federal net operating losses that will begin to expire in 2030. Of the total federal net operating loss, approximately $76.6 million has an unlimited carryforward and therefore will not expire. As of December 31, 2022, the Company had approximately $7.7 million of New Jersey and approximately $86.7 million of Massachusetts operating losses that will begin to expire in 2029 and 2037, respectively. As of December 31, 2022, the Company had approximately $0.1 million of federal research and development credits that will begin to expire in 2027.</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2018 to present.</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no liability recorded for unrecognized tax benefit. The Company classifies penalties and interest expense related to income tax liabilities as an income tax expense. There were no interest and penalties recognized in the statements of operations for the years ended December 31, 2022 and 2021, or accrued on the balance sheets as of December 31,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10, for the Company’s current lease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5, 2021, the Company entered into an office lease agreement with BP Reservoir Place to lease approximately 5,923 rentable square feet of office space located at 1601 Trapelo Road, Waltham, MA 02451. The term of the lease agreement began on August 1, 2021 and expired on July 31, 2022, with an annual rate of $239,881.50 payable in equal monthly installments. The Company has elected to not recognize the lease agreement on the balance sheet as the term of the agreement is 12 months or less. The total operating lease costs during the twelve months ended December 31, 2022 were $139,931.</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approximately 491 rentable square feet of office space located at 1500 District Avenue, Burlington, MA 01803. The lease is on a month-to-month basis commencing on February 1, 2023, with a monthly payment of $8,290. The term of the previous lease for this space began on July 15, 2022 and expired on January 31, 2023, with a monthly rate of $7,533. The Company has elected to not recognize the lease agreement on the balance sheet as the term of the agreement is 12 months or less. The total operating lease costs during the twelve months ended December 31, 2022 were $41,796.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 as of December 31, 2022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Future Operating Lease Payments</w:t>
            </w: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08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 at December 31, 2022</w:t>
            </w:r>
          </w:p>
        </w:tc>
        <w:tc>
          <w:tcPr>
            <w:tcW w:w="318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gridSpan w:val="3"/>
          </w:tcPr>
          <w:p>
            <w:pPr>
              <w:jc w:val="right"/>
              <w:ind w:right="2670"/>
              <w:spacing w:after="0"/>
              <w:rPr>
                <w:sz w:val="20"/>
                <w:szCs w:val="20"/>
                <w:color w:val="auto"/>
              </w:rPr>
            </w:pPr>
            <w:r>
              <w:rPr>
                <w:rFonts w:ascii="Times New Roman" w:cs="Times New Roman" w:eastAsia="Times New Roman" w:hAnsi="Times New Roman"/>
                <w:sz w:val="18"/>
                <w:szCs w:val="18"/>
                <w:color w:val="auto"/>
              </w:rPr>
              <w:t>F-19</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17"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2022. Based on the evaluation of our disclosure controls and procedures as of December 31, 2022,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2022,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2022,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the Securities and Exchange Commission adopted amendments to the accelerated filer and large accelerated filer definitions on March 12, 2020. Following the adoption of the amendments, smaller reporting companies with less than $100 million in revenues will continue to be required to establish and maintain effective internal control over financial reporting (“ICFR”) but, will no longer be required to obtain a separate attestation of their ICFR from an outside auditor.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fourth quarter that would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March 6, 2023, our Board of Directors, upon recommendation by the Compensation Committee thereof, adopted certain changes to the employment arrangement with Remy Luthringer, our Chief Executive Officer, to be effective immediately, pursuant to a Second Amendment (the “Employment Agreement Amendment”) to that certain Employment Agreement by and between Mind-NRG SARL, a wholly-owned subsidiary of the Company, and Dr. Luthringer, dated as of August 1, 2016 and as amended December 13, 2022. The Employment Agreement Amendment provides that, upon termination of Dr. Luthringer’s employment under certain circumstances, Dr. Luthringer shall be entitled to, among other things, a pro-rata portion of his annual bonus, assuming an annual bonus equal to 55% of Dr. Luthringer’s base salary, subject to terms and conditions thereof. The foregoing description of the Employment Agreement Amendment is qualified in its entirety by reference to the full text of the Employment Agreement Amendment, which is filed as an Exhibit to this Annual Report on Form 10-K and is incorporated by reference herein.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02" w:name="page103"/>
    <w:bookmarkEnd w:id="10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10 will be contained in the sections entitled “Election of Directors,” “Corporate Governance” and “Section 16(a) Beneficial Ownership Reporting Compliance” appearing in the definitive proxy statement we will file in connection with our 2023 Annual Meeting of Stockholders and is incorporated by reference herein. The information required by this item relating to executive officers may be found in Part I, Item 1 of this report under the heading “Business—Executive Officers”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the sections entitled “Executive and Director Compensation,” “Executive and Director Compensation—Compensation Committee Interlocks and Insider Participation” and “Executive and Director Compensation—Compensation Committee Report” appearing in the definitive proxy statement we will file in connection with our 2023 Annual Meeting of Stockholders and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the sections entitled “Ownership of Our Common Stock” and “Executive and Director Compensation—Equity Compensation Plan Information” appearing in the definitive proxy statement we will file in connection with our 2023 Annual Meeting of Stockholders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 and Director Independence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the sections entitled “Certain Relationships and Related Person Transactions” appearing in the definitive proxy statement we will file in connection with our 2023 Annual Meeting of Stockholders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the section entitled “Corporate Governance—Principal Accountant Fees and Services” appearing in the definitive proxy statement we will file in connection with our 2023 Annual Meeting of Stockholders and is incorporated by reference herein.</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103" w:name="page104"/>
    <w:bookmarkEnd w:id="103"/>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Form 10-K.</w:t>
      </w:r>
    </w:p>
    <w:p>
      <w:pPr>
        <w:spacing w:after="0" w:line="117" w:lineRule="exact"/>
        <w:rPr>
          <w:rFonts w:ascii="Times New Roman" w:cs="Times New Roman" w:eastAsia="Times New Roman" w:hAnsi="Times New Roman"/>
          <w:sz w:val="18"/>
          <w:szCs w:val="18"/>
          <w:color w:val="auto"/>
        </w:rPr>
      </w:pPr>
    </w:p>
    <w:p>
      <w:pPr>
        <w:ind w:left="560" w:hanging="297"/>
        <w:spacing w:after="0"/>
        <w:tabs>
          <w:tab w:leader="none" w:pos="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2022 and 2021</w:t>
      </w:r>
    </w:p>
    <w:p>
      <w:pPr>
        <w:spacing w:after="0" w:line="117" w:lineRule="exact"/>
        <w:rPr>
          <w:sz w:val="20"/>
          <w:szCs w:val="20"/>
          <w:color w:val="auto"/>
        </w:rPr>
      </w:pPr>
    </w:p>
    <w:p>
      <w:pPr>
        <w:ind w:left="520" w:right="1779"/>
        <w:spacing w:after="0" w:line="375" w:lineRule="auto"/>
        <w:rPr>
          <w:sz w:val="20"/>
          <w:szCs w:val="20"/>
          <w:color w:val="auto"/>
        </w:rPr>
      </w:pPr>
      <w:r>
        <w:rPr>
          <w:rFonts w:ascii="Times New Roman" w:cs="Times New Roman" w:eastAsia="Times New Roman" w:hAnsi="Times New Roman"/>
          <w:sz w:val="18"/>
          <w:szCs w:val="18"/>
          <w:color w:val="auto"/>
        </w:rPr>
        <w:t>Consolidated Statements of Stockholders’ (Deficit) Equity for the Years Ended December 31, 2022 and 2021 Consolidated Statements of Cash Flows for the Years Ended December 31, 2022 and 2021 Notes to Consolidated Financial Statements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Schedules have been omitted as all required information has been disclosed in the financial statements and related footnotes.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 Exhibits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or are incorporated herein by reference.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3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1"/>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Certificate of Incorporation of the</w:t>
              </w:r>
            </w:hyperlink>
          </w:p>
        </w:tc>
        <w:tc>
          <w:tcPr>
            <w:tcW w:w="1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Certificate of Amendment to Amended and Restated</w:t>
              </w:r>
            </w:hyperlink>
          </w:p>
        </w:tc>
        <w:tc>
          <w:tcPr>
            <w:tcW w:w="50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Certificate of Incorporation of the 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Amended and Restated Bylaws of the Registrant</w:t>
              </w:r>
            </w:hyperlink>
          </w:p>
        </w:tc>
        <w:tc>
          <w:tcPr>
            <w:tcW w:w="84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1760" w:type="dxa"/>
            <w:vAlign w:val="bottom"/>
            <w:gridSpan w:val="2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Description of Securities Registered Pursuant to Section 12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of the Securities Exchange Act of 1934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39"/>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Share Purchase Agreement between the Registrant, Mind-</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NRG SA and Various Shareholders dated as of February</w:t>
              </w:r>
            </w:hyperlink>
          </w:p>
        </w:tc>
        <w:tc>
          <w:tcPr>
            <w:tcW w:w="40" w:type="dxa"/>
            <w:vAlign w:val="bottom"/>
            <w:tcBorders>
              <w:top w:val="single" w:sz="8" w:color="0000FF"/>
            </w:tcBorders>
            <w:gridSpan w:val="2"/>
          </w:tcPr>
          <w:p>
            <w:pPr>
              <w:spacing w:after="0"/>
              <w:rPr>
                <w:sz w:val="17"/>
                <w:szCs w:val="17"/>
                <w:color w:val="auto"/>
              </w:rPr>
            </w:pPr>
          </w:p>
        </w:tc>
        <w:tc>
          <w:tcPr>
            <w:tcW w:w="1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760" w:type="dxa"/>
            <w:vAlign w:val="bottom"/>
            <w:gridSpan w:val="3"/>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11, 2014</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Indemnification Agreement between the Registrant</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and each of its directors and executive officers</w:t>
              </w:r>
            </w:hyperlink>
          </w:p>
        </w:tc>
        <w:tc>
          <w:tcPr>
            <w:tcW w:w="9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License Agreement between Mitsubishi Pharma</w:t>
              </w:r>
            </w:hyperlink>
          </w:p>
        </w:tc>
        <w:tc>
          <w:tcPr>
            <w:tcW w:w="84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Corporation and the Registrant f/k/a Cyrenaic</w:t>
              </w:r>
            </w:hyperlink>
          </w:p>
        </w:tc>
        <w:tc>
          <w:tcPr>
            <w:tcW w:w="100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Pharmaceuticals, Inc., dated as of August 30, 2007</w:t>
              </w:r>
            </w:hyperlink>
          </w:p>
        </w:tc>
        <w:tc>
          <w:tcPr>
            <w:tcW w:w="20" w:type="dxa"/>
            <w:vAlign w:val="bottom"/>
            <w:tcBorders>
              <w:bottom w:val="single" w:sz="8" w:color="0000EE"/>
            </w:tcBorders>
          </w:tcPr>
          <w:p>
            <w:pPr>
              <w:spacing w:after="0"/>
              <w:rPr>
                <w:sz w:val="17"/>
                <w:szCs w:val="17"/>
                <w:color w:val="auto"/>
              </w:rPr>
            </w:pPr>
          </w:p>
        </w:tc>
        <w:tc>
          <w:tcPr>
            <w:tcW w:w="6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Amendment to License Agreement between Mitsubishi</w:t>
              </w:r>
            </w:hyperlink>
          </w:p>
        </w:tc>
        <w:tc>
          <w:tcPr>
            <w:tcW w:w="3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Tanabe Pharma Corporation and the Registrant f/k/a</w:t>
              </w:r>
            </w:hyperlink>
          </w:p>
        </w:tc>
        <w:tc>
          <w:tcPr>
            <w:tcW w:w="54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Cyrenaic Pharmaceuticals, Inc., dated as of June 16, 2011</w:t>
              </w:r>
            </w:hyperlink>
          </w:p>
        </w:tc>
        <w:tc>
          <w:tcPr>
            <w:tcW w:w="1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Second Amendment to License Agreement between</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Mitsubishi Tanabe Pharma Corporation and the Registrant,</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dated as of January 20, 2014</w:t>
              </w:r>
            </w:hyperlink>
          </w:p>
        </w:tc>
        <w:tc>
          <w:tcPr>
            <w:tcW w:w="228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License Agreement between Mitsubishi Tanabe Pharma</w:t>
              </w:r>
            </w:hyperlink>
          </w:p>
        </w:tc>
        <w:tc>
          <w:tcPr>
            <w:tcW w:w="28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Corporation and the Registrant as successor in interest to</w:t>
              </w:r>
            </w:hyperlink>
          </w:p>
        </w:tc>
        <w:tc>
          <w:tcPr>
            <w:tcW w:w="2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Sonkei Pharmaceuticals, Inc., dated as of September 1,</w:t>
              </w:r>
            </w:hyperlink>
          </w:p>
        </w:tc>
        <w:tc>
          <w:tcPr>
            <w:tcW w:w="3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09">
              <w:r>
                <w:rPr>
                  <w:rFonts w:ascii="Times New Roman" w:cs="Times New Roman" w:eastAsia="Times New Roman" w:hAnsi="Times New Roman"/>
                  <w:sz w:val="18"/>
                  <w:szCs w:val="18"/>
                  <w:color w:val="0000FF"/>
                  <w:w w:val="94"/>
                </w:rPr>
                <w:t>2008</w:t>
              </w:r>
            </w:hyperlink>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Amendment to License Agreement between Mitsubishi</w:t>
              </w:r>
            </w:hyperlink>
          </w:p>
        </w:tc>
        <w:tc>
          <w:tcPr>
            <w:tcW w:w="3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Tanabe Pharma Corporation and the Registrant, dated as of</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January 20, 2014</w:t>
              </w:r>
            </w:hyperlink>
          </w:p>
        </w:tc>
        <w:tc>
          <w:tcPr>
            <w:tcW w:w="20" w:type="dxa"/>
            <w:vAlign w:val="bottom"/>
            <w:tcBorders>
              <w:bottom w:val="single" w:sz="8" w:color="0000EE"/>
            </w:tcBorders>
          </w:tcPr>
          <w:p>
            <w:pPr>
              <w:spacing w:after="0"/>
              <w:rPr>
                <w:sz w:val="17"/>
                <w:szCs w:val="17"/>
                <w:color w:val="auto"/>
              </w:rPr>
            </w:pPr>
          </w:p>
        </w:tc>
        <w:tc>
          <w:tcPr>
            <w:tcW w:w="3080" w:type="dxa"/>
            <w:vAlign w:val="bottom"/>
            <w:gridSpan w:val="3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Co-Development and License Agreement between Janssen</w:t>
              </w:r>
            </w:hyperlink>
          </w:p>
        </w:tc>
        <w:tc>
          <w:tcPr>
            <w:tcW w:w="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Pharmaceutica, N.V. and the Registrant, dated as of</w:t>
              </w:r>
            </w:hyperlink>
          </w:p>
        </w:tc>
        <w:tc>
          <w:tcPr>
            <w:tcW w:w="60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February 13, 2014</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Securities Purchase Agreement between certain</w:t>
              </w:r>
            </w:hyperlink>
          </w:p>
        </w:tc>
        <w:tc>
          <w:tcPr>
            <w:tcW w:w="2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investors referenced therein and the Registrant, dated as of</w:t>
              </w:r>
            </w:hyperlink>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March 13, 2015</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Registration Rights Agreement between certain</w:t>
              </w:r>
            </w:hyperlink>
          </w:p>
        </w:tc>
        <w:tc>
          <w:tcPr>
            <w:tcW w:w="2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investors referenced therein and the Registrant, dated as of</w:t>
              </w:r>
            </w:hyperlink>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March 13, 2015</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Second Amendment to License Agreement between</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Mitsubishi Tanabe Pharma Corporation and the Registrant,</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dated as of April 21, 2015</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2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Amended and Restated Non-Employee Director</w:t>
              </w:r>
            </w:hyperlink>
          </w:p>
        </w:tc>
        <w:tc>
          <w:tcPr>
            <w:tcW w:w="480" w:type="dxa"/>
            <w:vAlign w:val="bottom"/>
            <w:gridSpan w:val="7"/>
          </w:tcPr>
          <w:p>
            <w:pPr>
              <w:spacing w:after="0"/>
              <w:rPr>
                <w:sz w:val="24"/>
                <w:szCs w:val="24"/>
                <w:color w:val="auto"/>
              </w:rPr>
            </w:pPr>
          </w:p>
        </w:tc>
        <w:tc>
          <w:tcPr>
            <w:tcW w:w="3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2018</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Compensation Plan</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8"/>
            <w:shd w:val="clear" w:color="auto" w:fill="0000FF"/>
          </w:tcPr>
          <w:p>
            <w:pPr>
              <w:spacing w:after="0" w:line="20" w:lineRule="exact"/>
              <w:rPr>
                <w:sz w:val="1"/>
                <w:szCs w:val="1"/>
                <w:color w:val="auto"/>
              </w:rPr>
            </w:pPr>
          </w:p>
        </w:tc>
        <w:tc>
          <w:tcPr>
            <w:tcW w:w="2560" w:type="dxa"/>
            <w:vAlign w:val="bottom"/>
            <w:gridSpan w:val="17"/>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Common Stock Purchase Agreement, dated March 17,</w:t>
              </w:r>
            </w:hyperlink>
          </w:p>
        </w:tc>
        <w:tc>
          <w:tcPr>
            <w:tcW w:w="3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2016, by and between David Kupfer and the 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80" w:type="dxa"/>
            <w:vAlign w:val="bottom"/>
            <w:gridSpan w:val="3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0"/>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Employment Agreement, dated as of August 1, 2016, by</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and between Mind-NRG SARL and Dr. Remy Luthringer</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24"/>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Employment Agreement, dated as of August 1, 2016, by</w:t>
              </w:r>
            </w:hyperlink>
          </w:p>
        </w:tc>
        <w:tc>
          <w:tcPr>
            <w:tcW w:w="40" w:type="dxa"/>
            <w:vAlign w:val="bottom"/>
            <w:tcBorders>
              <w:top w:val="single" w:sz="8" w:color="0000FF"/>
              <w:bottom w:val="single" w:sz="8" w:color="0000FF"/>
            </w:tcBorders>
          </w:tcPr>
          <w:p>
            <w:pPr>
              <w:spacing w:after="0"/>
              <w:rPr>
                <w:sz w:val="24"/>
                <w:szCs w:val="24"/>
                <w:color w:val="auto"/>
              </w:rPr>
            </w:pPr>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and between Mind-NRG SARL and Geoffrey Race</w:t>
              </w:r>
            </w:hyperlink>
          </w:p>
        </w:tc>
        <w:tc>
          <w:tcPr>
            <w:tcW w:w="62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Employment Agreement, dated as of August 1, 2016, by</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and between the Registrant and Frederick Ahlholm</w:t>
              </w:r>
            </w:hyperlink>
          </w:p>
        </w:tc>
        <w:tc>
          <w:tcPr>
            <w:tcW w:w="20" w:type="dxa"/>
            <w:vAlign w:val="bottom"/>
            <w:tcBorders>
              <w:bottom w:val="single" w:sz="8" w:color="0000EE"/>
            </w:tcBorders>
          </w:tcPr>
          <w:p>
            <w:pPr>
              <w:spacing w:after="0"/>
              <w:rPr>
                <w:sz w:val="17"/>
                <w:szCs w:val="17"/>
                <w:color w:val="auto"/>
              </w:rPr>
            </w:pPr>
          </w:p>
        </w:tc>
        <w:tc>
          <w:tcPr>
            <w:tcW w:w="64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Employment Agreement, dated as of August 1, 2016, by</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and between the Registrant and Joseph Reilly</w:t>
              </w:r>
            </w:hyperlink>
          </w:p>
        </w:tc>
        <w:tc>
          <w:tcPr>
            <w:tcW w:w="20" w:type="dxa"/>
            <w:vAlign w:val="bottom"/>
            <w:tcBorders>
              <w:bottom w:val="single" w:sz="8" w:color="0000EE"/>
            </w:tcBorders>
          </w:tcPr>
          <w:p>
            <w:pPr>
              <w:spacing w:after="0"/>
              <w:rPr>
                <w:sz w:val="17"/>
                <w:szCs w:val="17"/>
                <w:color w:val="auto"/>
              </w:rPr>
            </w:pPr>
          </w:p>
        </w:tc>
        <w:tc>
          <w:tcPr>
            <w:tcW w:w="104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Restricted Stock Unit Agreement under the</w:t>
              </w:r>
            </w:hyperlink>
          </w:p>
        </w:tc>
        <w:tc>
          <w:tcPr>
            <w:tcW w:w="54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Amended and Restated 2013 Equity Incentive Plan of the</w:t>
              </w:r>
            </w:hyperlink>
          </w:p>
        </w:tc>
        <w:tc>
          <w:tcPr>
            <w:tcW w:w="1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Option Grant Agreement under the Amended and</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2017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Restated 2013 Equity Incentive Plan</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Amendment No. 1 to Co-Development and License</w:t>
              </w:r>
            </w:hyperlink>
          </w:p>
        </w:tc>
        <w:tc>
          <w:tcPr>
            <w:tcW w:w="58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14, 2017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Agreement dated June 13, 2017, by and between the</w:t>
              </w:r>
            </w:hyperlink>
          </w:p>
        </w:tc>
        <w:tc>
          <w:tcPr>
            <w:tcW w:w="52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Registrant and Janssen Pharmaceutica NV</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1"/>
                <w:szCs w:val="21"/>
                <w:color w:val="auto"/>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Commercial Supply Agreement by and between the</w:t>
              </w:r>
            </w:hyperlink>
          </w:p>
        </w:tc>
        <w:tc>
          <w:tcPr>
            <w:tcW w:w="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Registrant and Catalent Germany Schorndorf GmbH, dated</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September 18, 2019</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Open Market Sale Agreement, dated as of September 14,</w:t>
              </w:r>
            </w:hyperlink>
          </w:p>
        </w:tc>
        <w:tc>
          <w:tcPr>
            <w:tcW w:w="1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333-267424</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2022, by and between the Registrant and Jefferies LLC</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8"/>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Settlement Agreement, dated as of June 24, 2020, by and</w:t>
              </w:r>
            </w:hyperlink>
          </w:p>
        </w:tc>
        <w:tc>
          <w:tcPr>
            <w:tcW w:w="1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between the Registrant and Janssen Pharmaceutica, N.V.</w:t>
              </w:r>
            </w:hyperlink>
          </w:p>
        </w:tc>
        <w:tc>
          <w:tcPr>
            <w:tcW w:w="26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Amended and Restated 2013 Equity Incentive Plan</w:t>
              </w:r>
            </w:hyperlink>
          </w:p>
        </w:tc>
        <w:tc>
          <w:tcPr>
            <w:tcW w:w="20" w:type="dxa"/>
            <w:vAlign w:val="bottom"/>
            <w:tcBorders>
              <w:bottom w:val="single" w:sz="8" w:color="0000EE"/>
            </w:tcBorders>
          </w:tcPr>
          <w:p>
            <w:pPr>
              <w:spacing w:after="0"/>
              <w:rPr>
                <w:sz w:val="24"/>
                <w:szCs w:val="24"/>
                <w:color w:val="auto"/>
              </w:rPr>
            </w:pPr>
          </w:p>
        </w:tc>
        <w:tc>
          <w:tcPr>
            <w:tcW w:w="64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Royalty Purchase Agreement, dated as of January 15, 2021,</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by and between the Registrant and RPI 2019 Intermediate</w:t>
              </w:r>
            </w:hyperlink>
          </w:p>
        </w:tc>
        <w:tc>
          <w:tcPr>
            <w:tcW w:w="1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Finance Trust (redacted)</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Remy Luthringer Supplemental Retention Benefits Letter</w:t>
              </w:r>
            </w:hyperlink>
          </w:p>
        </w:tc>
        <w:tc>
          <w:tcPr>
            <w:tcW w:w="1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Agreement (redacted)</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First Amendment to the Employment Agreement of Geoff</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Race by and between Mind-NRG SARL and Geoff Race,</w:t>
              </w:r>
            </w:hyperlink>
          </w:p>
        </w:tc>
        <w:tc>
          <w:tcPr>
            <w:tcW w:w="1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232">
              <w:r>
                <w:rPr>
                  <w:rFonts w:ascii="Times New Roman" w:cs="Times New Roman" w:eastAsia="Times New Roman" w:hAnsi="Times New Roman"/>
                  <w:sz w:val="18"/>
                  <w:szCs w:val="18"/>
                  <w:color w:val="0000FF"/>
                  <w:w w:val="98"/>
                </w:rPr>
                <w:t>effective October 11, 2021</w:t>
              </w:r>
            </w:hyperlink>
          </w:p>
        </w:tc>
        <w:tc>
          <w:tcPr>
            <w:tcW w:w="20" w:type="dxa"/>
            <w:vAlign w:val="bottom"/>
            <w:tcBorders>
              <w:bottom w:val="single" w:sz="8" w:color="0000EE"/>
            </w:tcBorders>
          </w:tcPr>
          <w:p>
            <w:pPr>
              <w:spacing w:after="0"/>
              <w:rPr>
                <w:sz w:val="17"/>
                <w:szCs w:val="17"/>
                <w:color w:val="auto"/>
              </w:rPr>
            </w:pPr>
          </w:p>
        </w:tc>
        <w:tc>
          <w:tcPr>
            <w:tcW w:w="2400" w:type="dxa"/>
            <w:vAlign w:val="bottom"/>
            <w:gridSpan w:val="2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Employment Agreement by and</w:t>
              </w:r>
            </w:hyperlink>
          </w:p>
        </w:tc>
        <w:tc>
          <w:tcPr>
            <w:tcW w:w="28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between Minerva Neurosciences, Inc. and Frederick</w:t>
              </w:r>
            </w:hyperlink>
          </w:p>
        </w:tc>
        <w:tc>
          <w:tcPr>
            <w:tcW w:w="5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2"/>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Ahlholm, effective October 11, 2021</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First Amendment to the Employment Agreement of Remy</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13,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Luthringer by and between Mind-NRG SARL and Remy</w:t>
              </w:r>
            </w:hyperlink>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Luthringer, effective December 13, 2022</w:t>
              </w:r>
            </w:hyperlink>
          </w:p>
        </w:tc>
        <w:tc>
          <w:tcPr>
            <w:tcW w:w="20" w:type="dxa"/>
            <w:vAlign w:val="bottom"/>
            <w:tcBorders>
              <w:bottom w:val="single" w:sz="8" w:color="0000EE"/>
            </w:tcBorders>
          </w:tcPr>
          <w:p>
            <w:pPr>
              <w:spacing w:after="0"/>
              <w:rPr>
                <w:sz w:val="17"/>
                <w:szCs w:val="17"/>
                <w:color w:val="auto"/>
              </w:rPr>
            </w:pPr>
          </w:p>
        </w:tc>
        <w:tc>
          <w:tcPr>
            <w:tcW w:w="13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Second Amendment to the Employment Agreement of</w:t>
            </w:r>
          </w:p>
        </w:tc>
        <w:tc>
          <w:tcPr>
            <w:tcW w:w="36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Remy Luthringer by and between Mind-NRG SARL and</w:t>
            </w:r>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Remy Luthringer, effective March 6, 2023</w:t>
            </w:r>
          </w:p>
        </w:tc>
        <w:tc>
          <w:tcPr>
            <w:tcW w:w="128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32"/>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List of Subsidiaries</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80" w:type="dxa"/>
            <w:vAlign w:val="bottom"/>
            <w:gridSpan w:val="11"/>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1"/>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0" w:type="dxa"/>
            <w:vAlign w:val="bottom"/>
            <w:tcBorders>
              <w:bottom w:val="single" w:sz="8" w:color="0000EE"/>
            </w:tcBorders>
          </w:tcPr>
          <w:p>
            <w:pPr>
              <w:spacing w:after="0"/>
              <w:rPr>
                <w:sz w:val="17"/>
                <w:szCs w:val="17"/>
                <w:color w:val="auto"/>
              </w:rPr>
            </w:pPr>
          </w:p>
        </w:tc>
        <w:tc>
          <w:tcPr>
            <w:tcW w:w="268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w:t>
            </w:r>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Report on Form 10-K)</w:t>
            </w:r>
          </w:p>
        </w:tc>
        <w:tc>
          <w:tcPr>
            <w:tcW w:w="21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 pursuant to Section 302 of Sarbanes-</w:t>
            </w:r>
          </w:p>
        </w:tc>
        <w:tc>
          <w:tcPr>
            <w:tcW w:w="3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(Principal Financial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and Chief Financial Officer (Principal</w:t>
            </w:r>
          </w:p>
        </w:tc>
        <w:tc>
          <w:tcPr>
            <w:tcW w:w="1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Section 906 of Sarbanes-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by the Securities and Exchange Commission as to certain portions of this document.</w:t>
      </w:r>
    </w:p>
    <w:p>
      <w:pPr>
        <w:spacing w:after="0" w:line="117" w:lineRule="exact"/>
        <w:rPr>
          <w:sz w:val="20"/>
          <w:szCs w:val="20"/>
          <w:color w:val="auto"/>
        </w:rPr>
      </w:pPr>
    </w:p>
    <w:p>
      <w:pPr>
        <w:ind w:right="80" w:firstLine="8"/>
        <w:spacing w:after="0" w:line="266" w:lineRule="auto"/>
        <w:tabs>
          <w:tab w:leader="none" w:pos="2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6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3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-127635</wp:posOffset>
            </wp:positionV>
            <wp:extent cx="25285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Remy Luthringer, Ph.D.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Frederick Ahlholm,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1"/>
                <w:szCs w:val="21"/>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8"/>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c>
          <w:tcPr>
            <w:tcW w:w="240" w:type="dxa"/>
            <w:vAlign w:val="bottom"/>
          </w:tcPr>
          <w:p>
            <w:pPr>
              <w:spacing w:after="0"/>
              <w:rPr>
                <w:sz w:val="17"/>
                <w:szCs w:val="17"/>
                <w:color w:val="auto"/>
              </w:rPr>
            </w:pPr>
          </w:p>
        </w:tc>
        <w:tc>
          <w:tcPr>
            <w:tcW w:w="3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Executive Chairman and</w:t>
            </w: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5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240" w:type="dxa"/>
            <w:vAlign w:val="bottom"/>
          </w:tcPr>
          <w:p>
            <w:pPr>
              <w:spacing w:after="0"/>
              <w:rPr>
                <w:sz w:val="15"/>
                <w:szCs w:val="15"/>
                <w:color w:val="auto"/>
              </w:rPr>
            </w:pPr>
          </w:p>
        </w:tc>
        <w:tc>
          <w:tcPr>
            <w:tcW w:w="3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Remy Luthringer, Ph.D.</w:t>
            </w:r>
          </w:p>
        </w:tc>
        <w:tc>
          <w:tcPr>
            <w:tcW w:w="240" w:type="dxa"/>
            <w:vAlign w:val="bottom"/>
          </w:tcPr>
          <w:p>
            <w:pPr>
              <w:spacing w:after="0"/>
              <w:rPr>
                <w:sz w:val="21"/>
                <w:szCs w:val="21"/>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92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i w:val="1"/>
                <w:iCs w:val="1"/>
                <w:color w:val="auto"/>
              </w:rPr>
              <w:t>(Principal Financial Officer and</w:t>
            </w:r>
          </w:p>
        </w:tc>
        <w:tc>
          <w:tcPr>
            <w:tcW w:w="240" w:type="dxa"/>
            <w:vAlign w:val="bottom"/>
          </w:tcPr>
          <w:p>
            <w:pPr>
              <w:spacing w:after="0"/>
              <w:rPr>
                <w:sz w:val="12"/>
                <w:szCs w:val="12"/>
                <w:color w:val="auto"/>
              </w:rPr>
            </w:pPr>
          </w:p>
        </w:tc>
        <w:tc>
          <w:tcPr>
            <w:tcW w:w="334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40"/>
        </w:trPr>
        <w:tc>
          <w:tcPr>
            <w:tcW w:w="35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9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3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Frederick Ahlholm</w:t>
            </w:r>
          </w:p>
        </w:tc>
        <w:tc>
          <w:tcPr>
            <w:tcW w:w="240" w:type="dxa"/>
            <w:vAlign w:val="bottom"/>
          </w:tcPr>
          <w:p>
            <w:pPr>
              <w:spacing w:after="0"/>
              <w:rPr>
                <w:sz w:val="21"/>
                <w:szCs w:val="21"/>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Geoffrey Race</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Geoffrey Race</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F. Doyle</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F. Doyle</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Hans Peter Hasler</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Hans Peter Hasler</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Jeryl Hilleman</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Jeryl Hilleman</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Kupfer,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Kupfer, MD</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Fouzia Laghrissi-Thode,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Fouzia Laghrissi-Thode, MD</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Jan van Heek</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 van Heek</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00" w:type="dxa"/>
            <w:vAlign w:val="bottom"/>
          </w:tcPr>
          <w:p>
            <w:pPr>
              <w:spacing w:after="0"/>
              <w:rPr>
                <w:sz w:val="24"/>
                <w:szCs w:val="24"/>
                <w:color w:val="auto"/>
              </w:rPr>
            </w:pPr>
          </w:p>
        </w:tc>
        <w:tc>
          <w:tcPr>
            <w:tcW w:w="416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Minerva Neurosciences, Inc. (the “Company”) has one class of securities registered under Section 12 of the Securities Exchange Act of 1934, as amended (the “Exchange Act”): our common stock.</w:t>
      </w:r>
    </w:p>
    <w:p>
      <w:pPr>
        <w:spacing w:after="0" w:line="162"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does not purport to be complete and is subject to, and is qualified in its entirety by reference to, the applicable provisions of Delaware law and our amended and restated certificate of incorporation and our amended and restated bylaws, copies of which are incorporated by reference as an exhibit to the Annual Report on Form 10-K of which this Exhibit 4.2 is a part. We encourage you to read our certificate of incorporation, our bylaws and the applicable provisions of Delaware law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Stock</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125,000,000 shares of common stock, $0.0001 par value per share, and 100,000,000 shares of preferred stock, $0.0001 par value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our common stock is entitled to one vote for each share of common stock on all matters submitted to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including the election of directors. The holders of our common stock do not have cumulative voting rights. Because of this, the holders of a majority of the shares of common stock entitled to vote in any election of directors can elect all of the directors standing for election, if they should so choose.</w:t>
      </w:r>
    </w:p>
    <w:p>
      <w:pPr>
        <w:spacing w:after="0" w:line="180"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preferences that may be applicable to any then 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such dividends, if any, as may be declared from time to time by our board of directors out of legally available funds.</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 up, holders of our common stock will be entitled to share ratably in the net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legally available for distribution to stockholders after the payment of all of our debts and other liabilities and the satisfaction of any liquidation preference granted to the holders of any then outstanding shares of preferred stock.</w:t>
      </w:r>
    </w:p>
    <w:p>
      <w:pPr>
        <w:spacing w:after="0" w:line="1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Holders of our common stock have no preemptive, conversion, subscription or other rights, and there are no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sinking fund provisions applicable to our common stock. The outstanding shares of our common stock are fully paid and nonassessable.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has the authority, without further action by our stockholders, to issue up to 100,000,000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amended and restated certificate of incorporation provides for our board of directors to be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with staggered three-year terms. Only one class of directors will be elected at each annual meeting of our stockholders, with the other classes continuing for the remainder of their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both"/>
        <w:spacing w:after="0" w:line="261" w:lineRule="auto"/>
        <w:rPr>
          <w:sz w:val="20"/>
          <w:szCs w:val="20"/>
          <w:color w:val="auto"/>
        </w:rPr>
      </w:pPr>
      <w:r>
        <w:rPr>
          <w:rFonts w:ascii="Times New Roman" w:cs="Times New Roman" w:eastAsia="Times New Roman" w:hAnsi="Times New Roman"/>
          <w:sz w:val="18"/>
          <w:szCs w:val="18"/>
          <w:color w:val="auto"/>
        </w:rPr>
        <w:t>respective three-year terms. Because our stockholders do not have cumulative voting rights, our stockholders holding a majority of the shares of common stock outstanding will be able to elect all of our directors. Our amended and restated certificate of incorporation and amended and restated bylaws provide that all stockholder action must be effected at a duly called meeting of stockholders and not by a consent in writing, and that only our board of directors or chairman of the board may call a special meeting of stockholders.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requires a 66⅔%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66⅔% 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changes in control of our company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pacing w:after="0" w:line="18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Forum</w:t>
      </w:r>
      <w:r>
        <w:rPr>
          <w:rFonts w:ascii="Times New Roman" w:cs="Times New Roman" w:eastAsia="Times New Roman" w:hAnsi="Times New Roman"/>
          <w:sz w:val="18"/>
          <w:szCs w:val="18"/>
          <w:color w:val="auto"/>
        </w:rPr>
        <w:t>. Our amended and restated bylaws provide that, unless we consent in writing to the selection of an alternative forum, the Court of Chancery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will be the sole and exclusive forum for any derivative action or proceeding brought on our behalf, any action asserting a claim of breach of a fiduciary duty owed by any current or former director, officer or other employee or stockholder of the Company to us or our stockholders,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any action asserting a claim governed by the internal affairs doctrine. Our amended and restated certificate of incorporation and our amended and restated bylaws further provide that any person or entity purchasing or otherwise acquiring any interest in shares of our capital stock is deemed to have notice of and consented to the foregoing provision. Although our amended and restated certificate of incorporation and our amended and restated bylaws include these provisions, it is possible that a court could rule that such provisions are inapplicable or unenforceable.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is subject to Section 203 of the Delaware General Corporation Law (“Section 203”),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including discouraging attempts that might result in a premium over the market price for the shares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on the Nasdaq Capital Market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“NERV”.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SECOND AMENDMENT TO THE</w:t>
      </w: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REMY LUTHRINGER</w:t>
      </w:r>
    </w:p>
    <w:p>
      <w:pPr>
        <w:spacing w:after="0" w:line="20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color w:val="auto"/>
        </w:rPr>
        <w:t>This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emy</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uthringer</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entered into this 6th day of March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R</w:t>
      </w:r>
      <w:r>
        <w:rPr>
          <w:rFonts w:ascii="Times New Roman" w:cs="Times New Roman" w:eastAsia="Times New Roman" w:hAnsi="Times New Roman"/>
          <w:sz w:val="14"/>
          <w:szCs w:val="14"/>
          <w:color w:val="auto"/>
        </w:rPr>
        <w:t>emy</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uthringer</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and Mind-NRG SARL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ind w:firstLine="757"/>
        <w:spacing w:after="0" w:line="258" w:lineRule="auto"/>
        <w:tabs>
          <w:tab w:leader="none" w:pos="110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Employee have entered into that certain Employment Agreement effective May 1, 2014 (as amended and restated on August 1, 2016, the “</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firstLine="757"/>
        <w:spacing w:after="0" w:line="258" w:lineRule="auto"/>
        <w:tabs>
          <w:tab w:leader="none" w:pos="107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Employee amended the Employment Agreement pursuant to that certain First Amendment to the Employment Agreement effective December 13, 2022 (the “</w:t>
      </w:r>
      <w:r>
        <w:rPr>
          <w:rFonts w:ascii="Times New Roman" w:cs="Times New Roman" w:eastAsia="Times New Roman" w:hAnsi="Times New Roman"/>
          <w:sz w:val="22"/>
          <w:szCs w:val="22"/>
          <w:b w:val="1"/>
          <w:bCs w:val="1"/>
          <w:i w:val="1"/>
          <w:iCs w:val="1"/>
          <w:color w:val="auto"/>
        </w:rPr>
        <w:t>First Amendment</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right="20" w:firstLine="757"/>
        <w:spacing w:after="0" w:line="258" w:lineRule="auto"/>
        <w:tabs>
          <w:tab w:leader="none" w:pos="105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Employee wish to amend the Employment Agreement and the First Amendment as set forth in this Amendment; and</w:t>
      </w:r>
    </w:p>
    <w:p>
      <w:pPr>
        <w:spacing w:after="0" w:line="185" w:lineRule="exact"/>
        <w:rPr>
          <w:rFonts w:ascii="Times New Roman" w:cs="Times New Roman" w:eastAsia="Times New Roman" w:hAnsi="Times New Roman"/>
          <w:sz w:val="22"/>
          <w:szCs w:val="22"/>
          <w:color w:val="auto"/>
        </w:rPr>
      </w:pPr>
    </w:p>
    <w:p>
      <w:pPr>
        <w:jc w:val="both"/>
        <w:ind w:firstLine="757"/>
        <w:spacing w:after="0" w:line="244" w:lineRule="auto"/>
        <w:tabs>
          <w:tab w:leader="none" w:pos="10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light of the desire of the Company to continue the employment of Employee, and the desire of both the Company and the Employee to amend the Employment Agreement and the First Amendment as provided in this Amendment, the parties agree to the following: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06" w:lineRule="exact"/>
        <w:rPr>
          <w:sz w:val="20"/>
          <w:szCs w:val="20"/>
          <w:color w:val="auto"/>
        </w:rPr>
      </w:pPr>
    </w:p>
    <w:p>
      <w:pPr>
        <w:ind w:firstLine="8"/>
        <w:spacing w:after="0" w:line="262" w:lineRule="auto"/>
        <w:tabs>
          <w:tab w:leader="none" w:pos="5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4(b)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4(b) of the Employment Agreement is hereby amended and replaced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follows: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“Annual Bonus</w:t>
      </w:r>
    </w:p>
    <w:p>
      <w:pPr>
        <w:spacing w:after="0" w:line="210" w:lineRule="exact"/>
        <w:rPr>
          <w:sz w:val="20"/>
          <w:szCs w:val="20"/>
          <w:color w:val="auto"/>
        </w:rPr>
      </w:pPr>
    </w:p>
    <w:p>
      <w:pPr>
        <w:jc w:val="both"/>
        <w:ind w:firstLine="1962"/>
        <w:spacing w:after="0" w:line="234" w:lineRule="auto"/>
        <w:rPr>
          <w:sz w:val="20"/>
          <w:szCs w:val="20"/>
          <w:color w:val="auto"/>
        </w:rPr>
      </w:pPr>
      <w:r>
        <w:rPr>
          <w:rFonts w:ascii="Times New Roman" w:cs="Times New Roman" w:eastAsia="Times New Roman" w:hAnsi="Times New Roman"/>
          <w:sz w:val="22"/>
          <w:szCs w:val="22"/>
          <w:color w:val="auto"/>
        </w:rPr>
        <w:t>The Employee shall be entitled to a discretionary bonus payment for each calendar year that ends during the Employment, with a target annual bonus amount at 55% of the Base Salary paid in such calendar year (the “</w:t>
      </w:r>
      <w:r>
        <w:rPr>
          <w:rFonts w:ascii="Times New Roman" w:cs="Times New Roman" w:eastAsia="Times New Roman" w:hAnsi="Times New Roman"/>
          <w:sz w:val="22"/>
          <w:szCs w:val="22"/>
          <w:b w:val="1"/>
          <w:bCs w:val="1"/>
          <w:i w:val="1"/>
          <w:iCs w:val="1"/>
          <w:color w:val="auto"/>
        </w:rPr>
        <w:t>Annual Bonus</w:t>
      </w:r>
      <w:r>
        <w:rPr>
          <w:rFonts w:ascii="Times New Roman" w:cs="Times New Roman" w:eastAsia="Times New Roman" w:hAnsi="Times New Roman"/>
          <w:sz w:val="22"/>
          <w:szCs w:val="22"/>
          <w:color w:val="auto"/>
        </w:rPr>
        <w:t>”). Whether to grant an Annual Bonus, and in what amount, are determinations to be made in the discretion of the Company based on a variety of factors including, but not limited to, achievement of objectives established by the Board (and/or the Compensation Committee thereof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and specific annual objectives for your position set by the Board and/or the Compensation Committee. Since one of the objectives of the Annual Bonus is employee retention, in order to remain eligible and receive any Annual Bonus, you must be employed through the end of the calendar year and still be employed by the Company at the time it makes bonus payments to employees for that year -- generally during the first quarter of the following year.”</w:t>
      </w:r>
    </w:p>
    <w:p>
      <w:pPr>
        <w:spacing w:after="0" w:line="179" w:lineRule="exact"/>
        <w:rPr>
          <w:sz w:val="20"/>
          <w:szCs w:val="20"/>
          <w:color w:val="auto"/>
        </w:rPr>
      </w:pPr>
    </w:p>
    <w:p>
      <w:pPr>
        <w:ind w:firstLine="8"/>
        <w:spacing w:after="0" w:line="262" w:lineRule="auto"/>
        <w:tabs>
          <w:tab w:leader="none" w:pos="5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9(c)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9(c) of the Employment Agreement is hereby amended and replaced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“Death. </w:t>
      </w:r>
      <w:r>
        <w:rPr>
          <w:rFonts w:ascii="Times New Roman" w:cs="Times New Roman" w:eastAsia="Times New Roman" w:hAnsi="Times New Roman"/>
          <w:sz w:val="22"/>
          <w:szCs w:val="22"/>
          <w:color w:val="auto"/>
        </w:rPr>
        <w:t>The Employment will terminate without notice being required upon Employee’s death.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beneficiaries and/or estate will be entitled to (i) any earned but unpaid Base Salary through the date of Employee’s death, to be paid less applicable taxes and withholdings within 10 days of Employee’s termination of employment, (ii) one (1) additional month of Base Salary or, where the Employee had completed more than five (5) years of service, two (2) additional months of Base Salary, (iii) compensation at the rate of Employee’s Base Salary for any vacation time earned but not used as of the date the Employment terminates, (iv) reimbursement for any business expenses incurred by Employee but not yet paid to Employee as of the date Employee’s employment terminates, provided all expenses and supporting documentation required are submitted within sixty (60) days of the date the Employment terminates, and provided further that such expenses are reimbursable under Company policy, (v) payment of a pro-rata portion of Employee’s Annual Bonus (assuming for purposes of this payment that Employee’s Annual Bonus would be equal to 55% of Employee’s Base Salary), and (vi) any amounts accrued and payable under the terms of any of the Company’s benefit plans (items (i), (iii), (iv) and (vi), referred to, together with any other obligations under Swiss statutory law, as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firstLine="8"/>
        <w:spacing w:after="0" w:line="262" w:lineRule="auto"/>
        <w:tabs>
          <w:tab w:leader="none" w:pos="5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9(f)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9(f) of the Employment Agreement is hereby amended and replaced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follows:</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“Termination by the Company without Cause. </w:t>
      </w:r>
      <w:r>
        <w:rPr>
          <w:rFonts w:ascii="Times New Roman" w:cs="Times New Roman" w:eastAsia="Times New Roman" w:hAnsi="Times New Roman"/>
          <w:sz w:val="22"/>
          <w:szCs w:val="22"/>
          <w:color w:val="auto"/>
        </w:rPr>
        <w:t>In case of termination by the Company without Cause and not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of Employee’s Disability, then, in addition to the payment of Employee’s Base Salary during the Notice Period and Accrued Obligations as at the termination date, and in lieu of any other severance benefits otherwise payable under any Company policy or plan in effect, Employee will be entitled to (i) continued payment of Employee’s Base Salary for twelve (12) months after the termination date (the “</w:t>
      </w:r>
      <w:r>
        <w:rPr>
          <w:rFonts w:ascii="Times New Roman" w:cs="Times New Roman" w:eastAsia="Times New Roman" w:hAnsi="Times New Roman"/>
          <w:sz w:val="22"/>
          <w:szCs w:val="22"/>
          <w:b w:val="1"/>
          <w:bCs w:val="1"/>
          <w:i w:val="1"/>
          <w:iCs w:val="1"/>
          <w:color w:val="auto"/>
        </w:rPr>
        <w:t>Salary Severance Period</w:t>
      </w:r>
      <w:r>
        <w:rPr>
          <w:rFonts w:ascii="Times New Roman" w:cs="Times New Roman" w:eastAsia="Times New Roman" w:hAnsi="Times New Roman"/>
          <w:sz w:val="22"/>
          <w:szCs w:val="22"/>
          <w:color w:val="auto"/>
        </w:rPr>
        <w:t>”), (ii) payment of a pro-rata portion of Employee’s Annual Bonus (assuming for purposes of this payment that Employee’s Annual Bonus is equal to 55% of Employee’s Base Salary), and (iii) immediate vesting of any unvested options, restricted stock, restricted stock units, or other equity awards that are outstanding immediately prior to the date of termination and, but for the termination of the Employment, would have vested during the six (6) month period immediately following the date of termination (collectively,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8"/>
        <w:spacing w:after="0" w:line="244" w:lineRule="auto"/>
        <w:tabs>
          <w:tab w:leader="none" w:pos="5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Employee further agree that this Amendment does not constitute a termination pursuant Section 9 of the Employment Agreement or the First Amendment, or otherwise constitute any trigger for the Company’s payment of any severance benefits pursuant to Section 9 of the Employment Agreement or the First Amendment.</w:t>
      </w:r>
    </w:p>
    <w:p>
      <w:pPr>
        <w:spacing w:after="0" w:line="173" w:lineRule="exact"/>
        <w:rPr>
          <w:rFonts w:ascii="Times New Roman" w:cs="Times New Roman" w:eastAsia="Times New Roman" w:hAnsi="Times New Roman"/>
          <w:sz w:val="22"/>
          <w:szCs w:val="22"/>
          <w:color w:val="auto"/>
        </w:rPr>
      </w:pPr>
    </w:p>
    <w:p>
      <w:pPr>
        <w:jc w:val="both"/>
        <w:ind w:firstLine="8"/>
        <w:spacing w:after="0" w:line="261" w:lineRule="auto"/>
        <w:tabs>
          <w:tab w:leader="none" w:pos="5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will continue to abide by Company rules and policies. Employee acknowledges and agrees to continue to comply with the covenants in the Employment Agreement, including but not limited to the provision of Sections 12 (Intellectual Property Rights), 13 (Data Protection and Privacy), 14 (Confidentiality), and 15 (Non-Competition and Non-Solicitation).</w:t>
      </w:r>
    </w:p>
    <w:p>
      <w:pPr>
        <w:spacing w:after="0" w:line="157" w:lineRule="exact"/>
        <w:rPr>
          <w:rFonts w:ascii="Times New Roman" w:cs="Times New Roman" w:eastAsia="Times New Roman" w:hAnsi="Times New Roman"/>
          <w:sz w:val="21"/>
          <w:szCs w:val="21"/>
          <w:color w:val="auto"/>
        </w:rPr>
      </w:pPr>
    </w:p>
    <w:p>
      <w:pPr>
        <w:jc w:val="both"/>
        <w:ind w:firstLine="8"/>
        <w:spacing w:after="0" w:line="244" w:lineRule="auto"/>
        <w:tabs>
          <w:tab w:leader="none" w:pos="5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will continue to be eligible for the retention program benefits described in the letter to Employee dated October 13, 2020, as amended and supplemented by the supplemental retention program benefits described in the letter to Employee dated April 27, 2021,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jc w:val="both"/>
        <w:ind w:left="-8" w:firstLine="8"/>
        <w:spacing w:after="0" w:line="238" w:lineRule="auto"/>
        <w:tabs>
          <w:tab w:leader="none" w:pos="5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or amended in this Amendment, no other term or provision of the Employment Agreement or the First Amendment is amended or modified in any respect. The Employment Agreement, along with the First Amendment and this Amendment, sets forth the entire understanding between the parties with regard to the subject matter hereof and supersedes any prior oral discussions or written communications and agreements. This Amendment cannot be modified or amended except in writing signed by the Employee and an authorized officer of the Company.</w:t>
      </w: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113" w:name="page114"/>
    <w:bookmarkEnd w:id="113"/>
    <w:p>
      <w:pPr>
        <w:spacing w:after="0" w:line="249" w:lineRule="auto"/>
        <w:rPr>
          <w:sz w:val="20"/>
          <w:szCs w:val="20"/>
          <w:color w:val="auto"/>
        </w:rPr>
      </w:pPr>
      <w:r>
        <w:rPr>
          <w:rFonts w:ascii="Times New Roman" w:cs="Times New Roman" w:eastAsia="Times New Roman" w:hAnsi="Times New Roman"/>
          <w:sz w:val="22"/>
          <w:szCs w:val="22"/>
          <w:color w:val="auto"/>
        </w:rPr>
        <w:t>The parties have executed this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emy</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uthringer</w:t>
      </w:r>
      <w:r>
        <w:rPr>
          <w:rFonts w:ascii="Times New Roman" w:cs="Times New Roman" w:eastAsia="Times New Roman" w:hAnsi="Times New Roman"/>
          <w:sz w:val="22"/>
          <w:szCs w:val="22"/>
          <w:color w:val="auto"/>
        </w:rPr>
        <w:t xml:space="preserve">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Mind-NRG SARL</w:t>
      </w:r>
    </w:p>
    <w:p>
      <w:pPr>
        <w:spacing w:after="0" w:line="200" w:lineRule="exact"/>
        <w:rPr>
          <w:sz w:val="20"/>
          <w:szCs w:val="20"/>
          <w:color w:val="auto"/>
        </w:rPr>
      </w:pPr>
    </w:p>
    <w:p>
      <w:pPr>
        <w:spacing w:after="0" w:line="2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/s/ Geoffrey R.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-13970</wp:posOffset>
            </wp:positionV>
            <wp:extent cx="21945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22"/>
          <w:szCs w:val="22"/>
          <w:color w:val="auto"/>
        </w:rPr>
        <w:t>Name: Geoffrey R. Race</w:t>
      </w:r>
    </w:p>
    <w:p>
      <w:pPr>
        <w:ind w:left="50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p>
    <w:p>
      <w:pPr>
        <w:spacing w:after="0" w:line="200" w:lineRule="exact"/>
        <w:rPr>
          <w:sz w:val="20"/>
          <w:szCs w:val="20"/>
          <w:color w:val="auto"/>
        </w:rPr>
      </w:pPr>
    </w:p>
    <w:p>
      <w:pPr>
        <w:spacing w:after="0" w:line="2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/s/ Remy Luthringer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-13970</wp:posOffset>
            </wp:positionV>
            <wp:extent cx="21945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22"/>
          <w:szCs w:val="22"/>
          <w:color w:val="auto"/>
        </w:rPr>
        <w:t>Remy Luthringer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333-267424 on Form S-3 and Nos. 333-242460, 333-225672, 333-223593, 333-222368, 333-216637, 333-210147, 333-203738, and 333-198753 on Form S-8 of our report dated March 8, 2023, relating to the consolidated financial statements of Minerva Neurosciences, Inc. appearing in this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26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3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26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Chief Executive Officer of Minerva Neurosciences, Inc. (the “Company”), and Frederick Ahlholm, Chief Financial Officer of the Company, each hereby certifies that, to the best of his knowledge:</w:t>
      </w:r>
    </w:p>
    <w:p>
      <w:pPr>
        <w:spacing w:after="0" w:line="68" w:lineRule="exact"/>
        <w:rPr>
          <w:sz w:val="20"/>
          <w:szCs w:val="20"/>
          <w:color w:val="auto"/>
        </w:rPr>
      </w:pPr>
    </w:p>
    <w:p>
      <w:pPr>
        <w:ind w:left="520" w:hanging="512"/>
        <w:spacing w:after="0" w:line="28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2022,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20" w:hanging="512"/>
        <w:spacing w:after="0" w:line="28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Remy Luthringer, Ph.D.</w:t>
            </w:r>
          </w:p>
        </w:tc>
        <w:tc>
          <w:tcPr>
            <w:tcW w:w="1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234"/>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Remy Luthringer, Ph.D.</w:t>
            </w:r>
          </w:p>
        </w:tc>
        <w:tc>
          <w:tcPr>
            <w:tcW w:w="1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Frederick Ahlholm</w:t>
            </w:r>
          </w:p>
        </w:tc>
      </w:tr>
      <w:tr>
        <w:trPr>
          <w:trHeight w:val="220"/>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c>
          <w:tcPr>
            <w:tcW w:w="1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Letter"/>
      <w:start w:val="1"/>
    </w:lvl>
    <w:lvl w:ilvl="1">
      <w:lvlJc w:val="left"/>
      <w:lvlText w:val="(%2)"/>
      <w:numFmt w:val="decimal"/>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upperLetter"/>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2"/>
    </w:lvl>
  </w:abstractNum>
  <w:abstractNum w:abstractNumId="41">
    <w:nsid w:val="2CD89A32"/>
    <w:multiLevelType w:val="hybridMultilevel"/>
    <w:lvl w:ilvl="0">
      <w:lvlJc w:val="left"/>
      <w:lvlText w:val="%1."/>
      <w:numFmt w:val="decimal"/>
      <w:start w:val="3"/>
    </w:lvl>
  </w:abstractNum>
  <w:abstractNum w:abstractNumId="42">
    <w:nsid w:val="57E4CCAF"/>
    <w:multiLevelType w:val="hybridMultilevel"/>
    <w:lvl w:ilvl="0">
      <w:lvlJc w:val="left"/>
      <w:lvlText w:val="%1."/>
      <w:numFmt w:val="decimal"/>
      <w:start w:val="4"/>
    </w:lvl>
  </w:abstractNum>
  <w:abstractNum w:abstractNumId="43">
    <w:nsid w:val="7A6D8D3C"/>
    <w:multiLevelType w:val="hybridMultilevel"/>
    <w:lvl w:ilvl="0">
      <w:lvlJc w:val="left"/>
      <w:lvlText w:val="%1."/>
      <w:numFmt w:val="decimal"/>
      <w:start w:val="7"/>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00" Type="http://schemas.openxmlformats.org/officeDocument/2006/relationships/hyperlink" Target="https://www.sec.gov/Archives/edgar/data/0001598646/000104746914005459/a2219972zex-3_1.htm" TargetMode="External"/><Relationship Id="rId201" Type="http://schemas.openxmlformats.org/officeDocument/2006/relationships/hyperlink" Target="https://www.sec.gov/Archives/edgar/data/1598646/000119312522176540/d314076dex31.htm" TargetMode="External"/><Relationship Id="rId202" Type="http://schemas.openxmlformats.org/officeDocument/2006/relationships/hyperlink" Target="https://www.sec.gov/Archives/edgar/data/0001598646/000156459019039496/nerv-ex32_112.htm" TargetMode="External"/><Relationship Id="rId203" Type="http://schemas.openxmlformats.org/officeDocument/2006/relationships/hyperlink" Target="https://www.sec.gov/Archives/edgar/data/0001598646/000104746914005459/a2219972zex-4_1.htm" TargetMode="External"/><Relationship Id="rId204" Type="http://schemas.openxmlformats.org/officeDocument/2006/relationships/hyperlink" Target="https://www.sec.gov/Archives/edgar/data/0001598646/000104746914003612/a2219290zex-10_13.htm" TargetMode="External"/><Relationship Id="rId205" Type="http://schemas.openxmlformats.org/officeDocument/2006/relationships/hyperlink" Target="https://www.sec.gov/Archives/edgar/data/0001598646/000104746914005459/a2219972zex-10_1.htm" TargetMode="External"/><Relationship Id="rId206" Type="http://schemas.openxmlformats.org/officeDocument/2006/relationships/hyperlink" Target="https://www.sec.gov/Archives/edgar/data/0001598646/000104746914005459/a2219972zex-10_2.htm" TargetMode="External"/><Relationship Id="rId207" Type="http://schemas.openxmlformats.org/officeDocument/2006/relationships/hyperlink" Target="https://www.sec.gov/Archives/edgar/data/0001598646/000104746914005459/a2219972zex-10_3.htm" TargetMode="External"/><Relationship Id="rId208" Type="http://schemas.openxmlformats.org/officeDocument/2006/relationships/hyperlink" Target="https://www.sec.gov/Archives/edgar/data/0001598646/000104746914005459/a2219972zex-10_4.htm" TargetMode="External"/><Relationship Id="rId209" Type="http://schemas.openxmlformats.org/officeDocument/2006/relationships/hyperlink" Target="https://www.sec.gov/Archives/edgar/data/0001598646/000104746914005459/a2219972zex-10_5.htm" TargetMode="External"/><Relationship Id="rId210" Type="http://schemas.openxmlformats.org/officeDocument/2006/relationships/hyperlink" Target="https://www.sec.gov/Archives/edgar/data/0001598646/000104746914005459/a2219972zex-10_6.htm" TargetMode="External"/><Relationship Id="rId211" Type="http://schemas.openxmlformats.org/officeDocument/2006/relationships/hyperlink" Target="https://www.sec.gov/Archives/edgar/data/0001598646/000104746914005459/a2219972zex-10_7.htm" TargetMode="External"/><Relationship Id="rId212" Type="http://schemas.openxmlformats.org/officeDocument/2006/relationships/hyperlink" Target="https://www.sec.gov/Archives/edgar/data/0001598646/000119312515096955/d890084dex101.htm" TargetMode="External"/><Relationship Id="rId213" Type="http://schemas.openxmlformats.org/officeDocument/2006/relationships/hyperlink" Target="https://www.sec.gov/Archives/edgar/data/0001598646/000119312515096955/d890084dex103.htm" TargetMode="External"/><Relationship Id="rId214" Type="http://schemas.openxmlformats.org/officeDocument/2006/relationships/hyperlink" Target="https://www.sec.gov/Archives/edgar/data/0001598646/000156459015003491/nerv-ex105_20150331184.htm" TargetMode="External"/><Relationship Id="rId215" Type="http://schemas.openxmlformats.org/officeDocument/2006/relationships/hyperlink" Target="https://www.sec.gov/Archives/edgar/data/1598646/000156459018018659/nerv-ex102_88.htm" TargetMode="External"/><Relationship Id="rId216" Type="http://schemas.openxmlformats.org/officeDocument/2006/relationships/hyperlink" Target="https://www.sec.gov/Archives/edgar/data/0001598646/000119312516509484/d137820dex101.htm" TargetMode="External"/><Relationship Id="rId219" Type="http://schemas.openxmlformats.org/officeDocument/2006/relationships/hyperlink" Target="https://www.sec.gov/Archives/edgar/data/0001598646/000156459016022499/nerv-ex101_183.htm" TargetMode="External"/><Relationship Id="rId220" Type="http://schemas.openxmlformats.org/officeDocument/2006/relationships/hyperlink" Target="https://www.sec.gov/Archives/edgar/data/0001598646/000156459016022499/nerv-ex102_182.htm" TargetMode="External"/><Relationship Id="rId221" Type="http://schemas.openxmlformats.org/officeDocument/2006/relationships/hyperlink" Target="https://www.sec.gov/Archives/edgar/data/0001598646/000156459016022499/nerv-ex103_181.htm" TargetMode="External"/><Relationship Id="rId222" Type="http://schemas.openxmlformats.org/officeDocument/2006/relationships/hyperlink" Target="https://www.sec.gov/Archives/edgar/data/0001598646/000156459016022499/nerv-ex105_180.htm" TargetMode="External"/><Relationship Id="rId223" Type="http://schemas.openxmlformats.org/officeDocument/2006/relationships/hyperlink" Target="https://www.sec.gov/Archives/edgar/data/0001598646/000119312516795845/d306566dex1001.htm" TargetMode="External"/><Relationship Id="rId224" Type="http://schemas.openxmlformats.org/officeDocument/2006/relationships/hyperlink" Target="https://www.sec.gov/Archives/edgar/data/0001598646/000156459017004048/nerv-ex1036_286.htm" TargetMode="External"/><Relationship Id="rId225" Type="http://schemas.openxmlformats.org/officeDocument/2006/relationships/hyperlink" Target="https://www.sec.gov/Archives/edgar/data/1598646/000119312517203538/d413527dex101.htm" TargetMode="External"/><Relationship Id="rId226" Type="http://schemas.openxmlformats.org/officeDocument/2006/relationships/hyperlink" Target="https://www.sec.gov/Archives/edgar/data/0001598646/000156459019039496/nerv-ex101_58.htm" TargetMode="External"/><Relationship Id="rId227" Type="http://schemas.openxmlformats.org/officeDocument/2006/relationships/hyperlink" Target="https://www.sec.gov/Archives/edgar/data/1598646/000119312522244838/d352192dex12.htm" TargetMode="External"/><Relationship Id="rId228" Type="http://schemas.openxmlformats.org/officeDocument/2006/relationships/hyperlink" Target="https://www.sec.gov/Archives/edgar/data/1598646/000156459020035289/nerv-ex102_120.htm" TargetMode="External"/><Relationship Id="rId229" Type="http://schemas.openxmlformats.org/officeDocument/2006/relationships/hyperlink" Target="https://www.sec.gov/Archives/edgar/data/1598646/000156459020035289/nerv-ex103_210.htm" TargetMode="External"/><Relationship Id="rId230" Type="http://schemas.openxmlformats.org/officeDocument/2006/relationships/hyperlink" Target="https://www.sec.gov/Archives/edgar/data/1598646/000156459021011340/nerv-ex1048_189.htm" TargetMode="External"/><Relationship Id="rId231" Type="http://schemas.openxmlformats.org/officeDocument/2006/relationships/hyperlink" Target="https://www.sec.gov/Archives/edgar/data/1598646/000156459021026731/nerv-ex101_185.htm" TargetMode="External"/><Relationship Id="rId232" Type="http://schemas.openxmlformats.org/officeDocument/2006/relationships/hyperlink" Target="https://www.sec.gov/Archives/edgar/data/1598646/000119312521296143/d236669dex101.htm" TargetMode="External"/><Relationship Id="rId233" Type="http://schemas.openxmlformats.org/officeDocument/2006/relationships/hyperlink" Target="https://www.sec.gov/Archives/edgar/data/1598646/000119312521296143/d236669dex102.htm" TargetMode="External"/><Relationship Id="rId234" Type="http://schemas.openxmlformats.org/officeDocument/2006/relationships/hyperlink" Target="https://www.sec.gov/Archives/edgar/data/1598646/000119312522307381/d438557dex101.htm" TargetMode="External"/><Relationship Id="rId235" Type="http://schemas.openxmlformats.org/officeDocument/2006/relationships/hyperlink" Target="https://www.sec.gov/Archives/edgar/data/1598646/000156459022007853/nerv-ex21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2023-03-08T05:39:05Z</dcterms:created>
  <dcterms:modified xsi:type="dcterms:W3CDTF">2023-03-08T05:39:05Z</dcterms:modified>
</cp:coreProperties>
</file>