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228600</wp:posOffset>
            </wp:positionV>
            <wp:extent cx="14744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b w:val="1"/>
          <w:bCs w:val="1"/>
          <w:color w:val="auto"/>
        </w:rPr>
        <w:t>MINERVA NEUROSCIENCES,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  25(b) per Exchange Act Rules 14a-6(i)(1) and 0-11</w:t>
      </w:r>
    </w:p>
    <w:p>
      <w:pPr>
        <w:sectPr>
          <w:pgSz w:w="11900" w:h="16838" w:orient="portrait"/>
          <w:cols w:equalWidth="0" w:num="1">
            <w:col w:w="10023"/>
          </w:cols>
          <w:pgMar w:left="436" w:top="20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2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2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2026-04-23T06:04:15Z</dcterms:created>
  <dcterms:modified xsi:type="dcterms:W3CDTF">2026-04-23T06:04:15Z</dcterms:modified>
</cp:coreProperties>
</file>