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202026_080827.xml.htm"/>
      <w:bookmarkStart w:id="1" w:name="ksform308202026_08082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Aliquo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MINERVA NEUROSCIENCES, INC.</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DISTRICT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Minerva Neurosciences, Inc.</w:t>
              </w:r>
            </w:hyperlink>
            <w:r>
              <w:rPr/>
              <w:t xml:space="preserve"> [ </w:t>
            </w:r>
            <w:r>
              <w:rPr>
                <w:rFonts w:ascii="Times;serif" w:hAnsi="Times;serif"/>
                <w:color w:val="0000FF"/>
                <w:sz w:val="24"/>
                <w:shd w:fill="FFFFFF" w:val="clear"/>
              </w:rPr>
              <w:t>NERV</w:t>
            </w:r>
            <w:r>
              <w:rPr/>
              <w:t xml:space="preserve"> ] </w:t>
              <w:br/>
            </w:r>
            <w:r>
              <w:rPr>
                <w:rFonts w:ascii="arial;helvetica;sans-serif" w:hAnsi="arial;helvetica;sans-serif"/>
                <w:sz w:val="20"/>
              </w:rPr>
              <w:t>Foreign Trading Symbol</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09/15/2030</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02/15/2032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12/12/2032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19,167</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10/03/2033</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12/04/2034</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12/21/2035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05/31/2036</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vested 25% on December 13, 2023 and then vests or vested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vested 25% on October 4, 2024 and then vests or vested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vested 25% on December 5, 2025 and then vests or vested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vests 25% on December 22, 2026 and then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vests 25% on June 1, 2027 and then in equal quarterly installments over 3 years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Frederick Ahlholm,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202026_080827.htm"/>
      <w:bookmarkStart w:id="3" w:name="ksex2408202026_080827"/>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Remy Luthringer, Fred Ahlholm, Joe Reilly and Jim O’Connor of Minerva Neurosciences,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t>Date:  </w:t>
      </w:r>
      <w:r>
        <w:rPr>
          <w:u w:val="single"/>
        </w:rPr>
        <w:t>August 7,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u w:val="single"/>
        </w:rPr>
      </w:pPr>
      <w:r>
        <w:rPr>
          <w:u w:val="single"/>
        </w:rPr>
        <w:t>/s/ Anthony Aliquo</w:t>
      </w:r>
    </w:p>
    <w:p>
      <w:pPr>
        <w:pStyle w:val="TextBody"/>
        <w:bidi w:val="0"/>
        <w:spacing w:before="0" w:after="0"/>
        <w:ind w:left="0" w:right="0" w:hanging="0"/>
        <w:jc w:val="both"/>
        <w:rPr/>
      </w:pPr>
      <w:r>
        <w:rPr/>
        <w:t>Name: Anthony Aliquo  </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317495110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586" TargetMode="External"/><Relationship Id="rId3" Type="http://schemas.openxmlformats.org/officeDocument/2006/relationships/hyperlink" Target="http://www.sec.gov/cgi-bin/browse-edgar?action=getcompany&amp;CIK=0001598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1101</Words>
  <Characters>5820</Characters>
  <CharactersWithSpaces>6809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