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100811.xml.htm"/>
      <w:bookmarkStart w:id="1" w:name="ksform408032026_1008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Kaul Inderjit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MINERVA NEUROSCIENCES,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1500 DISTRICT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Minerva Neurosciences,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12,147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12,147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shall vest on November 14, 2026; an additional 45% of the Consultant Option shall vest on the tenth day following the date of the Company's public announcement that it has achieved, on a statistically significant basis, the primary endpoint of its Phase 3 confirmatory trial of roluperidone in schizophrenia at the 12-week timepoint; and the remaining 30% of the Consultant Option shall vest on the tenth day following the date of the Company's public announcement of safety data from the 40-week relapse assessment phase; provided, however, in each case, that the Reporting Person is providing services pursuant to that certain consulting agreement dated November 14, 2025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Frederick Ahlholm,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5703" TargetMode="External"/><Relationship Id="rId5" Type="http://schemas.openxmlformats.org/officeDocument/2006/relationships/hyperlink" Target="http://www.sec.gov/cgi-bin/browse-edgar?action=getcompany&amp;CIK=000159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686</Words>
  <Characters>3737</Characters>
  <CharactersWithSpaces>4352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