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5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1" w:lineRule="exact"/>
        <w:rPr>
          <w:sz w:val="24"/>
          <w:szCs w:val="24"/>
          <w:color w:val="auto"/>
        </w:rPr>
      </w:pPr>
    </w:p>
    <w:p>
      <w:pPr>
        <w:ind w:left="400" w:hanging="284"/>
        <w:spacing w:after="0" w:line="207" w:lineRule="exact"/>
        <w:tabs>
          <w:tab w:leader="none" w:pos="40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Preliminary Proxy Statement</w:t>
      </w:r>
    </w:p>
    <w:p>
      <w:pPr>
        <w:spacing w:after="0" w:line="130" w:lineRule="exact"/>
        <w:rPr>
          <w:rFonts w:ascii="Times New Roman" w:cs="Times New Roman" w:eastAsia="Times New Roman" w:hAnsi="Times New Roman"/>
          <w:sz w:val="18"/>
          <w:szCs w:val="18"/>
          <w:color w:val="auto"/>
        </w:rPr>
      </w:pPr>
    </w:p>
    <w:p>
      <w:pPr>
        <w:ind w:left="40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Confidential, for Use of the Commission Only (as permitted by Rule 14a-6(e)(2))</w:t>
      </w:r>
    </w:p>
    <w:p>
      <w:pPr>
        <w:spacing w:after="0" w:line="158" w:lineRule="exact"/>
        <w:rPr>
          <w:sz w:val="24"/>
          <w:szCs w:val="24"/>
          <w:color w:val="auto"/>
        </w:rPr>
      </w:pPr>
    </w:p>
    <w:p>
      <w:pPr>
        <w:ind w:left="720" w:hanging="321"/>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720" w:hanging="321"/>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20" w:hanging="321"/>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MINERVA NEUROSCIENCES, INC.</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1" w:lineRule="exact"/>
        <w:rPr>
          <w:sz w:val="24"/>
          <w:szCs w:val="24"/>
          <w:color w:val="auto"/>
        </w:rPr>
      </w:pPr>
    </w:p>
    <w:p>
      <w:pPr>
        <w:ind w:left="400" w:hanging="284"/>
        <w:spacing w:after="0" w:line="207" w:lineRule="exact"/>
        <w:tabs>
          <w:tab w:leader="none" w:pos="4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fee required</w:t>
      </w:r>
    </w:p>
    <w:p>
      <w:pPr>
        <w:spacing w:after="0" w:line="157"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720" w:hanging="321"/>
        <w:spacing w:after="0"/>
        <w:tabs>
          <w:tab w:leader="none" w:pos="72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240030</wp:posOffset>
            </wp:positionV>
            <wp:extent cx="2245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1500 District Avenue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December 22,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(the “Annual Meeting”) of Minerva Neurosciences, Inc., a Delaware corporation, referred to hereafter as the “Company,” “we,” “us,” or “Minerva.” The Annual Meeting will be held on Monday, December 22, 2025 at 9:30 a.m. Eastern time. The Annual Meeting will be held virtually through a live webcast at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 We believe hosting a virtual meeting enables increased stockholder participation and improves meeting efficiency and our ability to communicate effectively with our stockholders, while lowering the cost of conducting the Annual Meeting. Stockholders virtually attending the Annual Meeting will be afforded the same rights and opportunities to participate as they would at an in-person meeting. We encourage you to attend online and participate. We recommend that you log in a few minutes before 9:30 a.m., Eastern Time, to ensure you are logged in when the Annual Meeting starts.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52" w:lineRule="exact"/>
        <w:rPr>
          <w:sz w:val="20"/>
          <w:szCs w:val="20"/>
          <w:color w:val="auto"/>
        </w:rPr>
      </w:pPr>
    </w:p>
    <w:p>
      <w:pPr>
        <w:ind w:left="1420" w:right="20" w:hanging="427"/>
        <w:spacing w:after="0" w:line="282"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two Class II directors, Fouzia Laghrissi-Thode and Inderjit Kaul to the Board of Directors to hold office until the 2028 Annual Meeting of Stockholders.</w:t>
      </w:r>
    </w:p>
    <w:p>
      <w:pPr>
        <w:spacing w:after="0" w:line="188" w:lineRule="exact"/>
        <w:rPr>
          <w:rFonts w:ascii="Times New Roman" w:cs="Times New Roman" w:eastAsia="Times New Roman" w:hAnsi="Times New Roman"/>
          <w:sz w:val="18"/>
          <w:szCs w:val="18"/>
          <w:b w:val="1"/>
          <w:bCs w:val="1"/>
          <w:color w:val="auto"/>
        </w:rPr>
      </w:pPr>
    </w:p>
    <w:p>
      <w:pPr>
        <w:jc w:val="both"/>
        <w:ind w:left="1420" w:right="20" w:hanging="427"/>
        <w:spacing w:after="0" w:line="266"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of the Company’s Amended and Restated Certificate of Incorporation, as amended, to increase the total number of authorized shares of common stock, $0.0001 par value per share (the “Common Stock”), from 125,000,000 shares to 250,000,000 shares.</w:t>
      </w:r>
    </w:p>
    <w:p>
      <w:pPr>
        <w:spacing w:after="0" w:line="202" w:lineRule="exact"/>
        <w:rPr>
          <w:rFonts w:ascii="Times New Roman" w:cs="Times New Roman" w:eastAsia="Times New Roman" w:hAnsi="Times New Roman"/>
          <w:sz w:val="18"/>
          <w:szCs w:val="18"/>
          <w:b w:val="1"/>
          <w:bCs w:val="1"/>
          <w:color w:val="auto"/>
        </w:rPr>
      </w:pPr>
    </w:p>
    <w:p>
      <w:pPr>
        <w:jc w:val="both"/>
        <w:ind w:left="1420" w:hanging="427"/>
        <w:spacing w:after="0" w:line="261"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 purposes of complying with Nasdaq Listing Rules, including Rule 5635(d), the issuance of shares of Common Stock upon the conversion of the Company’s Series A Convertible Voting Preferred Stock, par value $0.0001 per share (“Series A Preferred Stock”), including shares of Common Stock issuable upon the conversion of any Series A Preferred Stock issuable upon exercise of warrants to purchase Series A Preferred Stock.</w:t>
      </w:r>
    </w:p>
    <w:p>
      <w:pPr>
        <w:spacing w:after="0" w:line="206" w:lineRule="exact"/>
        <w:rPr>
          <w:rFonts w:ascii="Times New Roman" w:cs="Times New Roman" w:eastAsia="Times New Roman" w:hAnsi="Times New Roman"/>
          <w:sz w:val="18"/>
          <w:szCs w:val="18"/>
          <w:b w:val="1"/>
          <w:bCs w:val="1"/>
          <w:color w:val="auto"/>
        </w:rPr>
      </w:pPr>
    </w:p>
    <w:p>
      <w:pPr>
        <w:ind w:left="1420" w:right="20" w:hanging="427"/>
        <w:spacing w:after="0" w:line="282"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Company’s Amended and Restated 2013 Equity Incentive Plan (the “2013 Plan”) to, among other things, increase the aggregate number of shares of Common Stock authorized for issuance under the 2013 Plan by 12,500,000 shares.</w:t>
      </w:r>
    </w:p>
    <w:p>
      <w:pPr>
        <w:spacing w:after="0" w:line="188"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252" w:lineRule="exact"/>
        <w:rPr>
          <w:rFonts w:ascii="Times New Roman" w:cs="Times New Roman" w:eastAsia="Times New Roman" w:hAnsi="Times New Roman"/>
          <w:sz w:val="18"/>
          <w:szCs w:val="18"/>
          <w:b w:val="1"/>
          <w:bCs w:val="1"/>
          <w:color w:val="auto"/>
        </w:rPr>
      </w:pPr>
    </w:p>
    <w:p>
      <w:pPr>
        <w:ind w:left="1420" w:right="20" w:hanging="427"/>
        <w:spacing w:after="0" w:line="282"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the Company for its fiscal year ending December 31, 2025.</w:t>
      </w:r>
    </w:p>
    <w:p>
      <w:pPr>
        <w:spacing w:after="0" w:line="188"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these proxy materials.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online, submit your questions during the Annual Meeting and vote your shares electronically during the meeting by visiting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entering the 16-digit</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control number included in your proxy card, voting instruction form, or in the instructions that you received via email. Please refer to the additional logistical details and recommendations in the accompanying proxy statement. </w:t>
      </w:r>
      <w:r>
        <w:rPr>
          <w:rFonts w:ascii="Times New Roman" w:cs="Times New Roman" w:eastAsia="Times New Roman" w:hAnsi="Times New Roman"/>
          <w:sz w:val="18"/>
          <w:szCs w:val="18"/>
          <w:b w:val="1"/>
          <w:bCs w:val="1"/>
          <w:color w:val="auto"/>
        </w:rPr>
        <w:t>Because the Annual Meeting is being held electronically, you will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able to attend the Annual Meeting in person.</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record date for the Annual Meeting is October 23, 2025. Only stockholders of record at the close of business on that date may vote at the Annual Meeting or any adjournment or postponement thereof. For the ten days prior to the Annual Meeting, a list of our stockholders as of the close of business on the record date and entitled to vote at the Annual Meeting will be available for examination during normal business hours by any stockholder of record for a legally valid purpose at our principal executive offices or by emailing us at info@minervaneurosciences.com. The stockholder list will also be available during the Annual Meeting at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Annual Meeting, we urge you to vote by proxy to ensure your vote is counted.</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505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Burlington,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166370</wp:posOffset>
            </wp:positionV>
            <wp:extent cx="6998970" cy="758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758825"/>
                    </a:xfrm>
                    <a:prstGeom prst="rect">
                      <a:avLst/>
                    </a:prstGeom>
                    <a:noFill/>
                  </pic:spPr>
                </pic:pic>
              </a:graphicData>
            </a:graphic>
          </wp:anchor>
        </w:drawing>
      </w:r>
    </w:p>
    <w:p>
      <w:pPr>
        <w:spacing w:after="0" w:line="264" w:lineRule="exact"/>
        <w:rPr>
          <w:sz w:val="20"/>
          <w:szCs w:val="20"/>
          <w:color w:val="auto"/>
        </w:rPr>
      </w:pPr>
    </w:p>
    <w:p>
      <w:pPr>
        <w:jc w:val="both"/>
        <w:ind w:left="240" w:right="140" w:firstLine="431"/>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Whether or not you expect to attend the Annual Meeting, you are urged to vote and submit your proxy by following the procedures described in the proxy card. Even if you have voted by proxy, you may still vote during the Annual Meeting. Please note, however, that if your shares are held of record by a broker, bank or other similar organization and you wish to vote during the Annual Meeting, you must obtain a proxy issued in your name from the record holder and follow the instructions from such organization.</w:t>
      </w:r>
    </w:p>
    <w:p>
      <w:pPr>
        <w:sectPr>
          <w:pgSz w:w="11900" w:h="16838" w:orient="portrait"/>
          <w:cols w:equalWidth="0" w:num="1">
            <w:col w:w="11140"/>
          </w:cols>
          <w:pgMar w:left="320" w:top="48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8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33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14"/>
          </w:tcPr>
          <w:p>
            <w:pPr>
              <w:spacing w:after="0"/>
              <w:rPr>
                <w:sz w:val="24"/>
                <w:szCs w:val="24"/>
                <w:color w:val="auto"/>
              </w:rPr>
            </w:pPr>
          </w:p>
        </w:tc>
        <w:tc>
          <w:tcPr>
            <w:tcW w:w="388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INFORMATION REGARDING THE BOARD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Independence of the Board</w:t>
            </w:r>
          </w:p>
        </w:tc>
        <w:tc>
          <w:tcPr>
            <w:tcW w:w="3920" w:type="dxa"/>
            <w:vAlign w:val="bottom"/>
            <w:tcBorders>
              <w:top w:val="single" w:sz="8" w:color="0000EE"/>
            </w:tcBorders>
            <w:gridSpan w:val="18"/>
          </w:tcPr>
          <w:p>
            <w:pPr>
              <w:spacing w:after="0"/>
              <w:rPr>
                <w:sz w:val="17"/>
                <w:szCs w:val="17"/>
                <w:color w:val="auto"/>
              </w:rPr>
            </w:pPr>
          </w:p>
        </w:tc>
        <w:tc>
          <w:tcPr>
            <w:tcW w:w="414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Role of the Board in Risk Oversight</w:t>
            </w:r>
          </w:p>
        </w:tc>
        <w:tc>
          <w:tcPr>
            <w:tcW w:w="7400" w:type="dxa"/>
            <w:vAlign w:val="bottom"/>
            <w:gridSpan w:val="2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Prohibitions On Hedging, Pledging and Speculative Transactions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Meetings of the Board</w:t>
            </w:r>
          </w:p>
        </w:tc>
        <w:tc>
          <w:tcPr>
            <w:tcW w:w="3060" w:type="dxa"/>
            <w:vAlign w:val="bottom"/>
            <w:tcBorders>
              <w:top w:val="single" w:sz="8" w:color="0000EE"/>
            </w:tcBorders>
            <w:gridSpan w:val="16"/>
          </w:tcPr>
          <w:p>
            <w:pPr>
              <w:spacing w:after="0"/>
              <w:rPr>
                <w:sz w:val="17"/>
                <w:szCs w:val="17"/>
                <w:color w:val="auto"/>
              </w:rPr>
            </w:pPr>
          </w:p>
        </w:tc>
        <w:tc>
          <w:tcPr>
            <w:tcW w:w="532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Committees of the Board</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1880" w:type="dxa"/>
            <w:vAlign w:val="bottom"/>
            <w:tcBorders>
              <w:top w:val="single" w:sz="8" w:color="0000EE"/>
            </w:tcBorders>
            <w:gridSpan w:val="11"/>
          </w:tcPr>
          <w:p>
            <w:pPr>
              <w:spacing w:after="0"/>
              <w:rPr>
                <w:sz w:val="17"/>
                <w:szCs w:val="17"/>
                <w:color w:val="auto"/>
              </w:rPr>
            </w:pPr>
          </w:p>
        </w:tc>
        <w:tc>
          <w:tcPr>
            <w:tcW w:w="650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w:t>
            </w:r>
          </w:p>
        </w:tc>
        <w:tc>
          <w:tcPr>
            <w:tcW w:w="7760" w:type="dxa"/>
            <w:vAlign w:val="bottom"/>
            <w:gridSpan w:val="2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Communications with the Board</w:t>
            </w:r>
          </w:p>
        </w:tc>
        <w:tc>
          <w:tcPr>
            <w:tcW w:w="674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PROPOSAL 2 APPROVAL OF AN AMENDMENT TO OUR AMENDED AND RESTATED CERTIFICATE OF INCORPORATION TO</w:t>
            </w:r>
          </w:p>
        </w:tc>
        <w:tc>
          <w:tcPr>
            <w:tcW w:w="6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00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INCREASE THE NUMBER OF AUTHORIZED CAPITAL STOCK</w:t>
            </w:r>
          </w:p>
        </w:tc>
        <w:tc>
          <w:tcPr>
            <w:tcW w:w="4680" w:type="dxa"/>
            <w:vAlign w:val="bottom"/>
            <w:tcBorders>
              <w:top w:val="single" w:sz="8" w:color="0000EE"/>
            </w:tcBorders>
            <w:gridSpan w:val="9"/>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304"/>
        </w:trPr>
        <w:tc>
          <w:tcPr>
            <w:tcW w:w="120" w:type="dxa"/>
            <w:vAlign w:val="bottom"/>
          </w:tcPr>
          <w:p>
            <w:pPr>
              <w:spacing w:after="0"/>
              <w:rPr>
                <w:sz w:val="24"/>
                <w:szCs w:val="24"/>
                <w:color w:val="auto"/>
              </w:rPr>
            </w:pPr>
          </w:p>
        </w:tc>
        <w:tc>
          <w:tcPr>
            <w:tcW w:w="63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PROPOSAL 3 APPROVAL OF CONVERSION OF SERIES A PREFERRED STOCK</w:t>
            </w:r>
          </w:p>
        </w:tc>
        <w:tc>
          <w:tcPr>
            <w:tcW w:w="40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0" w:type="dxa"/>
            <w:vAlign w:val="bottom"/>
          </w:tcPr>
          <w:p>
            <w:pPr>
              <w:spacing w:after="0"/>
              <w:rPr>
                <w:sz w:val="24"/>
                <w:szCs w:val="24"/>
                <w:color w:val="auto"/>
              </w:rPr>
            </w:pPr>
          </w:p>
        </w:tc>
        <w:tc>
          <w:tcPr>
            <w:tcW w:w="94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PROPOSAL 4 APPROVAL OF AN AMENDMENT TO THE AMENDED AND RESTATED 2013 EQUITY INCENTIVE PLAN</w:t>
            </w:r>
          </w:p>
        </w:tc>
        <w:tc>
          <w:tcPr>
            <w:tcW w:w="92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20" w:type="dxa"/>
            <w:vAlign w:val="bottom"/>
          </w:tcPr>
          <w:p>
            <w:pPr>
              <w:spacing w:after="0"/>
              <w:rPr>
                <w:sz w:val="24"/>
                <w:szCs w:val="24"/>
                <w:color w:val="auto"/>
              </w:rPr>
            </w:pPr>
          </w:p>
        </w:tc>
        <w:tc>
          <w:tcPr>
            <w:tcW w:w="53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PROPOSAL 5 ADVISORY VOTE ON EXECUTIVE COMPENSATION</w:t>
            </w:r>
          </w:p>
        </w:tc>
        <w:tc>
          <w:tcPr>
            <w:tcW w:w="502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120" w:type="dxa"/>
            <w:vAlign w:val="bottom"/>
          </w:tcPr>
          <w:p>
            <w:pPr>
              <w:spacing w:after="0"/>
              <w:rPr>
                <w:sz w:val="24"/>
                <w:szCs w:val="24"/>
                <w:color w:val="auto"/>
              </w:rPr>
            </w:pPr>
          </w:p>
        </w:tc>
        <w:tc>
          <w:tcPr>
            <w:tcW w:w="87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PROPOSAL 6 RATIFICATION OF SELECTION OF INDEPENDENT REGISTERED PUBLIC ACCOUNTING FIRM</w:t>
            </w:r>
          </w:p>
        </w:tc>
        <w:tc>
          <w:tcPr>
            <w:tcW w:w="162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4"/>
        </w:trPr>
        <w:tc>
          <w:tcPr>
            <w:tcW w:w="120" w:type="dxa"/>
            <w:vAlign w:val="bottom"/>
          </w:tcPr>
          <w:p>
            <w:pPr>
              <w:spacing w:after="0"/>
              <w:rPr>
                <w:sz w:val="24"/>
                <w:szCs w:val="24"/>
                <w:color w:val="auto"/>
              </w:rPr>
            </w:pPr>
          </w:p>
        </w:tc>
        <w:tc>
          <w:tcPr>
            <w:tcW w:w="1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8460" w:type="dxa"/>
            <w:vAlign w:val="bottom"/>
            <w:gridSpan w:val="29"/>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4"/>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4"/>
        </w:trPr>
        <w:tc>
          <w:tcPr>
            <w:tcW w:w="12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19"/>
          </w:tcPr>
          <w:p>
            <w:pPr>
              <w:spacing w:after="0"/>
              <w:rPr>
                <w:sz w:val="24"/>
                <w:szCs w:val="24"/>
                <w:color w:val="auto"/>
              </w:rPr>
            </w:pPr>
          </w:p>
        </w:tc>
        <w:tc>
          <w:tcPr>
            <w:tcW w:w="364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Arrangements with Our Executive Officers</w:t>
            </w:r>
          </w:p>
        </w:tc>
        <w:tc>
          <w:tcPr>
            <w:tcW w:w="664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9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TRANSACTIONS WITH RELATED PERSONS RELATED PERSON TRANSACTIONS POLICY AND PROCEDURES</w:t>
            </w:r>
          </w:p>
        </w:tc>
        <w:tc>
          <w:tcPr>
            <w:tcW w:w="146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00" w:type="dxa"/>
            <w:vAlign w:val="bottom"/>
            <w:tcBorders>
              <w:right w:val="single" w:sz="8" w:color="0000EE"/>
            </w:tcBorders>
            <w:gridSpan w:val="10"/>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9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460" w:type="dxa"/>
            <w:vAlign w:val="bottom"/>
            <w:gridSpan w:val="16"/>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4"/>
        </w:trPr>
        <w:tc>
          <w:tcPr>
            <w:tcW w:w="120" w:type="dxa"/>
            <w:vAlign w:val="bottom"/>
          </w:tcPr>
          <w:p>
            <w:pPr>
              <w:spacing w:after="0"/>
              <w:rPr>
                <w:sz w:val="24"/>
                <w:szCs w:val="24"/>
                <w:color w:val="auto"/>
              </w:rPr>
            </w:pPr>
          </w:p>
        </w:tc>
        <w:tc>
          <w:tcPr>
            <w:tcW w:w="3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HOUSEHOLDING OF PROXY MATERIALS</w:t>
            </w:r>
          </w:p>
        </w:tc>
        <w:tc>
          <w:tcPr>
            <w:tcW w:w="6900" w:type="dxa"/>
            <w:vAlign w:val="bottom"/>
            <w:gridSpan w:val="20"/>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04"/>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360" w:type="dxa"/>
            <w:vAlign w:val="bottom"/>
            <w:gridSpan w:val="17"/>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APPENDIX A: Certificate of Amendment to the Amended and Restated Certificate of Incorporation</w:t>
            </w:r>
          </w:p>
        </w:tc>
        <w:tc>
          <w:tcPr>
            <w:tcW w:w="31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04"/>
        </w:trPr>
        <w:tc>
          <w:tcPr>
            <w:tcW w:w="120" w:type="dxa"/>
            <w:vAlign w:val="bottom"/>
          </w:tcPr>
          <w:p>
            <w:pPr>
              <w:spacing w:after="0"/>
              <w:rPr>
                <w:sz w:val="24"/>
                <w:szCs w:val="24"/>
                <w:color w:val="auto"/>
              </w:rPr>
            </w:pPr>
          </w:p>
        </w:tc>
        <w:tc>
          <w:tcPr>
            <w:tcW w:w="103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APPENDIX B: Amended and Restated 2013 Equity Incentive Plan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385"/>
        </w:trPr>
        <w:tc>
          <w:tcPr>
            <w:tcW w:w="1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0"/>
          </w:tcPr>
          <w:p>
            <w:pPr>
              <w:jc w:val="center"/>
              <w:ind w:right="4720"/>
              <w:spacing w:after="0"/>
              <w:rPr>
                <w:sz w:val="20"/>
                <w:szCs w:val="20"/>
                <w:color w:val="auto"/>
              </w:rPr>
            </w:pPr>
            <w:r>
              <w:rPr>
                <w:rFonts w:ascii="Times New Roman" w:cs="Times New Roman" w:eastAsia="Times New Roman" w:hAnsi="Times New Roman"/>
                <w:sz w:val="18"/>
                <w:szCs w:val="18"/>
                <w:color w:val="auto"/>
                <w:w w:val="78"/>
              </w:rPr>
              <w:t>i</w:t>
            </w: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1500 District Avenue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December 22, 2025</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of Minerva Neurosciences, Inc. (sometimes referred to as the “Company” or “Minerva”) is soliciting your proxy to vote at the 2025 Annual Meeting of Stockholders (the “Annual Meeting”), including at any adjournments or postponements of the meeting. You are invited to attend the annual meeting online to vote on the proposals described in this proxy statement. However, you do not need to attend the meeting to vote your shares. Instead, you may simply complete, sign and return the enclosed proxy card, or follow the instructions below to submit your proxy over the phone or through the internet.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first mail these proxy materials on or about November 24, 2025 to all stockholders of record entitled to vote at the Annual Meeting.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27"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cannot attend the Annual Meeting physically. You can attend the annual meeting by visiting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 where you will be able to listen to the Annual Meeting live, submit questions and vote online.</w:t>
      </w:r>
    </w:p>
    <w:p>
      <w:pPr>
        <w:spacing w:after="0" w:line="16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meeting will be held on Monday, December 22, 2025 at 9:30 a.m. Eastern time. We recommend that you log in a few minutes before 9:30 a.m., Eastern Time, to ensure you are logged in when the Annual Meeting starts. The virtual meeting room will open 15 minutes before the start of the Annual Meeting. We have worked to offer the same participation opportunities as would be provided at an in-person meeting while further enhancing the online experience available to all stockholders regardless of their location. However, please be aware that you must bear any costs associated with your internet access, such as usage charges from internet access providers and telephone companies.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order to enter the Annual Meeting virtually, you will need the unique 16-digit control number, which is included in your proxy card or voting instruction form if you are a stockholder of record of the shares, or included with your voting instruction card and voting instructions received from your broker, bank, trustee, or nominee if you are the beneficial owner of the shares held in “street name.”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Annual Meeting?</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spacing w:after="0" w:line="284" w:lineRule="auto"/>
        <w:rPr>
          <w:sz w:val="20"/>
          <w:szCs w:val="20"/>
          <w:color w:val="auto"/>
        </w:rPr>
      </w:pPr>
      <w:r>
        <w:rPr>
          <w:rFonts w:ascii="Times New Roman" w:cs="Times New Roman" w:eastAsia="Times New Roman" w:hAnsi="Times New Roman"/>
          <w:sz w:val="18"/>
          <w:szCs w:val="18"/>
          <w:color w:val="auto"/>
        </w:rPr>
        <w:t xml:space="preserve">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 Technical support will be available starting 15 minutes prior to the start of the Annual Meeting.</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virtually attend the Annual Meeting?</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may vote your shares electronically before the meeting by internet, by proxy or by telephone as described below. You do not need to access the Annual Meeting audio-only webcast to vote if you submitted your vote via proxy, by internet or by telephone in advance of the Annual Meeting.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ten days prior to the Annual Meeting, a list of our stockholders as of the close of business on October 23, 2025, the record date of the Annual Meeting, will be available for examination during normal business hours by any stockholder of record for a legally valid purpose at our principal executive offices or by emailing us at info@minervaneurosciences.com. The stockholder list will also be available during the Annual Meeting at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Only stockholders of record of our common stock, $0.0001 par value per share (the “Common Stock”), and our Series A Convertible Voting Preferred Stock, par value $0.0001 per share (“Series A Preferred Stock”), at the close of business on October 23, 2025 (the “Record Date”) are entitled to notice of and to vote at the Annual Meeting, but, in the case of Series A Preferred Stock, subject to the Maximum Percentage and the Cap discussed below. On the Record Date, there were 6,993,406 shares of Common Stock outstanding and entitled to vote and 1,391,674 shares of Series A Preferred Stock outstanding and entitled to vote on an as-converted basis (other than with respect to Proposal 3, as described herein).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Computershare Trust Company, N.A., then you are a stockholder of record. As a stockholder of record, you may vote at the Annual Meeting virtually or vote by proxy prior to the Annual Meeting. Whether or not you plan to attend the Annual Meeting, we urge you to vote by proxy electronically through the Internet, over the telephone or by completing and returning the enclosed proxy card to ensure your vote is counted.</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virtually attend the Annual Meeting via the following link: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 However, because you are not the stockholder of record, you may not vote your shares virtually at the meeting via the link unless you request and obtain a valid proxy from your broker, bank or other agent. Check with your brokerage firm, bank, dealer or other similar organization, and follow the instructions you receive from your brokerage firm, bank, dealer or other similar organization prior to the Annual Meeting.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252" w:lineRule="exact"/>
        <w:rPr>
          <w:sz w:val="20"/>
          <w:szCs w:val="20"/>
          <w:color w:val="auto"/>
        </w:rPr>
      </w:pPr>
    </w:p>
    <w:p>
      <w:pPr>
        <w:ind w:left="980" w:right="20" w:hanging="43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 directors, Dr. Fouzia Laghrissi-Thode and Inderjit Kaul, to hold office until the 2028 Annual Meeting of Stockholders (Proposal 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980" w:right="2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Company’s Amended and Restated Certificate of Incorporation, as amended, to increase the total number of authorized shares of Common Stock from 125,000,000 shares to 250,000,000 shares (Proposal 2);</w:t>
      </w:r>
    </w:p>
    <w:p>
      <w:pPr>
        <w:spacing w:after="0" w:line="188" w:lineRule="exact"/>
        <w:rPr>
          <w:rFonts w:ascii="Times New Roman" w:cs="Times New Roman" w:eastAsia="Times New Roman" w:hAnsi="Times New Roman"/>
          <w:sz w:val="18"/>
          <w:szCs w:val="18"/>
          <w:color w:val="auto"/>
        </w:rPr>
      </w:pPr>
    </w:p>
    <w:p>
      <w:pPr>
        <w:jc w:val="both"/>
        <w:ind w:left="980" w:right="20" w:hanging="43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for purposes of complying with Nasdaq Listing Rules, including Rule 5635(d), the issuance of shares of Common Stock upon the conversion of the Series A Preferred Stock, including shares of Common Stock issuable upon the conversion of any Series A Preferred Stock issuable upon exercise of warrants to purchase Series A Preferred Stock (Proposal 3);</w:t>
      </w:r>
    </w:p>
    <w:p>
      <w:pPr>
        <w:spacing w:after="0" w:line="202"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2013 Plan to, among other things, increase the aggregate number of shares of Common Stock authorized for issuance under the 2013 Plan by 12,500,000 shares (Proposal 4);</w:t>
      </w:r>
    </w:p>
    <w:p>
      <w:pPr>
        <w:spacing w:after="0" w:line="188"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“say-on-pay” vote on our executive compensation (Proposal 5); and</w:t>
      </w:r>
    </w:p>
    <w:p>
      <w:pPr>
        <w:spacing w:after="0" w:line="252"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Deloitte &amp; Touche LLP as the independent registered public accounting firm of the Company for its fiscal year ending December 31, 2025 (Proposal 6).</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With respect to Proposal 1, you may either vote “FOR” each nominee to the Board or you may “WITHHOLD” your vote for the nominee. For all other matters, you may vote “FOR” or “AGAINST” or abstain from voting.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you may vote by virtually attending the Annual Meeting (by visiting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 vote by proxy over the telephone, vote by proxy over the Internet, or vote by proxy using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Whether or not you plan to virtually attend the Annual Meeting, we urge you to vote by proxy to ensure your vote is counted. You may still virtually attend the Annual Meeting and vote even if you have already voted by proxy.</w:t>
      </w:r>
    </w:p>
    <w:p>
      <w:pPr>
        <w:spacing w:after="0" w:line="203" w:lineRule="exact"/>
        <w:rPr>
          <w:sz w:val="20"/>
          <w:szCs w:val="20"/>
          <w:color w:val="auto"/>
        </w:rPr>
      </w:pPr>
    </w:p>
    <w:p>
      <w:pPr>
        <w:jc w:val="both"/>
        <w:ind w:left="980" w:right="20" w:hanging="432"/>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To vote through the internet, go to www.proxyvote.com to complete an electronic proxy card. You will be asked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control number printed on your proxy card. Your Internet vote must be received by 11:59 p.m., Eastern Time, on December 21, 2025 to be counted.</w:t>
      </w:r>
    </w:p>
    <w:p>
      <w:pPr>
        <w:spacing w:after="0" w:line="197" w:lineRule="exact"/>
        <w:rPr>
          <w:rFonts w:ascii="Times New Roman" w:cs="Times New Roman" w:eastAsia="Times New Roman" w:hAnsi="Times New Roman"/>
          <w:sz w:val="18"/>
          <w:szCs w:val="18"/>
          <w:color w:val="auto"/>
        </w:rPr>
      </w:pPr>
    </w:p>
    <w:p>
      <w:pPr>
        <w:jc w:val="both"/>
        <w:ind w:left="980" w:right="20" w:hanging="432"/>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Call 1-800-690-6903 toll-free from the United States, U.S. territories and Canada, and follow the instructions on your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You will be asked to provide your control number printed on your proxy card. Your telephone vote must be received by 11:59 p.m., Eastern Time, on December 21, 2025 to be counted.</w:t>
      </w:r>
    </w:p>
    <w:p>
      <w:pPr>
        <w:spacing w:after="0" w:line="197" w:lineRule="exact"/>
        <w:rPr>
          <w:rFonts w:ascii="Times New Roman" w:cs="Times New Roman" w:eastAsia="Times New Roman" w:hAnsi="Times New Roman"/>
          <w:sz w:val="18"/>
          <w:szCs w:val="18"/>
          <w:color w:val="auto"/>
        </w:rPr>
      </w:pPr>
    </w:p>
    <w:p>
      <w:pPr>
        <w:jc w:val="both"/>
        <w:ind w:left="980" w:hanging="432"/>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Proxy Card</w:t>
      </w:r>
      <w:r>
        <w:rPr>
          <w:rFonts w:ascii="Times New Roman" w:cs="Times New Roman" w:eastAsia="Times New Roman" w:hAnsi="Times New Roman"/>
          <w:sz w:val="18"/>
          <w:szCs w:val="18"/>
          <w:color w:val="auto"/>
        </w:rPr>
        <w:t>. Complete, sign and date the proxy card and return it promptly in the envelope provided. If we receive your signed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to us before the Annual Meeting, we will vote your shares as you direct. Your proxy card must be received by 11:59 p.m., Eastern Time, on December 21, 2025 to be counted.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80" w:right="20" w:hanging="432"/>
        <w:spacing w:after="0" w:line="28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During the Annual Meeting</w:t>
      </w:r>
      <w:r>
        <w:rPr>
          <w:rFonts w:ascii="Times New Roman" w:cs="Times New Roman" w:eastAsia="Times New Roman" w:hAnsi="Times New Roman"/>
          <w:sz w:val="18"/>
          <w:szCs w:val="18"/>
          <w:color w:val="auto"/>
        </w:rPr>
        <w:t>. Access the Annual Meeting by visiting www.virtualshareholdermeeting.com/NERV2025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your control number from the proxy materials.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proxy materials containing voting instructions from that organization rather than from the Company. Simply follow the voting instructions in such proxy materials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w:t>
      </w:r>
    </w:p>
    <w:p>
      <w:pPr>
        <w:spacing w:after="0" w:line="179"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such proxy materials to ensure that all of your shares are voted.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each matter to be voted upon, as holders of our Common Stock, you have one vote for each share of Common Stock you own as of the close of business on the Record Date.</w:t>
      </w:r>
    </w:p>
    <w:p>
      <w:pPr>
        <w:spacing w:after="0" w:line="16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Each share of our Series A Preferred Stock outstanding as of the Record Date has the right to vote on an as-converted to Common Stock basis, together with the shares of Common Stock and voting together as a single class, on all matters presented to the stockholders for approval (other than Proposal 3, as described herein), subject to the Maximum Percentage (as defined below) and, prior to the approval of Proposal 3, the Cap (as defined below). The voting of the Series A Preferred Stock is limited by the Certificate of Designation of Preferences, Rights and Limitations of Series A Convertible Voting Preferred Stock (the “Certificate of Designation”), which provides that the Company shall not affect any conversion of the Series A Preferred Stock, and the portion of the Series A Preferred Stock shall not automatically convert, to the extent that, after giving effect to such conversion, the holder and its affiliates and Attribution Parties (as defined in the Certificate of Designation) would beneficially own in excess of 9.99% (the “Maximum Percentage”) of the shares of Common Stock outstanding immediately after giving effect to such conversion. For purposes of the foregoing sentence, the aggregate number of shares of Common Stock beneficially owned by such the holder and its affiliates and Attribution Parties shall include the number of shares of Common Stock held by the holder and its affiliates and Attribution Parties, plus the number of shares of Common Stock issuable upon conversion of the Series A Preferred Stock with respect to which the determination of such sentence is being made, but shall exclude shares of Common Stock which would be issuable upon (i) exercise of the remaining, unconverted portion of the Series A Preferred Stock beneficially owned by such holder and its affiliates and Attribution Parties and (ii) exercise or conversion of the unexercised or unconverted portion of any other securities of the Company beneficially owned by such holder and its affiliates and Attribution Parties (including, without limitation, any convertible notes or convertible preferred stock or warrants) subject to a limitation on conversion or exercise analogous to the limitation contained herein. The determination of whether the Series A Preferred Stock is convertible (in relation to other securities owned by such holder together with any affiliates and Attribution Parties) and of how many shares of Series A Preferred Stock are convertible is in the sole discretion of such holder.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until Proposal 3 is approved by the requisite vote of our stockholders, the number of shares of Common Stock that shall be deemed issued upon conversion of the Series A Preferred Stock (for purposes of calculating the aggregate votes the holders of Series A Preferred Stock are entitled to on an as-if-converted-to-Common-Stock basis) will be equal to the number of shares of Common Stock equal to 19.9% of the Company’s outstanding Common Stock as of October 21, 2025, rounded down to the nearest whole share (excluding for purposes of the calculation, any securities issued on such date). Therefore, the “Cap” is equal to 1,391,674 shares of Common Stock, with each holder of Series A Preferred Stock being able to vote the number of shares of Series A Preferred Stock held by it relative to the total number of shares of Series A Preferred Stock then outstanding, multiplied by the Cap.</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Maximum Percentage and the Cap can be found in the Certificate of Designation, a copy of which is filed as Exhibit 3.1 to the Company’s Current Report on Form 8-K filed with the Securities and Exchange Commission (the “SEC”) on October 21, 2025 and is incorporated herein by reference.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Therefore, for purposes of Proposals 1, 2, 4, 5 and 6, there are 6,993,406 shares of Common Stock entitled to vote as of the Record Date and 1,391,674 shares of Series A Preferred Stock entitled to vote as of the Record Date on an as-converted basis. For purposes of Proposal 3, there are 6,993,406 shares of Common Stock entitled to vote as of the Record Date.</w:t>
      </w:r>
    </w:p>
    <w:p>
      <w:pPr>
        <w:spacing w:after="0" w:line="172"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enclosed proxy card or online during the Annual Meeting, your shares will not be voted.</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without indicating how you want your shares voted on each proposal or otherwise vote without making voting selections for each proposal, your shares will be voted in accordance with the recommendations of our Board of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two nominees for director under Proposal 1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Proposals 2, 3, 4, 5 and 6. If any other matter is properly presented at the Annual Meeting, your proxyholder (one of the individuals named on your proxy card) will vote your shares using his or her best judgment.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All brokers registered as members with NYSE are subject to NYSE rules and, accordingly, NYSE Rules apply to the voting of all shares held in a brokerage account, including shares of a company like ours listed on The Nasdaq Stock Market. In this regard NYSE has advised us that Proposals 1, 3, 4 and 5 are considered to be “non-routine” under NYSE rules meaning that your broker may not vote your shares on Proposals 1, 3, 4 and 5 in the absence of your voting instructions. However, Proposals 2 and 6 are considered to be “routine” matters under NYSE rules, meaning that if you do not return voting instructions to your broker by its deadline, your shares may be voted by your broker in its discretion on Proposals 2 and 6.</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Proposals 1, 3, 4 and 5 are each considered “non-routine,” which would result in a “broker non-vote” and these shares will not be counted as having been voted on the applicable proposal. Your broker, bank or other agent cannot vote your shares on these proposals without your instructions. Please instruct your bank, broker or other agent to ensure that your vote will be counted.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Proposals 2 and 6 are considered “routine” matters, and your broker, bank or other agent may vote your shares on these proposals even in the absence of your instructions.</w:t>
      </w:r>
    </w:p>
    <w:p>
      <w:pPr>
        <w:spacing w:after="0" w:line="158"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89" w:lineRule="exact"/>
        <w:rPr>
          <w:sz w:val="20"/>
          <w:szCs w:val="20"/>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252"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252" w:lineRule="exact"/>
        <w:rPr>
          <w:rFonts w:ascii="Times New Roman" w:cs="Times New Roman" w:eastAsia="Times New Roman" w:hAnsi="Times New Roman"/>
          <w:sz w:val="18"/>
          <w:szCs w:val="18"/>
          <w:color w:val="auto"/>
        </w:rPr>
      </w:pPr>
    </w:p>
    <w:p>
      <w:pPr>
        <w:jc w:val="both"/>
        <w:ind w:left="980" w:hanging="432"/>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during the meeting. Simply attending the Annual Meeting will not, by itself,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206"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written notice of revocation to our Secretary at Minerva Neurosciences, Inc., 1500 District Avenue, Burlington, Massachusetts 01803 before the time the Annual Meeting begins.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your shares are held by a broker, bank or other agent, you should follow the instructions provided by your broker, bank or other agent.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July 27, 2026, to the Company’s Corporate Secretary at Minerva Neurosciences, Inc., 1500 District Avenue, Burlington, Massachusetts 01803, and you must comply with all applicable requirements of Rule 14a-8 promulgated under the Securities Exchange Act of 1934, as amended, or the Exchange Act; provided, however, that if our 2026 Annual Meeting of Stockholders is more than 30 days before or after December 22, 2026, then the deadline is a reasonable amount of time prior to the date we begin to print and mail our proxy materials for the 2026 Annual Meeting of Stockholders.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our Bylaws, if you wish to bring a proposal before the stockholders or nominate a director at the 2026 Annual Meeting of Stockholders, but you are not requesting that your proposal or nomination be included in next year’s proxy materials, you must notify our Corporate Secretary, in writing, not later than the close of business on September 23, 2026 nor earlier than the close of business on August 24, 2026; provided, however, if our 2026 Annual Meeting of Stockholders is more than 30 days before or after the anniversary date of this year’s Annual Meeting, to be timely, notice by the stockholder must be received not later than the 15th day following the day on which public announcement of the date of the Annual Meeting of Stockholders is first made. You are also advised to review our Bylaws, which contain additional requirements about advance notice of stockholder proposals and director nominations.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the proposal to elect directors (Proposal 1), votes “For,” “Withhold,” and broker non-votes; and, with respect to the other proposals, votes “For” and “Against,” abstentions and, if applicable, broker non-votes. Abstentions will have no effect on Proposals 2, 3 and 4. Abstentions will be counted towards the vote total for each of Proposals 5 and 6 and will have the same effect as “Against” votes. Broker non-votes on Proposals 1, 3, 4 and 5 will have no effect and will not be counted towards the vote total for any of those proposals.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bank or nominee holding the shares as to how to vote on matters deemed to be “non-routine,” the broker, bank or nominee cannot vote the shares. These unvoted shares are counted as “broker non-votes.” Proposals 1, 3, 4 and 5 are considered to be “non-routine” and we therefore expect broker non-votes to exist in connection with those proposals.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87"/>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3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492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44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60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30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0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3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Election of Directors</w:t>
            </w:r>
          </w:p>
        </w:tc>
        <w:tc>
          <w:tcPr>
            <w:tcW w:w="492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The two nominees receiving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w:t>
            </w:r>
          </w:p>
        </w:tc>
        <w:tc>
          <w:tcPr>
            <w:tcW w:w="14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Not applicable</w:t>
            </w:r>
          </w:p>
        </w:tc>
        <w:tc>
          <w:tcPr>
            <w:tcW w:w="1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holders of shares, either present virtually at the meeting or</w:t>
            </w: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represented by proxy, and entitled to vote on the election of</w:t>
            </w: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directors will be elected; withheld votes will have no effect.</w:t>
            </w: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Charter Amendment</w:t>
            </w:r>
          </w:p>
        </w:tc>
        <w:tc>
          <w:tcPr>
            <w:tcW w:w="6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shares representing a majority No effect</w:t>
            </w: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votes cast on the proposal, either present virtually at the</w:t>
            </w:r>
          </w:p>
        </w:tc>
        <w:tc>
          <w:tcPr>
            <w:tcW w:w="1440" w:type="dxa"/>
            <w:vAlign w:val="bottom"/>
          </w:tcPr>
          <w:p>
            <w:pPr>
              <w:spacing w:after="0"/>
              <w:rPr>
                <w:sz w:val="18"/>
                <w:szCs w:val="18"/>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meeting or represented by proxy, and entitled to vote on the</w:t>
            </w: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matter.</w:t>
            </w: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20"/>
        <w:spacing w:after="0" w:line="264" w:lineRule="auto"/>
        <w:rPr>
          <w:sz w:val="20"/>
          <w:szCs w:val="20"/>
          <w:color w:val="auto"/>
        </w:rPr>
      </w:pPr>
      <w:r>
        <w:rPr>
          <w:rFonts w:ascii="Times New Roman" w:cs="Times New Roman" w:eastAsia="Times New Roman" w:hAnsi="Times New Roman"/>
          <w:sz w:val="14"/>
          <w:szCs w:val="14"/>
          <w:b w:val="1"/>
          <w:bCs w:val="1"/>
          <w:color w:val="auto"/>
        </w:rPr>
        <w:t>Proposal Number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92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32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380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92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192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37"/>
        </w:trPr>
        <w:tc>
          <w:tcPr>
            <w:tcW w:w="32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660" w:space="220"/>
            <w:col w:w="10260"/>
          </w:cols>
          <w:pgMar w:left="320" w:top="482" w:right="439" w:bottom="144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4</w:t>
      </w: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5</w:t>
      </w: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Issuance of Shares of Common Stock upon the conversion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Approval of an amendment to the 2013 Plan.</w:t>
      </w:r>
    </w:p>
    <w:p>
      <w:pPr>
        <w:spacing w:after="0" w:line="2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Advisory “say-on-pay” vote on executive compensation</w:t>
      </w:r>
    </w:p>
    <w:p>
      <w:pPr>
        <w:spacing w:after="0" w:line="2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Ratification of the selection of Deloitte &amp; Touche LLP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74295</wp:posOffset>
            </wp:positionV>
            <wp:extent cx="1680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of</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effect</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cast on the proposal, either present virtually at the</w:t>
            </w: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meeting or represented by proxy, and entitled to vote on the matter.</w:t>
            </w: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Pursuant to the rules of the Nasdaq Stock Market, shares of the</w:t>
            </w: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are not entitled to vote on an as-</w:t>
            </w: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converted to Common Stock basis on this proposal.</w:t>
            </w: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shares representing a majority of</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effect</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votes cast on the proposal, either present virtually at the</w:t>
            </w: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meeting or represented by proxy, and entitled to vote on the matter.</w:t>
            </w: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shares representing a majority of</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Against</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either present virtually at the meeting or represented by</w:t>
            </w: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proxy, and entitled to vote on the matter.</w:t>
            </w: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shares representing a majority of</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Against</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either present virtually at the meeting or represented by</w:t>
            </w:r>
          </w:p>
        </w:tc>
        <w:tc>
          <w:tcPr>
            <w:tcW w:w="96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applicable(1)</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proxy, and entitled to vote on the matter.</w:t>
            </w: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382" w:lineRule="exact"/>
        <w:rPr>
          <w:sz w:val="20"/>
          <w:szCs w:val="20"/>
          <w:color w:val="auto"/>
        </w:rPr>
      </w:pPr>
    </w:p>
    <w:p>
      <w:pPr>
        <w:sectPr>
          <w:pgSz w:w="11900" w:h="16838" w:orient="portrait"/>
          <w:cols w:equalWidth="0" w:num="3">
            <w:col w:w="380" w:space="720"/>
            <w:col w:w="2400" w:space="240"/>
            <w:col w:w="7400"/>
          </w:cols>
          <w:pgMar w:left="320" w:top="482" w:right="439" w:bottom="1440" w:gutter="0" w:footer="0" w:header="0"/>
          <w:type w:val="continuous"/>
        </w:sectPr>
      </w:pPr>
    </w:p>
    <w:p>
      <w:pPr>
        <w:ind w:left="980" w:right="20" w:hanging="432"/>
        <w:spacing w:after="0" w:line="261"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presence at the Annual Meeting, in person virtually or represented by proxy, of the holders of a majority of the shares of our Common Stock and Series A Preferred Stock (on an as-if-converted-to-Common-Stock basis, subject to the Maximum Percentage and the Cap with respect to the Series A Preferred Stock) issued and outstanding and entitled to vote at the Annual Meeting will constitute a quorum for purposes of voting at the Annual Meeting. Attendance at the Annual Meeting, albeit virtual, constitutes presence in person for purposes of a quorum. On the Record Date, there were 6,993,406 shares of Common Stock outstanding and entitled to vote and 1,391,674 shares of Series A Preferred Stock outstanding and entitled to vote on an as-converted basis (other than with respect to Proposal 3, as described herein). Thus, the holders of 4,192,540 shares of Common Stock and Series A Preferred Stock (on an as-converted basis) must be present by virtual attendance or represented by proxy at the Annual Meeting to have a quorum.</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Your shares will be counted towards the quorum only if you submit a valid proxy (or one is submitted on your behalf by your broker, bank or other nominee) or if you virtually attend the Annual Meeting at </w:t>
      </w:r>
      <w:r>
        <w:rPr>
          <w:rFonts w:ascii="Times New Roman" w:cs="Times New Roman" w:eastAsia="Times New Roman" w:hAnsi="Times New Roman"/>
          <w:sz w:val="18"/>
          <w:szCs w:val="18"/>
          <w:i w:val="1"/>
          <w:iCs w:val="1"/>
          <w:color w:val="auto"/>
        </w:rPr>
        <w:t>www.virtualshareholdermeeting.com/NERV2025</w:t>
      </w:r>
      <w:r>
        <w:rPr>
          <w:rFonts w:ascii="Times New Roman" w:cs="Times New Roman" w:eastAsia="Times New Roman" w:hAnsi="Times New Roman"/>
          <w:sz w:val="18"/>
          <w:szCs w:val="18"/>
          <w:color w:val="auto"/>
        </w:rPr>
        <w:t>. Abstentions and broker non-votes are counted as present and entitled to vote for purposes of determining the existence of a quorum. If there is no quorum, the holders of a majority of shares present at the Annual Meeting or represented by proxy may adjourn the Annual Meeting to another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and proxy statement and annual report to stockholders are available at www.proxyvote.com.</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If, at the time of filling any vacancy, the directors then in office constitute less than a majority of the whole Board, upon application of any stockholder(s) holding at least ten percent of the total number of the shares at the time outstanding having the right to vote for such directors, the Delaware Court of Chancery may order an election be held to fill such vacancies or to replace the directors chosen by the directors then in office.</w:t>
      </w:r>
    </w:p>
    <w:p>
      <w:pPr>
        <w:spacing w:after="0" w:line="189" w:lineRule="exact"/>
        <w:rPr>
          <w:sz w:val="20"/>
          <w:szCs w:val="20"/>
          <w:color w:val="auto"/>
        </w:rPr>
      </w:pPr>
    </w:p>
    <w:p>
      <w:pPr>
        <w:jc w:val="both"/>
        <w:ind w:left="120" w:firstLine="44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Board presently has six members. There are two directors in the class whose term of office expires on the date of the Annual Meeting. The nominees listed below are currently directors of the Company. Our Board, upon the recommendation of the Nominating and Corporate Governance Committee, appointed Dr. Inderjit Kaul to the Board on November 14, 2025 and approved Dr. Kaul as a director nominee for election as a Class II director at the Annual Meeting. Dr. Kaul was appointed pursuant to the Securities Purchase Agreement, as defined herein and as described in our </w:t>
      </w:r>
      <w:hyperlink r:id="rId25">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October 22, 2025, which description is incorporated herein by reference. If elected at the Annual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Meeting, the nominees would serve until the 2028 annual meeting and until their respective successor has been duly elected and qualified, or, if sooner, until the director’s death, resignation or removal. It is the Company’s policy to encourage directors and nominees for director to attend the Annual Meeting. All of our directors serving at the time of our 2024 Annual Meeting of Stockholders attended that meeting.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brief biography of the nominee for re-election and each director whose term will continue after the Annual Meeting: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 FOR ELECTION FOR A THREE-YEAR TERM EXPIRING AT THE 2028 ANNUAL MEETING</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Dr. Fouzia Laghrissi-Thode</w:t>
      </w:r>
      <w:r>
        <w:rPr>
          <w:rFonts w:ascii="Times New Roman" w:cs="Times New Roman" w:eastAsia="Times New Roman" w:hAnsi="Times New Roman"/>
          <w:sz w:val="18"/>
          <w:szCs w:val="18"/>
          <w:color w:val="auto"/>
        </w:rPr>
        <w:t>, age 62, has served on our Board since May 2015. Dr. Laghrissi-Thode has held positions of leadership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AstraZeneca, Roche and Novartis in a broad range of therapeutic areas, including central nervous system, cardiovascular, metabolic disease and genito-urinary health. She is currently Chief Executive Officer and a member of the board of directors of DalCor Pharmaceuticals. Prior to joining DalCor, Dr. Laghrissi-Thode served as U.S. Vice President for the renal-cardio therapy area at AstraZeneca, Head of the South San Francisco site, and the chief executive officer of ZS Pharma, Inc. She was formerly vice president of the global cardiovascular and metabolism therapy area at AstraZeneca. Dr. Laghrissi-Thode holds an M.D. from the University of Tours School of Medicine in France, is board certified in psychiatry and was an adjunct professor of psychiatry at the University of Pittsburgh. Our Board believes that Dr. Laghrissi-Thode’s extensive experience in the pharmaceutical industry and field of psychiatry qualifies her to serve on our Board.</w:t>
      </w:r>
    </w:p>
    <w:p>
      <w:pPr>
        <w:spacing w:after="0" w:line="185" w:lineRule="exact"/>
        <w:rPr>
          <w:sz w:val="20"/>
          <w:szCs w:val="20"/>
          <w:color w:val="auto"/>
        </w:rPr>
      </w:pPr>
    </w:p>
    <w:p>
      <w:pPr>
        <w:jc w:val="both"/>
        <w:ind w:left="120" w:firstLine="440"/>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Dr. Inderjit Kaul</w:t>
      </w:r>
      <w:r>
        <w:rPr>
          <w:rFonts w:ascii="Times New Roman" w:cs="Times New Roman" w:eastAsia="Times New Roman" w:hAnsi="Times New Roman"/>
          <w:sz w:val="18"/>
          <w:szCs w:val="18"/>
          <w:color w:val="auto"/>
        </w:rPr>
        <w:t>, age 69, has served on our Board since November 2025. Dr. Kaul has been the Chief Medical Officer at Draig Therapeutics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2025, where he leads the development of an AMPA receptor positive allosteric modulator for the treatment of Major Depressive Disorder. Prior to that, Dr. Kaul was the Senior Vice President, Late Stage Clinical Development, Neuropsychiatry at Bristol Myers Squibb from March 2024 until May 2025, where he was responsible for developing and implementing the overall product development and clinical strategy for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multiple indications including schizophrenia (adults and pediatrics), Bipolar Mania, Autism Spectrum Disorder, Post Marketing Requests and life cycle management. He led the development of a muscarinic agonist for the treatment of acute schizophrenia at Karuna Therapeutics from March 2020 until March 2024, resulting in FDA approval of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His expertise spans multiple therapeutic areas with a focus in neuroscience. Dr. Kaul holds an M.D. and an MPH from Harvard University. Our Board believes that Dr. Kaul’s extensive experience as a pharmaceutical executive and his deep expertise in clinical development qualify him to serve on our Board.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IN FAVOR OF THE NAMED NOMINEE.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2027 ANNUAL MEETING</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Hans Peter Hasler</w:t>
      </w:r>
      <w:r>
        <w:rPr>
          <w:rFonts w:ascii="Times New Roman" w:cs="Times New Roman" w:eastAsia="Times New Roman" w:hAnsi="Times New Roman"/>
          <w:sz w:val="18"/>
          <w:szCs w:val="18"/>
          <w:color w:val="auto"/>
        </w:rPr>
        <w:t>, age 69, has served on our Board since December 2017. Until 2020, Mr. Hasler served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Vicarius Pharma AG, a privately held company that provided strategic options to non-European bio-pharma companies bringing late-stage assets to the European market. He is also Senior Advisor at SBTech Global Advisory. His prior experience includes Elan Corporation, where he was Chief Operating Officer, and Biogen, Inc., where his positions included Chief Operating Officer, Executive Vice President, Head of Global Neurology and International. Previously, Mr. Hasler was at Wyeth Pharmaceuticals as Senior Vice President, Chief Marketing Officer and Managing Director of Wyeth Group Germany and General Manager, Wyeth-Lederle Switzerland, Austria and ECE. Mr. Hasler has served as Chairman of the Board of HBM Healthcare Investments AG, a SIX Swiss Exchange listed company, since 2009. Mr. Hasler has served as the Chairman of Shield Therapeutics, an AIM-listed specialty-pharma company, since September 2018, and as a Director of Gain Therapeutics, a Nasdaq-listed biotechnology company, since March 2021. Mr. Hasler holds a Federal Swiss Commercial Diploma and a Marketing Manager Certificate from the Swiss Institute of Business Economy SIB, Zurich, Switzerland. Our Board believes Mr. Hasler’s experience helping bring late-stage assets to market, as well as his overall experience in the biotech industry in positions of leadership qualifies him to serve as a member of our Board.</w:t>
      </w:r>
    </w:p>
    <w:p>
      <w:pPr>
        <w:spacing w:after="0" w:line="18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Remy Luthringer, </w:t>
      </w:r>
      <w:r>
        <w:rPr>
          <w:rFonts w:ascii="Times New Roman" w:cs="Times New Roman" w:eastAsia="Times New Roman" w:hAnsi="Times New Roman"/>
          <w:sz w:val="18"/>
          <w:szCs w:val="18"/>
          <w:color w:val="auto"/>
        </w:rPr>
        <w:t>age 64, has provided services to us since July 2010, first as a consultant and then as an employee beginning in May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Luthringer was named our President and Chief Executive Officer in November 2014, and served as President until December 2017. He has served on our Board since November 2014. Dr. Luthringer previously served as an advisor to Medicxi Ventures, formerly Index Ventures Life Sciences, and before that served as an advisor to Index Ventures and as Chief Medical Officer to Index Life VI, a biotechnology fund raised by Index Ventures. Dr. Luthringer also serves on the board of directors of a number of private companies. He received his Ph.D. in Pharmacology and Neurosciences from University Louis Pasteur (France). Our Board believes that Dr. Luthringer should serve on our Board due to his extensive knowledge of our business as well as his corporate vision and operational knowledge, which provide strategic guidance to our Board.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2026 ANNUAL MEETING</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David Kupfer, </w:t>
      </w:r>
      <w:r>
        <w:rPr>
          <w:rFonts w:ascii="Times New Roman" w:cs="Times New Roman" w:eastAsia="Times New Roman" w:hAnsi="Times New Roman"/>
          <w:sz w:val="18"/>
          <w:szCs w:val="18"/>
          <w:color w:val="auto"/>
        </w:rPr>
        <w:t>age 84, has served on our Board since November 2015. Dr. Kupfer is Distinguished Professor Emeritus of Psychiatry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of Pittsburgh School of Medicine, where he chaired that department for 26 years. He also chaired the American Psychiatric Association Task Force for the development of the Fifth Edition of the Diagnostic and Statistical Manual of Mental Disorders (“DSM-5”), which defines the criteria for the diagnosis and classification of mental disorders. Dr. Kupfer received his M.D. from Yale University in 1965. Our Board believes that Dr. Kupfer’s extensive experience in the field of psychiatry qualifies him to serve on our Board.</w:t>
      </w:r>
    </w:p>
    <w:p>
      <w:pPr>
        <w:spacing w:after="0" w:line="17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 van Heek, </w:t>
      </w:r>
      <w:r>
        <w:rPr>
          <w:rFonts w:ascii="Times New Roman" w:cs="Times New Roman" w:eastAsia="Times New Roman" w:hAnsi="Times New Roman"/>
          <w:sz w:val="18"/>
          <w:szCs w:val="18"/>
          <w:color w:val="auto"/>
        </w:rPr>
        <w:t>age 76, has served on our Board since July 2014. Mr. van Heek advises biotechnology and other healthcare companies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strategy development, financing, and business development. He was previously a partner at BioPoint Group, a biotech consulting company. Prior to establishing BioPoint in 2009, Mr. van Heek spent over 18 years at Genzyme Corporation, a Sanofi pharmaceutical company, including as an Executive Vice President and Senior Advisor to the chief executive officer. Mr. van Heek also previously served as a board member and chairman of the Audit Committee of Amarin Corporation, a publicly traded biopharmaceutical company from 2010 to 2023. He was also a board member and chairman of the Audit Committee of ViaCell Corporation, a public company, from 2002 until it was sold to Perkin Elmer Corporation in 2007. He received an M.B.A. from St. Gallen University in Switzerland and an executive degree from Stanford Business School. Our Board believes that Mr. van Heek’s experience in the biotechnology industry and his executive experience, specifically his experience in executive officer positions at other companies in the biotechnology industry, as well as his service on other boards of directors, qualifies him to serve as a member of our Board.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required under the listing standards of Nasdaq Stock Market LLC, or Nasdaq,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standards and our Corporate Governance Guidelines: Hans Peter Hasler, Dr. David Kupfer, Dr. Fouzia Laghrissi-Thode, and Jan van Heek. In making this determination, the Board found that none of these directors or nominees for director had a material or other disqualifying relationship with the Company. Dr. Luthringer is not considered independent because he is an executive officer of the Company and Dr. Kaul provides us with consulting services pursuant to a consulting agreement described under “Transactions with Related Persons Related Person Transactions Policy and Procedures.”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is currently chaired by the Chief Executive Officer of the Company, Dr. Luthringer. The Board has also appointed Dr. Kupfer as lead independent director.</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believes that combining the positions of Chief Executive Officer and Board Chair helps to ensure that the Board and management act with a common purpose and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The Company also believes that it is advantageous to have a Board Chair with an extensive history with and knowledge of the Company (as is the case with the Company’s Chief Executive Officer).</w:t>
      </w:r>
    </w:p>
    <w:p>
      <w:pPr>
        <w:spacing w:after="0" w:line="183"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Board appointed Dr. Kupfer as the lead independent director to help reinforce the independence of the Board as a whole. The position of lead independent director has been structured to serve as an effective balance to a combined Chief Executive Officer/Board Chair: the lead independent director is empowered to, among other duties and responsibilities, approve agendas and meeting schedules for regular Board meetings, preside over Board meetings in the absence of the Chair, preside over and establish the agendas for meetings of the independent directors, act as liaison between the Chair and the independent directors, approve information sent to the Board, preside over any portions of Board meetings at which the evaluation or compensation of the Chief Executive Officer is presented or discussed and, as appropriate upon request, act as a liaison to shareholders.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 In light of the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combine the positions of Chief Executive Officer and Board Chair.</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standing Board committees that address risks inherent in their respective areas of oversight. In particular, our Board is responsible for monitoring and assessing strategic risk exposure, including a determination of the nature and level of risk appropriate for us. The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review and discuss with management, as appropriate, our guidelines and policies with respect to risk assessment and risk management, including our major financial risk exposures and the steps taken by management to monitor and control these exposures. Our Audit Committee also monitors compliance with legal and regulatory requirements in addition to oversight of the performance of our internal audit function. Areas of focus for the Audit Committee include policies and other matters relating to our investments, cash management, financial risk exposures, the adequacy and effectiveness of our information security policies and practices in addition to oversight of cybersecurity management. Our Nominating and Corporate Governance Committee is responsible for developing our corporate governance principles, and periodically reviews these principles and their application, to ensure the effectiveness of our corporate governance structure and mitigate any major legal compliance risk exposures. Our Compensation Committee reviews our practices and policies of compensation plans, policies and programs as they relate to risk management and risk-taking incentives, to determine whether such compensation policies and practices are reasonably likely to have a material adverse effect on us.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ROHIBITIONS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LEDGING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PECULATIVE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our insider trading policy, our officers and directors are prohibited from short-selling our securities and are prohibited from holding our securities in a margin account. In addition, none of our directors or officers may pledge our securities as collateral for a loan, or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at any time, without the approval of the Audit Committee.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our insider trading policy is filed as an exhibit to our Annual Report. In addition, it is our practice to comply with the applicable laws and regulations relating to insider trading.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met eight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the fiscal year ended December 31, 2024 for each of the Board committees: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Audit   </w:t>
            </w: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Compensation    </w:t>
            </w: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Governance    </w:t>
            </w: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60" w:type="dxa"/>
            <w:vAlign w:val="bottom"/>
          </w:tcPr>
          <w:p>
            <w:pPr>
              <w:spacing w:after="0"/>
              <w:rPr>
                <w:sz w:val="18"/>
                <w:szCs w:val="18"/>
                <w:color w:val="auto"/>
              </w:rPr>
            </w:pPr>
          </w:p>
        </w:tc>
        <w:tc>
          <w:tcPr>
            <w:tcW w:w="6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1"/>
              </w:rPr>
              <w:t>X</w:t>
            </w:r>
          </w:p>
        </w:tc>
        <w:tc>
          <w:tcPr>
            <w:tcW w:w="460" w:type="dxa"/>
            <w:vAlign w:val="bottom"/>
          </w:tcPr>
          <w:p>
            <w:pPr>
              <w:spacing w:after="0"/>
              <w:rPr>
                <w:sz w:val="18"/>
                <w:szCs w:val="18"/>
                <w:color w:val="auto"/>
              </w:rPr>
            </w:pPr>
          </w:p>
        </w:tc>
        <w:tc>
          <w:tcPr>
            <w:tcW w:w="146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76"/>
              </w:rPr>
              <w:t>X</w:t>
            </w:r>
          </w:p>
        </w:tc>
        <w:tc>
          <w:tcPr>
            <w:tcW w:w="240" w:type="dxa"/>
            <w:vAlign w:val="bottom"/>
          </w:tcPr>
          <w:p>
            <w:pPr>
              <w:spacing w:after="0"/>
              <w:rPr>
                <w:sz w:val="18"/>
                <w:szCs w:val="18"/>
                <w:color w:val="auto"/>
              </w:rPr>
            </w:pPr>
          </w:p>
        </w:tc>
        <w:tc>
          <w:tcPr>
            <w:tcW w:w="13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1120" w:type="dxa"/>
            <w:vAlign w:val="bottom"/>
            <w:gridSpan w:val="2"/>
            <w:shd w:val="clear" w:color="auto" w:fill="CCEEFF"/>
          </w:tcPr>
          <w:p>
            <w:pPr>
              <w:ind w:left="520"/>
              <w:spacing w:after="0" w:line="216" w:lineRule="exact"/>
              <w:rPr>
                <w:sz w:val="20"/>
                <w:szCs w:val="20"/>
                <w:color w:val="auto"/>
              </w:rPr>
            </w:pPr>
            <w:r>
              <w:rPr>
                <w:rFonts w:ascii="Times New Roman" w:cs="Times New Roman" w:eastAsia="Times New Roman" w:hAnsi="Times New Roman"/>
                <w:sz w:val="25"/>
                <w:szCs w:val="25"/>
                <w:color w:val="auto"/>
                <w:vertAlign w:val="subscript"/>
              </w:rPr>
              <w:t>X*</w:t>
            </w:r>
            <w:r>
              <w:rPr>
                <w:rFonts w:ascii="Times New Roman" w:cs="Times New Roman" w:eastAsia="Times New Roman" w:hAnsi="Times New Roman"/>
                <w:sz w:val="11"/>
                <w:szCs w:val="11"/>
                <w:color w:val="auto"/>
              </w:rPr>
              <w:t>(1)</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120" w:type="dxa"/>
            <w:vAlign w:val="bottom"/>
            <w:gridSpan w:val="2"/>
          </w:tcPr>
          <w:p>
            <w:pPr>
              <w:ind w:left="520"/>
              <w:spacing w:after="0" w:line="216" w:lineRule="exact"/>
              <w:rPr>
                <w:sz w:val="20"/>
                <w:szCs w:val="20"/>
                <w:color w:val="auto"/>
              </w:rPr>
            </w:pPr>
            <w:r>
              <w:rPr>
                <w:rFonts w:ascii="Times New Roman" w:cs="Times New Roman" w:eastAsia="Times New Roman" w:hAnsi="Times New Roman"/>
                <w:sz w:val="25"/>
                <w:szCs w:val="25"/>
                <w:color w:val="auto"/>
                <w:vertAlign w:val="subscript"/>
              </w:rPr>
              <w:t>X </w:t>
            </w:r>
            <w:r>
              <w:rPr>
                <w:rFonts w:ascii="Times New Roman" w:cs="Times New Roman" w:eastAsia="Times New Roman" w:hAnsi="Times New Roman"/>
                <w:sz w:val="11"/>
                <w:szCs w:val="11"/>
                <w:color w:val="auto"/>
              </w:rPr>
              <w:t xml:space="preserve"> (2)</w:t>
            </w: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120" w:type="dxa"/>
            <w:vAlign w:val="bottom"/>
            <w:gridSpan w:val="2"/>
            <w:shd w:val="clear" w:color="auto" w:fill="CCEEFF"/>
          </w:tcPr>
          <w:p>
            <w:pPr>
              <w:ind w:left="520"/>
              <w:spacing w:after="0" w:line="216" w:lineRule="exact"/>
              <w:rPr>
                <w:sz w:val="20"/>
                <w:szCs w:val="20"/>
                <w:color w:val="auto"/>
              </w:rPr>
            </w:pPr>
            <w:r>
              <w:rPr>
                <w:rFonts w:ascii="Times New Roman" w:cs="Times New Roman" w:eastAsia="Times New Roman" w:hAnsi="Times New Roman"/>
                <w:sz w:val="25"/>
                <w:szCs w:val="25"/>
                <w:color w:val="auto"/>
                <w:vertAlign w:val="subscript"/>
              </w:rPr>
              <w:t>X*</w:t>
            </w:r>
            <w:r>
              <w:rPr>
                <w:rFonts w:ascii="Times New Roman" w:cs="Times New Roman" w:eastAsia="Times New Roman" w:hAnsi="Times New Roman"/>
                <w:sz w:val="11"/>
                <w:szCs w:val="11"/>
                <w:color w:val="auto"/>
              </w:rPr>
              <w:t>(3)</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2024 fiscal year</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1817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9"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Hilleman served as the Chairperson of the Audit Committee until her resignation from the Board effective August 6, 2024.</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Kupfer was appointed as a member of the Audit Committee following Ms. Hilleman’s resignation, effective August 6, 2024.</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van Heek was appointed as the Chairperson of the Audit Committee following Ms. Hilleman’s resignation, effective August 6, 2024.</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among other things,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new independent registered public accounting firm; reviews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reviews and approves or rejects transactions between the Company and any related persons; confers with management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consolidated financial statements and quarterly unaudited consolidated financial statements with management and the independent registered public accounting firm. In 2024, the Audit Committee met four times.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Mr. van Heek (Chair), Mr. Hasler and Dr. Kupfer. The Board has adopted a written Audit Committee charter that is available on the Company’s website at http://ir.minervaneurosciences.com/corporate-governance.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Messrs. van Heek and Hasler and Dr. Kupfer are independent (as independence is currently defined in Rule 5605(c)(2)(A) of the Nasdaq listing standards).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Board has also determined that Mr. van Heek qualifies as an “audit committee financial expert,” as defined in applicable SEC rules. The Board made a qualitative assessment of Mr. van Heek’s level of knowledge and experience based on a number of factors, including his formal education and experience serving on audit committees for public reporting companies. The Board has also determined that each of the Audit Committee members is able to read and understand fundamental financial statements.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2024 with the management of the Company. The Audit Committee has discussed with the independent registered public accounting firm the matters required to be discussed by Auditing Standard No. 16, Communications with Audit Committees, as adopted by the Public Company Accounting Oversight Board, or PCAOB.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consolidated financial statements be included in the Company’s Annual Report on Form 10-K for the fiscal year ended December 31, 2024.</w:t>
      </w:r>
    </w:p>
    <w:p>
      <w:pPr>
        <w:spacing w:after="0" w:line="2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Respectfully submitted,</w:t>
      </w:r>
    </w:p>
    <w:p>
      <w:pPr>
        <w:sectPr>
          <w:pgSz w:w="11900" w:h="16838" w:orient="portrait"/>
          <w:cols w:equalWidth="0" w:num="1">
            <w:col w:w="11140"/>
          </w:cols>
          <w:pgMar w:left="320" w:top="482" w:right="439" w:bottom="1440" w:gutter="0" w:footer="0" w:header="0"/>
        </w:sectPr>
      </w:pP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The Audit Committee of the Board of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sectPr>
          <w:pgSz w:w="11900" w:h="16838" w:orient="portrait"/>
          <w:cols w:equalWidth="0" w:num="8">
            <w:col w:w="8440" w:space="720"/>
            <w:col w:w="40" w:space="140"/>
            <w:col w:w="40" w:space="140"/>
            <w:col w:w="40" w:space="140"/>
            <w:col w:w="40" w:space="140"/>
            <w:col w:w="40" w:space="140"/>
            <w:col w:w="40" w:space="140"/>
            <w:col w:w="900"/>
          </w:cols>
          <w:pgMar w:left="320" w:top="482" w:right="439" w:bottom="1440" w:gutter="0" w:footer="0" w:header="0"/>
          <w:type w:val="continuous"/>
        </w:sectPr>
      </w:pPr>
    </w:p>
    <w:p>
      <w:pPr>
        <w:ind w:left="5420"/>
        <w:spacing w:after="0"/>
        <w:rPr>
          <w:sz w:val="20"/>
          <w:szCs w:val="20"/>
          <w:color w:val="auto"/>
        </w:rPr>
      </w:pPr>
      <w:r>
        <w:rPr>
          <w:rFonts w:ascii="Times New Roman" w:cs="Times New Roman" w:eastAsia="Times New Roman" w:hAnsi="Times New Roman"/>
          <w:sz w:val="18"/>
          <w:szCs w:val="18"/>
          <w:color w:val="auto"/>
        </w:rPr>
        <w:t>Directors</w:t>
      </w:r>
    </w:p>
    <w:p>
      <w:pPr>
        <w:spacing w:after="0" w:line="1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Mr. Jan van Heek, Chair</w:t>
      </w:r>
    </w:p>
    <w:p>
      <w:pPr>
        <w:spacing w:after="0" w:line="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Mr. Hans Peter Hasler</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Dr. David Kupfer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1817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540" w:right="20" w:hanging="424"/>
        <w:spacing w:after="0" w:line="261"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three directors: Dr. Laghrissi-Thode (Chair), Mr. Hasler and Dr. Kupfer. The Board has determined that each member of the Compensation Committee is independent under the Nasdaq listing standards and Rule 10C-1 of the Exchange Act, and a “non-employee director” as defined in Rule 16b-3 promulgated under the Exchange Act. The Board has adopted a written Compensation Committee charter that is available on the Company’s website at http://ir.minervaneurosciences.com/corporate-governance.</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of the Board acts on behalf of the Board to review, adopt, and oversee the Company’s compensation strategy, policies, plans and programs, including: to establish corporate and individual performance objectives relevant to the compensation of the Company’s executive officers; to review and approve of the compensation and other terms of employment of the Company’s Chief Executive Officer and other executive officers; to review and adopt or make recommendations to the Board in respect of any employment agreements or severance or change-in-control arrangements for the Company’s Chief Executive Officer and other executive officers; to administer the Company’s incentive and equity-based compensation plans; to review and recommend to the Board a succession plan for the Company’s Chief Executive Officer and other executive officers; and to review the compensation of the Company’s non-employee directors and recommend any proposed changes to the Board.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twice annually, and with greater frequency if necessary. In 2024, the Compensation Committee met three times. The agenda for each meeting is usually developed by the Chair of the Compensation Committee, in consultation with the Chief Executive Officer and the Chief Financial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The Compensation Committee has full access to all books, records, facilities, and personnel of the Company. In addition, under its charter, the Compensation Committee has the authority to obtain, at the expense of the Company, advice and assistance from internal and external legal, accounting, or other advisors and other external resources that the Compensation Committee considers necessary or appropriate in the performance of its duties. The Compensation Committee has direct responsibility for the oversight of the work of any advisors engaged for the purpose of advising the Committee. In particular, the Compensation Committee has the sole authority to retain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advisor to the compensation committee, other than in-house legal counsel and certain other types of advisors, only after taking into consideration six factors, prescribed by the SEC and Nasdaq, that bear upon the advisor’s independence; however, there is no requirement that any advisor be independent.</w:t>
      </w:r>
    </w:p>
    <w:p>
      <w:pPr>
        <w:spacing w:after="0" w:line="19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the Compensation Committee engaged Radford as its compensation consultant. The Compensation Committee requested that Radford:</w:t>
      </w:r>
    </w:p>
    <w:p>
      <w:pPr>
        <w:spacing w:after="0" w:line="189" w:lineRule="exact"/>
        <w:rPr>
          <w:sz w:val="20"/>
          <w:szCs w:val="20"/>
          <w:color w:val="auto"/>
        </w:rPr>
      </w:pPr>
    </w:p>
    <w:p>
      <w:pPr>
        <w:jc w:val="both"/>
        <w:ind w:left="108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and assist in refining the Company’s overall compensation philosophy and practices, including as related to base pay, bonus percentage, and the Company’s equity incentive and long-term incentive plans, to support and reinforce the Company’s long-term strategic goals; and</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executive and outside director compensation in comparison to peer data and best market practices.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engagement, Radford reviewed a peer group of publicly traded companies in the life sciences industry at a stage of development, market capitalization, and size comparable to ours, which companies the Compensation Committee believed were generally comparable to us and against which the Compensation Committee believed we competed for executive talent. Radford ultimately developed broad based recommendations using benchmarks that were presented to the Compensation Committee for its consideration.</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committee meetings. However, the Compensation Committee also considers matters related to individual compensation, such as compensation for new executive hires, adjustments to the compensation of existing executives,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by the Chief Executive Officer for the Compensation Committee’s approval. In the case of the Chief Executive Officer, the evaluation of his performance is conducted by the Compensation Committee in consultation with the Board, which determines any adjustments to his compensation as well as equity awards to be granted. Some of the key factors the Compensation Committee considers in making pay decisions are as follows: historical compensation levels, relative position to the market, internal equity, individual and Company performance, strategic importance of role, and retention risk, among others.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is responsible, among other things, for identifying candidates qualified to serve as directors of the Company (consistent with criteria approved by the Board), recommending to the Board candidates for election as directors and the composition of each of the committees of the Board, overseeing the evaluation of the Board and its committees, and developing the Company’s corporate governance policies. The Nominating and Corporate Governance Committee did not meet during the fiscal year ended December 31, 2024, but transacted the Nominating and Corporate Governance Committee business via unanimous written consents.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two directors: Dr. Kupfer (Chair) and Mr. Hasler. All members of the Nominating and Corporate Governance Committee are independent (as independence is currently defined in Rule 5605(a)(2) of the Nasdaq listing standards). The Board has adopted a written Nominating and Corporate Governance Committee charter that is available to stockholders on the Company’s website at http://ir.minervaneurosciences.com/corporate-governance.</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possessing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sufficient time to devote to the affairs of the Company, demonstrated excellence in his or her field, the ability to exercise sound business judgment, and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In the case of incumbent directors whose terms of office are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based upon applicable Nasdaq listing standards, applicable SEC rules and regulations, and the advice of counsel, if necessary. The Nominating and Corporate Governance Committee may engage, if it deems appropriate, a professional search firm to identify qualified director candidates. The Nominating and Corporate Governance Committee conducts any appropriate and necessary inquiries into the backgrounds and qualifications of possible candidates after considering the function and needs of the Board.</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addressed to our Corporate Secretary at 1500 District Avenue, Burlington, MA 01803 at least 120 days prior to the anniversary date of the mailing of our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conferences and meetings. We also communicate with stockholders and other stakeholders through various media, including our annual report and SEC filings, news releases and our website. Our webcasts for quarterly earnings releases are open to all. These webcasts are available in real time and are archived on our website for a period of time.</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so long as they comply with applicable law and our Bylaws, which procedures are summarized below, and will review the qualifications of any such candidate in accordance with the criteria described above. Stockholders who wish to recommend individuals for consideration by our Nominating and Corporate Governance Committee to become nominees for election to our Board should do so by delivering a written recommendation to our Nominating and Corporate Governance Committee at c/o Minerva Neurosciences, Inc., 1500 District Avenue, Burlington, MA 01803, Attention: Corporate Secretary. See “When are stockholder proposals and director nominations due for next year’s annual meeting?” for information regarding the requirements for submitting any such recommendation. For additional information about our director nomination requirements, please see our Bylaws.</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Any interested person may communicate directly with the Chair of our Board or the non-management or independent directors as a group. Persons interested in communicating directly with the independent or non-management directors regarding their concerns or issues may do so by addressing correspondence to a particular director, or to the independent or non-management directors generally, in care of Minerva Neurosciences, Inc., 1500 District Avenue, Burlington, MA 01803, Attention: Corporate Secretary. If no particular director is named, letters will be forwarded, depending upon the subject matter, to the Chair of the Audit, Compensation, or Nominating and Corporate Governance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communications may be reviewed by one or more employees of the Company designated by the Board,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the Company’s Whistleblower Policy that relate to questionable accounting or auditing matters involving the Company will be promptly and directly forwarded to the Audit Committee.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or the Code of Ethics, which applies to all officers, directors, and employees. The Code of Ethics is available on the Company’s website at http://ir.minervaneurosciences.com/corporate-governance. If the Company makes any substantive amendments to the Code of Ethics or grants any waiver from a provision of the Code of Ethics to any executive officer or director, the Company will promptly disclose the nature of the amendment or waiver on its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2 APPROVAL OF AN AMENDMENT TO OUR AMENDED AND RESTATED CERTIFICATE OF INCORPORATION TO INCREASE THE NUMBER OF AUTHORIZED CAPITAL STOCK</w:t>
      </w:r>
    </w:p>
    <w:p>
      <w:pPr>
        <w:spacing w:after="0" w:line="15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has recommended an increase in the aggregate number of shares we are authorized to issue, including shares of common stock, par value $0.0001 per share (the “Common Stock”), from 125,000,000 to 250,000,000 (the “Authorized Share Increase”). The Board is requesting stockholder approval of an amendment to the Company’s Certificate of Incorporation to effect the Authorized Share Increase. If the amendment is adopted, the Authorized Share Increase will become effective upon filing of a certificate of amendment of the Company’s amended and restated Certificate of Incorporation with the Secretary of State of the State of Delaware. No further stockholder authorization would be required prior to the issuance of such shares by the Company, except where stockholder approval is required under Delaware corporate law or the rules of The Nasdaq Stock Market LLC. The form of the proposed amendment to our Amended and Restated Certificate of Incorporation is attached as Appendix A to this proxy statement.</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shares of Common Stock, including those now authorized and those that would be authorized by the approval of this proposed amendment, are equal in rank and have the same voting, dividend, and liquidation rights.</w:t>
      </w:r>
    </w:p>
    <w:p>
      <w:pPr>
        <w:spacing w:after="0" w:line="16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of October 23, 2025, 6,993,406 shares of Common Stock were outstanding. As of October 23, 2025, 1,620,125 shares of Common Stock were reserved for issuance upon the exercise or settlement of equity awards granted and 127,679 shares of Common Stock remained available for issuance in connection with future awards under our Amended and Restated 2013 Equity Incentive Plan (the “2013 Plan”). If Proposal 4 described herein is approved by our stockholders, then an additional 12,500,000 shares of Common Stock will be reserved under the 2013 Plan for future issuance. In addition, subject to approval of Proposal 3, 94,600,000 shares of Common Stock must be reserved for issuance upon the conversion of the Series A Preferred Stock, assuming full exercise of the Preferred Tranche A Warrants and the Preferred Tranche B Warrants (as defined below) without regard to any beneficial ownership conversion limitations. As of October 23, 2025, there were also 575,575 shares of Common Stock reserved for issuance upon exercise of outstanding pre-funded warrants to purchase Common Stock. Accordingly, without the Authorized Share Increases we currently expect to have only approximately 8.2 million shares of Common Stock that are unreserved and available for future issuances. The proposed amendment to our Amended and Restated Certificate of Incorporation would increase the number of shares of Common Stock that we are authorized to issue from 125,000,000 shares to 250,000,000 shares. This amendment would result in a corresponding increase in our total authorized capital stock, which includes Common Stock and Preferred Stock, from 225,000,000 shares to 350,000,000 shares.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Increase in Authorized Shares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September 30, 2025 and December 31, 2024, we had an accumulated deficit of $405.1 million and $395.4 million, respectively. For the nine months ended September 30, 2025, we recorded net loss of $9.8 million. On October 23, 2025, we closed the Private Placement as defined and described in Proposal 3 below, resulting in initial upfront gross proceeds of $80 million in exchange for shares of our Series A Preferred Stock. However, we will require additional capital in the long-term to advance the development, regulatory approval process and potential commercialization of roluperidone and other potential product candidates that we may develop in the future.</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other than future issuances under the 2013 Plan (including any additional shares available pursuant to Proposal 4 and any issuances upon the exercise or settlement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outstanding equity awards), issuances of shares of Common Stock upon conversion of our Series A Preferred Stock (subject to approval of Proposal 3), and issuances of shares of Common Stock upon exercise of outstanding warrants of the Company, the Company currently has no plans or arrangements to issue the additional authorized shares of Common Stock or Preferred Stock that would be available as a result of the approval of this Proposal 2. Our Board believes it is appropriate to increase our authorized shares of Common Stock and Preferred Stock to provide us with additional flexibility to promptly and appropriately use our Common Stock for business and financial purposes in the future, as well as to have sufficient shares available to provide appropriate equity incentives for our employees and other eligible service providers. The additional shares of Common Stock, if approved, may be used for various purposes without further stockholder approval. These purposes may include: raising capital; providing equity incentives to employees, officers, directors, consultants and/or advisers; establishing collaborative or partnering arrangements with other companies; expanding our business through the acquisition of other businesses, products or technologies; and other purposes. In light of our capital needs, we regularly consider fund raising opportunities and may decide, from time to time, to raise capital based on various factors, including market conditions and our plans of operation.</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this regard, if the Board determines that raising additional capital through issuing the additional shares of Common Stock is desirable, we want to be able to act quickly if market conditions are favorable. If this Proposal 2 is not approved, we may not be able to raise future capital without first obtaining stockholder approval for an increase in the number of authorized shares of Common Stock. The cost, prior notice requirements and delay involved in obtaining stockholder approval at the time that corporate action may be necessary or desirable could completely eliminate our ability to opportunistically capitalize on favorable market windows, which could delay or preclude our ability to advance our development and potential commercialization efforts. In addition, our success depends in part on our continued ability to attract, retain and motivate highly qualified management and clinical personnel, and if Proposal 2 is not approved by our stockholders, the lack of unissued and unreserved authorized shares of Common Stock to provide future equity incentive opportunities that the Board or the Compensation Committee thereof deems appropriate could adversely impact our ability to achieve these goals. In summary, if our stockholders do not approve this Proposal 2, the number of shares of capital stock the Company is authorized to issue will not be increased, and we may not be able to access the capital markets; continue to conduct the research and development and clinical and regulatory activities necessary to bring any product candidates to market; complete future corporate collaborations and partnerships; attract, retain and motivate employees, officers, directors, consultants and/or advisers; and pursue other business opportunities integral to our growth and success, all of which could severely harm our business and our prospects.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the proposed increase in authorized capital stock will make sufficient shares available to provide the additional flexibility necessary to pursue our strategic objectives. Over the past several years, our authorized Common Stock has allowed us the flexibility to pursue financing transactions that were key to enabling the support of our operations while at the same time enabling us to continue to provide the employee equity incentives that we deem necessary to attract and retain key employees. Unless our stockholders approve this Proposal 2, we will not have sufficient unissued and unreserved authorized shares of Common Stock to support the development needed for roluperidone and any development of other product candidates by engaging in similar transactions in the future and to respond to compensatory needs by implementing new or revised equity compensation plans or arrangements, all of which could severely harm our business and our prospects.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Increase in Authorized Shares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amendment would have rights identical to the current outstanding Common Stock of the Company. Adoption of the proposed amendment and issuance of the Common Stock would not affect the rights of the holders of currently outstanding Common Stock, except for effects incidental to increasing the number of shares of the Common Stock outstanding, such as dilution of the earnings per share and voting rights of current holders of Common Stock. The additional shares of Common Stock authorized by the approval of this proposal could be issued by the Board without further vote of our stockholders except as may be required in particular cases by our Amended and Restated Certificate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Incorporation as amended from time to time, applicable law, regulatory agencies or Nasdaq listing rules. Under our Amended and Restated Certificate of Incorporation, stockholders do not have preemptive rights to subscribe to additional securities that may be issued by us, which means that current stockholders do not have a prior right thereunder to purchase any new issue of Common Stock in order to maintain their proportionate ownership interests in the Company.</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increase in our authorized shares of Common Stock could also have an anti-takeover effect, in that additional shares could be issued (within the limits imposed by applicable law) in one or more transactions that could make a change in control or takeover of the Company difficult. For example, additional shares could be issued by us so as to dilute the stock ownership or voting rights of a person seeking to obtain control of the Company. Similarly, the issuance of additional shares to certain persons allied with our management could have the effect of making it more difficult to remove our management by diluting the stock ownership or voting rights of persons seeking to cause such removal. Although this proposal to approve the amendment of our Amended and Restated Certificate of Incorporation to increase the total number of authorized shares of Common Stock has been prompted by business and financial considerations and not by the threat of any hostile takeover attempt (nor is the Board currently aware of any such attempts directed at us), and the Board does not intend or view the proposed increase in the number of authorized shares of our Common Stock as an anti-takeover measure, stockholders should nevertheless be aware that approval of this proposal could facilitate future efforts by us to deter or prevent changes in control, including transactions in which our stockholders might otherwise receive a premium for their shares over then-current market prices.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“FOR” APPROVAL OF AN AMENDMENT TO OUR AMENDED AND RESTATED CERTIFICATE OF INCORPORATION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INCREASE THE NUMBER OF AUTHORIZED SHARES OF COMMON STOCK (PROPOSAL 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APPROVAL OF CONVERSION OF SERIES A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October 21, 2025, we entered into a securities purchase agreement (the “Securities Purchase Agreement”) with certain accredited investors (the “Investors”), pursuant to which we agreed to issue and sell, in a private placement (the “Private Placement”), (i) 80,000 shares of Series A Preferred Stock, (ii) tranche A warrants (the “Preferred Tranche A Warrants”) to acquire up to 80,000 shares of Series A Preferred Stock and (iii) tranche B warrants (the “Preferred Tranche B Warrants,” together with the Preferred Tranche A Warrants, the “Warrants”) to acquire up to 40,000 shares of Series A Preferred Stock. The Private Placement closed on October 23, 2025. Until stockholder approval of this proposal is obtained, the Series A Preferred Stock will rank senior to our Common Stock and all other classes or series of our equity securities with respect to dividend rights and rights upon any voluntary or involuntary liquidation, dissolution, or winding up of the Company. Following stockholder approval, the Series A Preferred Stock will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our Common Stock with respect to these rights.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limitations contained in the Certificate of Designation, the Series A Preferred Stock issued in the Private Placement will not become convertible until our stockholders approve the issuance of all Common Stock issuable upon conversion of the Series A Preferred Stock, including upon conversion of any Series A Preferred Stock issuable upon the exercise of the Warrants (the “Conversion Stockholder Approval”).</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as soon as practicable following the receipt of the Conversion Stockholder Approval (and in any event no later than fifteen (15) days thereafter) (the “Filing Date”), we must file a registration statement on Form S-3 providing for the resale by the Investors of shares of Common Stock issuable upon conversion of the Registrable Shares (as defined in the Securities Purchase Agreement, as applicable) and to use commercially reasonable efforts to have the registration statement declared effective within twenty-one (21) days following the Filing Date (or, in the event that the staff of the SEC reviews and has written comments to such registration statement, within forty-five (45) days following the Filing Date). We further agreed to take all steps necessary to keep such registration statement effective at all times until all Registrable Shares have been resold, or there remains no Registrable Shares.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Series A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stockholder approval of this proposal, on the first trading day after the announcement of such approval is obtained, each share of Series A Preferred Stock will automatically convert into the number of shares of Common Stock equal to the quotient of (A) the Original Per Share Price (as defined in the Certificate of Designation) divided by (B) the Conversion Price (as defined in the Certificate of Designation), rounded down to the nearest whole share (the “Automatic Conversion”), subject to certain beneficial ownership limitations. These limitations prohibit a holder of Series A Preferred Stock from converting shares into Common Stock if, as a result of such conversion, such holder, together with its affiliates, would beneficially own more than a percentage specified by each Investor of the total number of shares of Common Stock issued and outstanding immediately after giving effect to such conversion (the “Beneficial Ownership Limitation”). Any shares of Series A Preferred Stock that are not converted as a result of the Beneficial Ownership Limitation will remain outstanding and will be convertible, at any time and from time to time, at the option of the holder, into the number of shares of Common Stock pursuant to the Certificate of Designation, subject to the Beneficial Ownership Limitation and only to the extent the limitation no longer applies. Prior to stockholder approval, the Series A Preferred Stock is not convertible.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such voting rights as are provided by applicable law, the special voting rights described below under “Protective Provisions” and upon certain triggering events customary for Nasdaq-listed companies, holders of the Series A Preferred Stock will be entitled to vote together with the Common Stock on all matters submitted to a vote of the common stockholders, unless prohibited by (i) applicable laws or (ii) Nasdaq stock exchange rules or regulations. Holders of the Series A Preferred Stock are entitled to vote together with the Common Stock on an as-if-converted-to-Common-Stock basis as determined by dividing the Original Per Share Price with respect to such shares of Series A Preferred Stock by the Conversion Price. Holders of Common Stock are entitled to one vote for each share of Common Stock held on all matters submitted to a vote of stockholders. Accordingly, holders of Series A Preferred Stock will be entitled to one vote for each whole share of Common Stock into which their Series A Preferred Stock is then-convertible on all matters submitted to a vote of stockholders; provided, however, that to the extent required under Nasdaq rules, unless and until the Company has obtained the Conversion Stockholder Approval, the Series A Preferred Stock shall be entitled to vote, on an aggregate basis, that number of shares equal to 19.9% of the Company’s outstanding Common Stock (the “Cap”) as of the signing date of the Securities Purchase Agreement.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the Conversion Stockholder Approval, the Series A Preferred Stock will be senior to the Common Stock and all other series or classes of stock and equity securities of us with respect to dividend rights. Following the Conversion Stockholder Approval, while shares of Series A Preferred Stock are issued and outstanding, holders of Series A Preferred Stock shall be entitled to receive, and we shall pay, dividends on shares of Series A Preferred Stock equal (on an as-if-converted-to-Common-Stock basis and without regard to any limitations on conversion) to and in the same form as dividends actually paid on shares of the Common Stock when, as and if such dividends are paid on shares of the Common Stock (other than a stock dividend on the Common Stock payable solely in the form of additional shares of Common Stock). No other dividends shall be paid on shares of the Series A Preferred Stock. Dividends shall be paid only if, when and as declared by the Board.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and Dissolution</w:t>
      </w:r>
    </w:p>
    <w:p>
      <w:pPr>
        <w:spacing w:after="0" w:line="22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Prior to the Conversion Stockholder Approval, in the event of any voluntary or involuntary liquidation, dissolution or winding up of us, including a change of control transaction (any such event, a “Liquidation”) the holders of shares of Series A Preferred Stock then outstanding shall be entitled to be paid out of the assets of us available for distribution to our stockholders, and in the event of a Liquidation, the holders of shares of Series A Preferred Stock then outstanding shall be entitled to be paid out of the consideration payable to stockholders in such Liquidation or the other proceeds available for distribution to stockholders, before any payment shall be made to the holders of any other shares of capital stock of us by reason of their ownership thereof, an amount per share equal to (i) two times (2X) the Original Per Share Price, together with any dividends declared but unpaid thereon (the “Liquidation Preference”) plus (ii) such amount per share as would have been payable had all shares of Series A Preferred Stock been converted into Common Stock (without regard to any limitations on conversion set forth herein or otherwise) pursuant to the Certificate of Designation immediately prior to such Liquidation (the amount payable pursuant to this sentence is hereinafter referred to as the “Series A Liquidation Amount”). If upon any such Liquidation, the assets of the Company available for distribution to our stockholders shall be insufficient to pay the holders of shares of Series A Preferred Stock the full Liquidation Preference,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After the payment in full of all Series A Liquidation Amount, the remaining assets of us available for distribution to our stockholders or, in the case of a Liquidation, the consideration not payable to the holders of shares of Series A Preferred Stock pursuant to the paragraph above shall be distributed among the holders of shares of Common Stock, pro rata based on the number of shares held by each such holder.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Following the Conversion Stockholder Approval, upon any Liquidation, the assets of us available for distribution to our stockholders shall be distributed among the holders of the shares of Series A Preferred Stock and Common Stock, pro rata based on the number of shares held by each such holder, treating for this purpose all shares of Series A Preferred Stock as if they had been converted to Common Stock pursuant to the terms of this Certificate of Designation immediately prior to such Liquidation, without regard to any limitations on conversion set forth herein or otherwise. For the avoidance of doubt, following the Conversion Stockholder Approval, there will be no Liquidation Preference on the shares of Series A Preferred Stock.</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Protective Provisions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so long as at least 30% of the Series A Preferred Stock remains outstanding, neither we nor any of our subsidiaries may take any of the following actions without the consent of holders of a majority of the then-outstanding shares of Series A Preferred Stock:</w:t>
      </w:r>
    </w:p>
    <w:p>
      <w:pPr>
        <w:spacing w:after="0" w:line="189"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consummate any sale transaction;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the nature of our business;</w:t>
      </w:r>
    </w:p>
    <w:p>
      <w:pPr>
        <w:spacing w:after="0" w:line="252"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any provisions of our organizational documents in a manner that adversely and disproportionately affects the rights, preferences, privileges, or powers of the Series A Preferred Stock;</w:t>
      </w:r>
    </w:p>
    <w:p>
      <w:pPr>
        <w:spacing w:after="0" w:line="18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additional equity securities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 Preferred Stock;</w:t>
      </w:r>
    </w:p>
    <w:p>
      <w:pPr>
        <w:spacing w:after="0" w:line="252" w:lineRule="exact"/>
        <w:rPr>
          <w:rFonts w:ascii="Times New Roman" w:cs="Times New Roman" w:eastAsia="Times New Roman" w:hAnsi="Times New Roman"/>
          <w:sz w:val="18"/>
          <w:szCs w:val="18"/>
          <w:color w:val="auto"/>
        </w:rPr>
      </w:pPr>
    </w:p>
    <w:p>
      <w:pPr>
        <w:jc w:val="both"/>
        <w:ind w:left="1080" w:hanging="532"/>
        <w:spacing w:after="0" w:line="26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any dividends on our Common Stock or any equity securities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 Preferred Stock, or repurchase any equity interests (other than repurchases of, or dividends paid on, the Series A Preferred Stock or dividends paid solely in the form of equity securities junior to the Series A Preferred Stock);</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in excess of $500,000;</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subject to certain customary exceptions;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encumber material technology or intellectual property, other than licenses granted in the ordinary course of business;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corporate strategic relationship involving the payment or contribution by us greater than $500,000.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protective provisions will terminate upon receipt of stockholder approval of this proposal.</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stockholder approval of this proposal is not obtained within one year following the closing of the Private Placement, each purchaser will have the right, at any time during the three-year period following the closing, to require us to redeem its shares of Series A Preferred Stock for cash at a price equal to the then liquidation preference per share, subject to any (i) appliable laws or (ii) Nasdaq exchange rules or regulations.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as of the closing date of the Private Placement for an aggregate of 80,000 shares of Series A Preferred Stock until the tenth day following the date of our public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announcement that we have achieved, on a statistically significant basis, the primary endpoint of our Phase 3 confirmatory trial of roluperidone in schizophrenia at the 12-week timepoint (the “Milestone Event”).</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commencing on the earlier of (i) our public announcement of the Milestone Event and (ii) the three year anniversary of the closing date of the Private Placement. The Preferred Tranche B Warrants will expire on the four (4)-year anniversary of the closing date of the Private Placement.</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Warrants are subject to forfeiture in the event the applicable Investor engages in any Short Sales (as defined in the Securities Purchase Agreement) involving our securities during the 48-months period following the closing date of the Private Placement. In addition, the shares underlying Tranche B Warrants are subject to reduction if the applicable Investor sells or transfers any shares of Series A Preferred Stock or shares of Common Stock received upon conversion of the Series A Preferred Stock before the Exercisability Date (as defined therein), except to affiliates for no consideration.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applicable rules of Nasdaq, including Nasdaq Listing Rule 5635(d), which requires stockholder approval prior to the issuance of 20% or more of the Common Stock or 20% or more of the voting power outstanding before the issuance at a price that is less than the Minimum Price (as defined in the Nasdaq Listing Rules). Because the purchase price of the securities issued in the Private Placement was less than the Minimum Price and the conversion of the Series A Preferred Stock, including upon conversion of any shares of Series A Preferred Stock issuable upon the exercise of the Warrants, would result in the issuance of more than 20% of our outstanding shares of Common Stock, Nasdaq Listing Rule 5635(d) is implicated by the issuance of such securities. Thus, in order to permit the issuance of shares of Common Stock upon the conversion of the Series A Preferred Stock, we must first obtain the Conversion Stockholder Approval. Accordingly, we are seeking stockholder approval pursuant to Nasdaq Listing Rule 5635(d) to permit the issuance of the maximum number of shares of Common Stock pursuant to the terms of the Certificate of Designation for the Series A Preferred Stock and the Warrants, as applicable.</w:t>
      </w:r>
    </w:p>
    <w:p>
      <w:pPr>
        <w:spacing w:after="0" w:line="188"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If this Proposal 3 is not approved by our stockholders, then pursuant to the terms of the Securities Purchase Agreement, we are required to submit the Conversion Stockholder Approval for approval by our stockholders at least annually until such approval is obtained.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Proposal</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stockholders approve this Proposal 3 at the Annual Meeting, each share of outstanding Series A Preferred Stock will automatically convert into 473 shares of our Common Stock, representing a conversion price of $2.11 per share (rounded down to the nearest whole share), on the first trading day following the announcement of the Conversion Stockholder Approval, subject to the terms and limitations contained in the Certificate of Designation, including that shares of Series A Preferred Stock shall not be convertible if the conversion would result in a holder beneficially owning more than its Maximum Percentage as of the applicable conversion date.</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“FOR” APPROVAL OF CONVERSION OF SERIES A PREFERRED STOCK (PROPOSAL 3)</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PROPOSAL 4 APPROVAL OF AN AMENDMENT TO THE AMENDED AND RESTATED 2013 EQUITY INCENTIVE PLAN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2025, our Board approved an amendment to the Minerva Neurosciences, Inc. Amended and Restated 2013 Equity Incentive Plan, or the 2013 Plan, subject to stockholder approval. We refer to the 2013 Plan, as amended by the Board in November 2025, as the Amended 2013 Plan throughout this proxy statement. References in this proposal to our Board of Directors include the Compensation Committee of the Board where applicable.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Amended 2013 Plan contains the following material changes from the 2013 Plan:</w:t>
      </w:r>
    </w:p>
    <w:p>
      <w:pPr>
        <w:spacing w:after="0" w:line="252" w:lineRule="exact"/>
        <w:rPr>
          <w:sz w:val="20"/>
          <w:szCs w:val="20"/>
          <w:color w:val="auto"/>
        </w:rPr>
      </w:pPr>
    </w:p>
    <w:p>
      <w:pPr>
        <w:ind w:left="1540" w:right="20" w:hanging="439"/>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2013 Plan provides that an additional 12,500,000 shares may be issued pursuant to stock awards granted under the Amended 2013 Plan; and</w:t>
      </w:r>
    </w:p>
    <w:p>
      <w:pPr>
        <w:spacing w:after="0" w:line="188"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2013 Plan increases the maximum number of shares that may be issued upon the exercise of incentive stock options by 37,500,000 shares.</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Proposal 4, our Board of Directors is requesting stockholder approval of the Amended 2013 Plan, including the increase to the number of shares of Common Stock authorized for issuance under the Amended 2013 Plan by 12,500,000 shares. As of October 23, 2025, approximately 2,078,917 shares were authorized for issuance under the 2013 Plan. If stockholder approval of this Proposal 4 is obtained, therefore, an aggregate of approximately 14,578,917 shares will be authorized for issuance under the Amended 2013 Plan, less the number of shares of our Common Stock subject to outstanding awards granted under the 2013 Plan that on or following the effective date of the Amended 2013 Plan. Our Board of Directors believes that the Amended 2013 Plan is an integral part of our long-term compensation philosophy and the Amended 2013 Plan is necessary to continue providing the appropriate levels and types of equity compensation for our employees.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Amended 2013 Plan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Currently, we maintain the 2013 Plan to grant equity awards to our employees, non-employee directors and consultants. We are seeking stockholder approval of the Amended 2013 Plan primarily to increase the number of shares available for the grant of stock options, restricted stock unit awards and other awards, which will enable us to have a competitive equity incentive program to compete with our peer group for key talent.</w:t>
      </w:r>
    </w:p>
    <w:p>
      <w:pPr>
        <w:spacing w:after="0" w:line="17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We have experienced substantial changes to our capital structure</w:t>
      </w:r>
      <w:r>
        <w:rPr>
          <w:rFonts w:ascii="Times New Roman" w:cs="Times New Roman" w:eastAsia="Times New Roman" w:hAnsi="Times New Roman"/>
          <w:sz w:val="18"/>
          <w:szCs w:val="18"/>
          <w:color w:val="auto"/>
        </w:rPr>
        <w:t>. In October 2025, we closed the Private Placement pursuant to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described in Proposal 3. Pursuant to the Private Placement and the Authorized Share Increase described in Proposal 2, if approved by our stockholders, our shares of Common Stock on a fully diluted basis will increase by approximately 1,129%. “Fully diluted basis” for these purposes means our outstanding shares of Common Stock, on an as-converted basis, including each share of Common Stock issuable upon conversion of our Series A Preferred Stock, assuming full exercise of our Preferred Tranche A Warrants and Preferred Tranche B Warrants without regard to any beneficial ownership conversion limitations, shares of Common Stock issuable upon exercise of outstanding pre-funded warrants, and shares of Common Stock issuable upon the exercise or settlement of equity awards granted under our equity incentive plans. For purposes of the remainder of this Proposal 4, “fully diluted basis” assumes stockholder approval of the Authorized Share Increase and the Conversion of Series A Preferred Stock as described in Proposal 2 and Proposal 3, respectively.</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Equity incentives are key to retaining key talent to drive our business forward</w:t>
      </w:r>
      <w:r>
        <w:rPr>
          <w:rFonts w:ascii="Times New Roman" w:cs="Times New Roman" w:eastAsia="Times New Roman" w:hAnsi="Times New Roman"/>
          <w:sz w:val="18"/>
          <w:szCs w:val="18"/>
          <w:color w:val="auto"/>
        </w:rPr>
        <w:t>. We believe that equity awards are a key element underlying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retain, recruit and motivate key personnel who are critical to our ability to execute successfully and implement our plans to advance the clinical programs of roluperidone. Equity awards align the interests of our key personnel with those of our stockholders and we believe equity awards are a substantial contributing factor to our success and the future growth of our business.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Current equity holdings and reserves are inadequate</w:t>
      </w:r>
      <w:r>
        <w:rPr>
          <w:rFonts w:ascii="Times New Roman" w:cs="Times New Roman" w:eastAsia="Times New Roman" w:hAnsi="Times New Roman"/>
          <w:sz w:val="18"/>
          <w:szCs w:val="18"/>
          <w:color w:val="auto"/>
        </w:rPr>
        <w:t>. We believe that the shares currently available for grant under the 2013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to meet our anticipated retention and recruiting needs under our current capital structure. As of October 23, 2025, shares remaining available for future grant under the 2013 Plan represented approximately 0.1% of our shares of Common Stock on a fully diluted basis and all outstanding stock awards (which consist of stock options, restricted stock unit and performance restricted stock units) covered approximately 1.6% of our shares of Common Stock on a fully diluted basis. Further, approximately 53.5% of the outstanding options held by employees and consultants, including our executive officers, are “underwater” as of October 23, 2025, meaning the exercise price per share of each of those options is greater than our current stock price as of October 23, 2025 and have been “underwater” for multiple years. Our Compensation Committee and our Board feel these equity incentive holdings are inadequate to retain and motivate these key individuals critical to our continued success.</w:t>
      </w:r>
    </w:p>
    <w:p>
      <w:pPr>
        <w:spacing w:after="0" w:line="183"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Approval of the Amended 2013 Plan by our stockholders will allow us to grant stock options, restricted stock unit awards and other awards at levels determined appropriate by the Board or Compensation Committee. The Amended 2013 Plan will also allow us to continue to utilize a broad array of equity incentives in order to secure and retain the services of our employees, non-employee directors and consultants, and to continue providing long-term incentives that align the interests of our employees, non-employee directors and consultants with the interests of our stockholders.</w:t>
      </w:r>
    </w:p>
    <w:p>
      <w:pPr>
        <w:spacing w:after="0" w:line="183"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If this Proposal 4 is approved by our stockholders, then subject to adjustment for certain changes in our capitalization, the aggregate number of shares of our Common Stock that may be issued under the Amended 2013 Plan will not exceed the sum of (i) 12,500,000 new shares, (ii) the number of shares remaining available for the grant of new awards under the 2013 Plan as of immediately prior to the effective date of the Amended 2013 Plan and</w:t>
      </w:r>
    </w:p>
    <w:p>
      <w:pPr>
        <w:spacing w:after="0" w:line="1" w:lineRule="exact"/>
        <w:rPr>
          <w:sz w:val="20"/>
          <w:szCs w:val="20"/>
          <w:color w:val="auto"/>
        </w:rPr>
      </w:pPr>
    </w:p>
    <w:p>
      <w:pPr>
        <w:jc w:val="both"/>
        <w:ind w:left="120" w:right="20" w:hanging="4"/>
        <w:spacing w:after="0" w:line="290" w:lineRule="auto"/>
        <w:tabs>
          <w:tab w:leader="none" w:pos="43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shares subject to outstanding awards granted under the 2013 Plan that may become available for issuance under the Amended 2013 Plan, as such shares become available from time to time (as further described below in “Description of the Amended 2013 Plan—Shares Available for Awards”).</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Stockholder Approval</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this Proposal 4 is approved by our stockholders, the Amended 2013 Plan will become effective as of the date of the Annual Meeting. In the event that our stockholders do not approve this Proposal 4, the Amended 2013 Plan will not become effective and the 2013 Plan will continue to be effective in accordance with its current terms.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2013 Plan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an Important Part of Our Compensation Philosophy</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believes that the grant of equity awards is a key element underlying our ability to attract, retain and motivate our employees, non-employee directors and consultants because of the strong competition for highly trained and experienced individuals among biopharmaceutical companies. Therefore, the Board believes that the Amended 2013 Plan is in the best interests of our business and our stockholders and recommends a vote in favor of this Proposal 4.</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Amended 2013 Plan will allow us to continue to utilize equity awards as long-term incentives to secure and retain the services of our employees, non-employee directors and consultants, consistent with our compensation philosophy and common compensation practice for our industry. To date, equity awards have been a key aspect of our program to attract and retain key employees, non-employee directors and consultants.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 Common Stock and promote retention through the reward of long-term Company performance.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Carefully Manage the Use of Equity Awards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compensation philosophy reflects broad-based eligibility for equity awards, and we have historically granted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non-employee directors and consultants.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Increase Request Is Reasonable</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our request to increase the share reserve of the Amended 2013 Plan by 12,500,000 shares is approved, we will have approximately 14,578,917 shares authorized for issuance after the Annual Meeting. We believe that such number of shares will be sufficient to attract, retain and motivate employees for the next two years. The size of our request is also reasonable in light of the equity granted to our employees and directors over the last three years.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Amended 2013 Plan Combines Compensation and Governance Best Practices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Amended 2013 Plan includes provisions that are designed to protect our stockholders’ interests and to reflect corporate governance best practices, including:</w:t>
      </w:r>
    </w:p>
    <w:p>
      <w:pPr>
        <w:spacing w:after="0" w:line="189" w:lineRule="exact"/>
        <w:rPr>
          <w:sz w:val="20"/>
          <w:szCs w:val="20"/>
          <w:color w:val="auto"/>
        </w:rPr>
      </w:pPr>
    </w:p>
    <w:p>
      <w:pPr>
        <w:ind w:left="1420" w:hanging="427"/>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is required for additional shares. The Amended 2013 Plan does not contain an annual “evergreen” provision. The Amended 2013 Plan authorizes a fixed number of shares, so that stockholder approval is required to issue any additional shares.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liberal share recycling. The following shares will not become available again for issuance under the Amended 2013 Plan:</w:t>
      </w:r>
    </w:p>
    <w:p>
      <w:pPr>
        <w:spacing w:after="0" w:line="27" w:lineRule="exact"/>
        <w:rPr>
          <w:rFonts w:ascii="Times New Roman" w:cs="Times New Roman" w:eastAsia="Times New Roman" w:hAnsi="Times New Roman"/>
          <w:sz w:val="18"/>
          <w:szCs w:val="18"/>
          <w:color w:val="auto"/>
        </w:rPr>
      </w:pPr>
    </w:p>
    <w:p>
      <w:pPr>
        <w:jc w:val="both"/>
        <w:ind w:left="1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shares that are reacquired or withheld (or not issued) by us to satisfy the exercise or purchase price of an award; (ii) shares that are reacquired or withheld (or not issued) by us to satisfy a tax withholding obligation in connection with an award; and (iii) any shares repurchased by us on the open market with the proceeds of the exercise or purchase price of awards.</w:t>
      </w:r>
    </w:p>
    <w:p>
      <w:pPr>
        <w:spacing w:after="0" w:line="212" w:lineRule="exact"/>
        <w:rPr>
          <w:rFonts w:ascii="Times New Roman" w:cs="Times New Roman" w:eastAsia="Times New Roman" w:hAnsi="Times New Roman"/>
          <w:sz w:val="18"/>
          <w:szCs w:val="18"/>
          <w:color w:val="auto"/>
        </w:rPr>
      </w:pPr>
    </w:p>
    <w:p>
      <w:pPr>
        <w:jc w:val="both"/>
        <w:ind w:left="1420" w:right="20" w:hanging="427"/>
        <w:spacing w:after="0" w:line="261"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is not allowed. The Amended 2013 Plan prohibits the repricing of outstanding stock options and stock appreciation rights, and the cancellation of any outstanding stock options or stock appreciation rights that have an exercise or strike price greater than the then-current fair market value of our Common Stock in exchange for cash or other stock awards under the Amended 2013 Plan, without prior stockholder approval.</w:t>
      </w:r>
    </w:p>
    <w:p>
      <w:pPr>
        <w:spacing w:after="0" w:line="206" w:lineRule="exact"/>
        <w:rPr>
          <w:rFonts w:ascii="Times New Roman" w:cs="Times New Roman" w:eastAsia="Times New Roman" w:hAnsi="Times New Roman"/>
          <w:sz w:val="18"/>
          <w:szCs w:val="18"/>
          <w:color w:val="auto"/>
        </w:rPr>
      </w:pPr>
    </w:p>
    <w:p>
      <w:pPr>
        <w:jc w:val="both"/>
        <w:ind w:left="1420" w:right="20" w:hanging="427"/>
        <w:spacing w:after="0" w:line="266"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discounted stock options or stock appreciation rights. All stock options and stock appreciation rights granted under the Amended 2013 Plan must have an exercise price equal to or greater than the fair market value of our Common Stock on the date the stock option or stock appreciation right is granted.</w:t>
      </w:r>
    </w:p>
    <w:p>
      <w:pPr>
        <w:spacing w:after="0" w:line="202" w:lineRule="exact"/>
        <w:rPr>
          <w:rFonts w:ascii="Times New Roman" w:cs="Times New Roman" w:eastAsia="Times New Roman" w:hAnsi="Times New Roman"/>
          <w:sz w:val="18"/>
          <w:szCs w:val="18"/>
          <w:color w:val="auto"/>
        </w:rPr>
      </w:pPr>
    </w:p>
    <w:p>
      <w:pPr>
        <w:jc w:val="both"/>
        <w:ind w:left="1420" w:hanging="427"/>
        <w:spacing w:after="0" w:line="254"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Vesting Requirement. No award granted following the date stockholders approve the Amended 2013 Plan may vest until at least 12 months following the date of grant of the award, except that (i) the shares of our Common Stock up to 5% of the share reserve of the Amended 2013 Plan may be issued pursuant to awards granted under the Amended 2013 Plan that do not meet the minimum vesting requirements, (ii) awards may be granted as substitute awards in replacement of other awards that were scheduled to vest within the 12-month period following the grant date, (iii) awards may be granted in connection with an elective deferral of cash compensation that, absent a deferral election, otherwise would have been paid to the grantee within the 12-month period following the grant date, (iv) the vesting of awards may accelerate within 12 months following the grant date in connection with a change in control, and (v) the Board retains the discretionary authority to accelerate the vesting of awards granted under the Amended 2013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420" w:right="20" w:hanging="427"/>
        <w:spacing w:after="0" w:line="258"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on non-employee director compensation. The aggregate value of all compensation granted or paid by us to any individual for service as a non-employee director with respect to any annual period, including awards granted under the Amended 2013 Plan and cash fees paid to such non-employee director, will not exceed (i) $500,000 in total value or (ii) in the event such non-employee director is first appointed or elected to the Board during such annual period, $750,000 in total value. For purposes of these limitations, the value of any equity awards is calculated based on the grant date fair value of such awards for financial reporting purposes.</w:t>
      </w:r>
    </w:p>
    <w:p>
      <w:pPr>
        <w:spacing w:after="0" w:line="210" w:lineRule="exact"/>
        <w:rPr>
          <w:rFonts w:ascii="Times New Roman" w:cs="Times New Roman" w:eastAsia="Times New Roman" w:hAnsi="Times New Roman"/>
          <w:sz w:val="18"/>
          <w:szCs w:val="18"/>
          <w:color w:val="auto"/>
        </w:rPr>
      </w:pPr>
    </w:p>
    <w:p>
      <w:pPr>
        <w:jc w:val="both"/>
        <w:ind w:left="1420" w:hanging="427"/>
        <w:spacing w:after="0" w:line="25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dividends and dividend equivalents. The Amended 2013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spacing w:after="0" w:line="214" w:lineRule="exact"/>
        <w:rPr>
          <w:rFonts w:ascii="Times New Roman" w:cs="Times New Roman" w:eastAsia="Times New Roman" w:hAnsi="Times New Roman"/>
          <w:sz w:val="18"/>
          <w:szCs w:val="18"/>
          <w:color w:val="auto"/>
        </w:rPr>
      </w:pPr>
    </w:p>
    <w:p>
      <w:pPr>
        <w:jc w:val="both"/>
        <w:ind w:left="1420" w:hanging="427"/>
        <w:spacing w:after="0" w:line="25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subject to forfeiture/clawback. Awards granted under the Amended 2013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spacing w:after="0" w:line="214" w:lineRule="exact"/>
        <w:rPr>
          <w:rFonts w:ascii="Times New Roman" w:cs="Times New Roman" w:eastAsia="Times New Roman" w:hAnsi="Times New Roman"/>
          <w:sz w:val="18"/>
          <w:szCs w:val="18"/>
          <w:color w:val="auto"/>
        </w:rPr>
      </w:pPr>
    </w:p>
    <w:p>
      <w:pPr>
        <w:jc w:val="both"/>
        <w:ind w:left="1420" w:right="20" w:hanging="427"/>
        <w:spacing w:after="0" w:line="255"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stock options and stock appreciation rights on a participant’s termination for cause. If a participant’s service is terminated for cause, which is defined under the Amended 2013 Plan as (i) the participant’s attempted commission of, or participation in, a fraud or act of dishonesty against the Company; (ii) the participant’s intentional, material violation of any contract or agreement between the participant and the Company or of any statutory duty owed to the Company; (iii) the participant’s unauthorized use or disclosure of the Company’s confidential information or trade secrets; or (iv) the participant’s gross misconduct, the participant’s stock options and stock appreciation rights terminate immediately, and the participant is prohibited from exercising his or her stock options and stock appreciation rights.</w:t>
      </w:r>
    </w:p>
    <w:p>
      <w:pPr>
        <w:spacing w:after="0" w:line="215" w:lineRule="exact"/>
        <w:rPr>
          <w:rFonts w:ascii="Times New Roman" w:cs="Times New Roman" w:eastAsia="Times New Roman" w:hAnsi="Times New Roman"/>
          <w:sz w:val="18"/>
          <w:szCs w:val="18"/>
          <w:color w:val="auto"/>
        </w:rPr>
      </w:pPr>
    </w:p>
    <w:p>
      <w:pPr>
        <w:jc w:val="both"/>
        <w:ind w:left="1420" w:right="20" w:hanging="427"/>
        <w:spacing w:after="0" w:line="26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liberal change in control definition. The change in control definition in the Amended 2013 Plan is not a “liberal” definition. A change in control transaction must actually occur in order for the change in control provisions in the Amended 2013 Plan to be triggered.</w:t>
      </w:r>
    </w:p>
    <w:p>
      <w:pPr>
        <w:spacing w:after="0" w:line="202" w:lineRule="exact"/>
        <w:rPr>
          <w:rFonts w:ascii="Times New Roman" w:cs="Times New Roman" w:eastAsia="Times New Roman" w:hAnsi="Times New Roman"/>
          <w:sz w:val="18"/>
          <w:szCs w:val="18"/>
          <w:color w:val="auto"/>
        </w:rPr>
      </w:pPr>
    </w:p>
    <w:p>
      <w:pPr>
        <w:ind w:left="1420" w:right="20" w:hanging="427"/>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accelerated vesting of assumed awards upon change in control. The Amended 2013 Plan does not provide for accelerated vesting of awards that are assumed by an acquirer upon a change in control.</w:t>
      </w:r>
    </w:p>
    <w:p>
      <w:pPr>
        <w:spacing w:after="0" w:line="188" w:lineRule="exact"/>
        <w:rPr>
          <w:rFonts w:ascii="Times New Roman" w:cs="Times New Roman" w:eastAsia="Times New Roman" w:hAnsi="Times New Roman"/>
          <w:sz w:val="18"/>
          <w:szCs w:val="18"/>
          <w:color w:val="auto"/>
        </w:rPr>
      </w:pPr>
    </w:p>
    <w:p>
      <w:pPr>
        <w:jc w:val="both"/>
        <w:ind w:left="1420" w:right="20" w:hanging="427"/>
        <w:spacing w:after="0" w:line="26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amendments require stockholder approval. Consistent with Nasdaq rules, the Amended 2013 Plan requires stockholder approval of any material revisions to the Amended 2013 Plan. In addition, certain other amendments to the Amended 2013 Plan require stockholder approval.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“FOR” APPROVAL OF AN AMENDMENT TO THE 2013 EQUITY INCENTIVE PLAN (PROPOSAL 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AMENDED 2013 PLAN</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material features of the Amended 2013 Plan are described below. The following description of the Amended 2013 Plan is a summary only and is qualified in its entirety by reference to the complete text of the Amended 2013 Plan. Stockholders are urged to read the actual text of the Amended 2013 Plan in its entirety, which is attached to this proxy statement as Appendix B.</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Amended 2013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Amended 2013 Plan is also designed to align employees’ interests with stockholder interests.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terms of the Amended 2013 Plan provide for the grant of incentive stock options, nonstatutory stock options, stock appreciation rights, restricted stock awards, restricted stock unit awards, performance awards, and other awards.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shares of our Common Stock that may be issued under the Amended 2013 Plan will not exceed the sum of (i) 12,500,000 new shares, (ii) the number of shares remaining available for the grant of new awards under the 2013 Plan as of immediately prior to the effective date of the Amended 2013 Plan and (iii) the Returning Shares (as defined below), as such shares become available from time to time.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“Returning Shares” are shares of our Common Stock subject to outstanding awards granted under the 2013 Plan that on or following the effective date of the Amended 2013 Plan: (i) are not issued because such award or any portion thereof expires or otherwise terminates without all of the shares covered by such award having been issued; (ii) are not issued because such award or any portion thereof is settled in cash; or (iii) are forfeited back to or repurchased by us because of the failure to meet a contingency or condition required for the vesting of such shares.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actions will not result in an issuance of shares of our Common Stock under the Amended 2013 Plan and accordingly will not reduce the number of shares of our Common Stock available for issuance under the Amended 2013 Plan: (i) the expiration or termination of any portion of an award granted under the Amended 2013 Plan without the shares covered by such portion of the award having been issued or (ii) the settlement of any portion of an award granted under the Amended 2013 Plan in cash. If any shares of our Common Stock issued pursuant to an award granted under the Amended 2013 Plan are forfeited back to or repurchased by us because of the failure to meet a contingency or condition required for the vesting of such shares or if any shares, then such shares will also become available again for issuance under the Amended 2013 Plan.</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shares of our Common Stock reacquired or withheld (or not issued) by us to satisfy the exercise or purchase price of an award will no longer be available for issuance under the Amended 2013 Plan, including any shares subject to an award that are not delivered to a participant because such award is settled through a reduction of shares subject to such award. In addition, any shares reacquired or withheld (or not issued) by us to satisfy a tax withholding obligation in connection with an award, or any shares repurchased by us on the open market with the proceeds from the exercise or purchase price of an award will no longer be available for issuance under the Amended 2013 Plan.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closing price of our Common Stock, as reported on Nasdaq Capital Market on October 23, 2025 was $4.87 per share.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of our (including our affiliates’) employees, non-employee directors and consultants are eligible to participate in the Amended 2013 Plan and may receive all types of awards other than incentive stock options. Incentive stock options may be granted under the Amended 2013 Plan only to our (including our affiliates’) employees.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October 23, 2025, we (including our affiliates) had seven employees, four non-employee directors and one consultant.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Amended 2013 Plan will be administered by our Board, which may in turn delegate some or all of the administration of the Amended 2013 Plan to a committee or committees composed of members of the Board. Our Board has delegated concurrent authority to administer the Amended 2013 Plan to our Compensation Committee, but may, at any time, revest in itself some or all of the power delegated to our Compensation Committee. Our Board and Compensation Committee are each considered to be a Plan Administrator for purpose of this Proposal 4.</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of the Amended 2013 Plan, the Plan Administrator may determine the recipients, the types of awards to be granted, the number of shares of our Common Stock subject to or the cash value of awards, and subject to the limitations set forth below, the terms and conditions of awards granted under the Amended 2013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Amended 2013 Plan.</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Plan Administrator may also delegate to one or more executive officers the authority to designate employees who are not executive officers to be recipients of certain awards and the number of shares of our Common Stock subject to such awards. Under any such delegation, the Plan Administrator will specify the total number of shares of our Common Stock that may be subject to the awards granted by such executive officer. The executive officer may not grant an award to himself or herself.</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Repricing; Cancellation and Re-Grant of Stock Options or Stock Appreciation Rights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2013 Plan, unless our stockholders have approved such an action within 12 months prior to such an event, the Plan Administrator does not have the authority to reprice any outstanding stock option or stock appreciation right by (1) reducing the exercise or strike price of the stock option or stock appreciation right or (2) canceling any outstanding stock option or stock appreciation right that has an exercise or strike price greater than the then-current fair market value of our Common Stock in exchange for cash or other awards.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Minimum Vesting Requirements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 award granted following the date stockholders approve the Amended 2013 Plan may vest until at least 12 months following the date of grant of the award, except that (i) the shares of our Common Stock up to 5% of the share reserve of the Amended 2013 Plan may be issued pursuant to awards granted under the Amended 2013 Plan that do not meet the minimum vesting requirements, (ii) awards may be granted as substitute awards in replacement of other awards that were scheduled to vest within the 12-month period following the grant date, (iii) awards may be granted in connection with an elective deferral of cash compensation that, absent a deferral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election, otherwise would have been paid to the grantee within the 12-month period following the grant date, (iv) the vesting of awards may accelerate within 12 months following the grant date in connection with a change in control under the Amended 2013 Plan, and (v) the Board retains the discretionary authority to accelerate the vesting of awards granted under the Amended 2013 Plan.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Amended 2013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 Subject to the foregoing, the Amended 2013 Plan further provides that dividends or dividend equivalents may be paid or credited to shares of our Common Stock subject to a restricted stock award or restricted stock unit award granted under the Amended 2013 Plan, as determined by the Plan Administrator and specified in the applicable award agreement.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 on Non-Employee Director Compensation</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aggregate value of all compensation granted or paid by us to any individual for service as a non-employee director with respect to any calendar year (such period, the “annual period”), including awards granted under the Amended 2013 Plan and cash fees paid to such non-employee director, will not exceed (i) $500,000 in total value or (ii) in the event such non-employee director is first appointed or elected to the Board during such annual period, $750,000 in total value. For purposes of these limitations, the value of any equity awards is calculated based on the grant date fair value of such awards for financial reporting purposes.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Stock options may be granted under the Amended 2013 Plan pursuant to stock option agreements. The Amended 2013 Plan permits the grant of stock options that are intended to qualify as incentive stock options, or ISOs, and nonstatutory stock options, or NSOs.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2013 Plan may not be less than 100% of the fair market value of the Common Stock subject to the stock option on the date of grant and, in some cases (see “—Limitations on Incentive Stock Options” below), may not be less than 110% of such fair market value.</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Times New Roman" w:cs="Times New Roman" w:eastAsia="Times New Roman" w:hAnsi="Times New Roman"/>
          <w:sz w:val="17"/>
          <w:szCs w:val="17"/>
          <w:color w:val="auto"/>
        </w:rPr>
        <w:t>The term of stock options granted under the Amended 2013 Plan may not exceed ten years from the date of grant and, in some cases (see “— 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4 as “continuous service”) terminates (other than for cause (as defined in the Amended 2013 Plan) or the participant’s death or disability (as defined in the Amended 2013 Plan)),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the participant may exercise any vested stock options for up to 12 months following the participant’s termination due to the participant’s disability. Except as otherwise provided in a participant’s stock option agreement or other written agreement with us or one of our affiliates, if a participant’s continuous service terminates due to the participant’s death (or the participant dies within a specified period following termination of continuous service), the participant’s beneficiary may exercise any vested stock options for up to 18 months following the participant’s death. Except as explicitly provided otherwise in a participant’s stock option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agreement or other written agreement with us or one of our affiliates, if a participant’s continuous service is terminated for cause,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us or one of our affiliates, the term of a stock option may be extended if a participant’s continuous service terminates for any reason other than for cause and, at any time during the last 30 days of the applicable post-termination exercise period, the exercise of the stock option would be prohibited by applicable laws or the sale of any Common Stock received upon such exercise would violate our insider trading policy. In no event, however, may a stock option be exercised after its original expiration date.</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Acceptable forms of consideration for the purchase of our Common Stock pursuant to the exercise of a stock option under the Amended 2013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Amended 2013 Plan may become exercisable in cumulative increments, or “vest,” as determined by the Plan Administrator at the rate specified in the stock option agreement. Shares covered by different stock options granted under the Amended 2013 Plan may be subject to different vesting schedules as the Plan Administrator may determine.</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2013 Plan in its discretion. Generally, a participant may not transfer a stock option granted under the Amended 2013 Plan other than by will or the laws of descent and distribution or, subject to approval by the Plan Administrator, pursuant to a domestic relations order. However, the Plan Administrator may permit transfer of a stock option in a manner that is not prohibited by applicable tax and securities laws. Options may not be transferred to a third-party financial institution for value.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Incentive Stock Options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w:t>
      </w:r>
    </w:p>
    <w:p>
      <w:pPr>
        <w:spacing w:after="0" w:line="210" w:lineRule="exact"/>
        <w:rPr>
          <w:sz w:val="20"/>
          <w:szCs w:val="20"/>
          <w:color w:val="auto"/>
        </w:rPr>
      </w:pPr>
    </w:p>
    <w:p>
      <w:pPr>
        <w:ind w:left="1420" w:right="20" w:hanging="427"/>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ISO must be at least 110% of the fair market value of the Common Stock subject to the ISO on the date of grant;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ISO must not exceed five years from the date of grant.</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maximum number of shares of our Common Stock that may be issued pursuant to the exercise of ISOs under the Amended 2013 Plan is 43,736,751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Stock appreciation rights may be granted under the Amended 2013 Plan pursuant to stock appreciation right agreements. Each stock appreciation right is denominated in Common Stock share equivalents. The strike price of each stock appreciation right will be determined by the Plan Administrator but will in no event be less than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100% of the fair market value of the Common Stock subject to the stock appreciation right on the date of grant. The term of stock appreciation rights granted under the Amended 2013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2013 Plan.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Restricted stock awards may be granted under the Amended 2013 Plan pursuant to restricted stock award agreements. A restricted stock award may be granted in consideration for cash, check, bank draft or money order payable to us, the participant’s services performed for us,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Restricted stock unit awards may be granted under the Amended 2013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restricted stock units that have not vested will be forfeited upon the participant’s termination of continuous service for any reason.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Amended 2013 Plan allows us to grant performance awards. A performance award is an award that may vest or may be exercised, or that may become earned and paid, contingent upon the attainment of pre-determined performance goals during a performance period. A performance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 determine that cash may be used in payment of performance awards.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Performance goals under the Amended 2013 Plan are, for a performance period, the one or more goals established by the Plan Administrator for the performance period based upon the performance criteria that the Plan Administrator will select.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setting forth the performance goals at the time the performance goals are established, the Plan Administrator will appropriately make adjustments in the method of calculating the attainment of the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filing, review and/or approval of submissions to the U.S. Food and Drug Administration or any other regulatory body.</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the Plan Administrator retains the discretion to define the manner of calculating the performance criteria it selects to use for a performance period and to reduce or eliminate the compensation or economic benefit due upon the attainment of any performance goal.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forms of awards valued in whole or in part by reference to, or otherwise based on, our Common Stock may be granted either alone or in addition to other awards under the Amended 2013 Plan. Subject to the terms of the Amended 2013 Plan, the Plan Administrator will have sole and complete authority to determine the persons to whom and the time or times at which such other awards will be granted, the number of shares of our Common Stock to be granted and all other terms and conditions of such other awards.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Awards granted under the Amended 2013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Board may impose other clawback, recovery or recoupment provisions in an award agreement, including a reacquisition right in respect of previously acquired shares or other cash or property upon the occurrence of cause.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and proportionately adjust: (i) the class(es) and maximum number of shares of our Common Stock subject to the Amended 2013 Plan; (ii) the class(es) and maximum number of shares of our Common Stock that may be issued pursuant to the exercise of ISOs; and (iii) the class(es) and number of shares of our Common Stock and the exercise, strike or purchase price per share of our Common Stock subject to outstanding awards.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applies to each outstanding award under the Amended 2013 Plan in the event of a change in control (as defined in the Amended 2013 Plan and described below), unless provided otherwise in the applicable award agreement, in any other written agreement between a participant and the Company or an affiliate, or in any director compensation policy of the Company.</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any awards outstanding under the Amended 2013 Plan may be assumed, continued or substituted for by any surviving or acquiring corporation (or its parent company) (such entity, the “acquiring entity”), and any reacquisition or repurchase rights held by us with respect to the award may be assigned to the acquiring entity. If the acquiring entity does not assume, continue or substitute for such awards, then with respect to any such awards that are held by participants who are employees or non-employee directors and, in each case, whose continuous service has not terminated prior to the effective time of the change in control (such participants, the “current participants”), the vesting (and exercisability, if applicable) of such awards will be accelerated in full (and with respect to any such awards that are subject to performance-based vesting conditions or requirements, vesting will be deemed to be satisfied at the target level of performance as of the date of the change in control) to a date prior to the effective time of the change in control (contingent upon the effectiveness of the change in control), and such awards will terminate if not exercised (if applicable) at or prior to the effective time of the change in control, and any reacquisition or repurchase rights held by us with respect to such awards will lapse (contingent upon the effectiveness of the change in control), and (ii) any such awards that are held by persons other than current participants will terminate if not exercised (if applicable) at or prior to the effective time of the change in control, except that any reacquisition or repurchase rights held by us with respect to such awards will not terminate and may continue to be exercised notwithstanding the change in control.</w:t>
      </w:r>
    </w:p>
    <w:p>
      <w:pPr>
        <w:spacing w:after="0" w:line="19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an award will terminate if not exercised at or prior to the effective time of a change in control, the Plan Administrator may provide that the holder of such award may not exercise such award but instead will receive a payment equal in value to the excess, if any, of (i) the value of the property the participant would have received upon the exercise of the award, over (ii) any exercise price payable by such holder in connection with such exercise.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foregoing, an “assumed award” generally means any outstanding award under the Amended 2013 Plan that was assumed or continued, or any outstanding similar award that was granted in substitution for an award under the Amended 2013 Plan, in each case by the acquiring entity in connection with the applicable change in control.</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Amended 2013 Plan, a “change in control” generally means the occurrence of any one or more of the following events: (1) the acquisition by any person, entity or group of our securities representing more than 50% of the combined voting power of our then outstanding securities, other than by virtue of a merger, consolidation, or similar transaction; (2) a merger, consolidation or similar transaction in which our stockholders immediately before such transaction do not own, directly or indirectly, more than 50% of the combined voting power of the surviving entity (or the parent of the surviving entity) in substantially the same proportions as their ownership immediately prior to such transaction; (3) our stockholders approve or our Board approves our complete dissolution or liquidation, or our complete dissolution or liquidation otherwise occurs;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 of our Board becomes comprised of individuals who were not serving on our Board on the date the Amended 2013 Plan was adopted by our Compensation Committee (the “incumbent Board of Directors”), or whose nomination, appointment, or election was not approved by a majority of the incumbent Board of Directors still in office.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2013 Plan Amendments and Termination</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will have the authority to amend or terminate the Amended 2013 Plan at any time. However, except as otherwise provided in the Amended 2013 Plan, no amendment or termination of the Amended 2013 Plan may materially impair a participant’s rights under his or her outstanding awards without the participant’s consent. We will obtain stockholder approval of any amendment to the Amended 2013 Plan as required by applicable law and listing requirements. Unless terminated sooner by the Board, the Amended 2013 Plan will automatically terminate on earliest to occur of (i) April 20, 2028, (ii) the date on which all shares available for issuance under the Amended 2013 Plan have been issued as fully vested shares or (iii) the termination of all outstanding awards in connection with a change in control.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2013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Amended 2013 Plan. The Amended 2013 Plan is not qualified under the provisions of Section 401(a) of the Internal Revenue Code of 1986, as amended, or the Code, and is not subject to any of the provisions of the Employee Retirement Income Security Act of 1974. Our ability to realize the benefit of any tax deductions described below depends on our generation of taxable income as well as the requirement of reasonableness and the satisfaction of our tax reporting obligations.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his or her fair market value on the date of exercise of the stock option, and the participant’s capital gain holding period for those shares will begin on that date.</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participant.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Amended 2013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however, a participant disposes of a share acquired upon exercise of an ISO before the end of the required holding period, which is referred to as a disqualifying disposition, the participant generally will recognize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Code, and provided that either the employee includes that amount in income or we timely satisfy our reporting requirements with respect to that amount.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restricted stock award, to recognize ordinary income, as of the date the recipient receives the restricted stock award, equal to the excess, if any, of the fair market value of the stock on the date the restricted stock award is granted over any amount paid by the recipient for the stock.</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award.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Code or an exception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unit award.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stock appreciation right.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162(m) Limitations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Section 162(m) of the Code, compensation paid to any publicly held corporation’s “covered employees” that exceeds $1 million per taxable year for any covered employee is generally non-deductible. Awards granted under the Amended 2013 Plan will be subject to the deduction limit under Section 162(m) of the Code and will not be eligible to qualify for the performance-based compensation exception under Section 162(m) of the Code pursuant to the transition relief provided by the Tax Cuts and Jobs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Benefits under Amended 2013 Plan</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No awards that may be made under the Amended 2013 Plan to any of the named executive officers are currently determinable, as there are no guaranteed or contractually required awards. Future grants to the named executive officers are subject to approval of our Board or the applicable committee. However, pursuant to our current compensation program for non-employee directors, each of our current non-employee directors annually is eligible to receive an annual option grant to purchase 4,750 shares of Common Stock per year (the “Annual Grant”), and each newly elected non-employee director is eligible to receive an initial option grant to purchase 9,500 shares of our Common Stock. The aggregate number of shares subject to such Annual Grants that will automatically be granted to all of our current directors who are not executive officers as a group on the date of our Annual Meeting will be 19,000 shares (which such number excludes Dr. Kaul, who was appointed as a director in November 2025 and will not receive an Annual Grant at the Annual Meeting). Upon his election to the Board, Dr. Kaul received an initial option grant to purchase 9,500 shares of our Common Stock. After the date of the Annual Meeting, any such awards will be granted under the Amended 2013 EIP if this Proposal 4 is approved by our stockholders. For additional information regarding our current compensation program for non-employee directors, please see “Director Compensation— Non-Employee Director Compensation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2013 Plan Benefits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for each of the named executive officers and the various groups indicated below, the total number of shares of our Common Stock subject to stock awards that have been granted (even if not currently outstanding) under the 2013 Plan since it became effective through October 23, 2025 (excluding Dr. Kaul, who was appointed as a director in November 2025):</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16"/>
        </w:trPr>
        <w:tc>
          <w:tcPr>
            <w:tcW w:w="614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5"/>
              </w:rPr>
              <w:t>890,278</w:t>
            </w:r>
          </w:p>
        </w:tc>
      </w:tr>
      <w:tr>
        <w:trPr>
          <w:trHeight w:val="24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13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557,734</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4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5"/>
              </w:rPr>
              <w:t>275,415</w:t>
            </w:r>
          </w:p>
        </w:tc>
      </w:tr>
      <w:tr>
        <w:trPr>
          <w:trHeight w:val="24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 (3 persons)</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1,723,427</w:t>
            </w:r>
          </w:p>
        </w:tc>
      </w:tr>
      <w:tr>
        <w:trPr>
          <w:trHeight w:val="27"/>
        </w:trPr>
        <w:tc>
          <w:tcPr>
            <w:tcW w:w="6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 (4 persons)</w:t>
            </w:r>
          </w:p>
        </w:tc>
        <w:tc>
          <w:tcPr>
            <w:tcW w:w="134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178,054</w:t>
            </w:r>
          </w:p>
        </w:tc>
      </w:tr>
      <w:tr>
        <w:trPr>
          <w:trHeight w:val="22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and consultants, including all current officers who are not executive</w:t>
            </w:r>
          </w:p>
        </w:tc>
        <w:tc>
          <w:tcPr>
            <w:tcW w:w="13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863,790</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officers, as a group (6 persons)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“FOR” APPROVAL OF AN AMENDMENT TO THE 2013 EQUITY INCENTIVE PLAN (PROPOSAL 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5 ADVISORY VOTE ON EXECUTIVE COMPENSATION</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Securities Exchange Act of 1934, our stockholders are entitled to vote to approve, on an advisory basis, the compensation of our named executive officers as disclosed in this proxy statement in accordance with the SEC rules.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The compensation of our named executive officers is disclosed in the sections entitled “Executive Compensation” and Director Compensation” below, including the compensation tables and narrative disclosure contained in this proxy statement. As discussed in those disclosures, we believe that our compensation policies and decisions are focused on pay-for-performance principles and strongly aligned with our stockholders’ interests. Compensation of our named executive officers is designed to enable us to attract and retain talented and experienced executives, whose knowledge, skills and performance are critical to our success, and to motivate these executive officers to achieve our business objectives and lead us in a competitive environment.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us, our Compensation Committee or our Board. Our Board and Compensation Committee value the opinions of our stockholders and to the extent there is any significant vote against the named executive officer compensation as disclosed in this proxy statement, we will consider our stockholders’ concerns and our Compensation Committee will evaluate whether any actions are necessary to address those concerns.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“FOR” APPROVAL OF, ON AN ADVISORY BASIS, EXECUTIVE COMPENSATION (PROPOSAL 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PROPOSAL 6 RATIFICATION OF SELECTION OF INDEPENDENT REGISTERED PUBLIC ACCOUNTING FIRM</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selected Deloitte &amp; Touche LLP as the Company’s independent registered public accounting firm for the fiscal year ending December 31, 2025 and has further directed that the Company’s management submit the selection of its independent registered public accounting firm for ratification by the stockholders at the Annual Meeting. Deloitte &amp; Touche LLP has audited the Company’s consolidated financial statements since the fiscal year ended December 31, 2011. Representatives of Deloitte &amp; Touche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Deloitte &amp; Touche LLP as the Company’s independent registered public accounting firm. However, the Audit Committee is submitting the selection of Deloitte &amp; Touche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at the Annual Meeting or represented by proxy and entitled to vote on the matter at the Annual Meeting, will be required to ratify the selection of Deloitte &amp; Touche LLP.</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fees billed to the Company for the fiscal years ended December 31, 2024 and 2023, by Deloitte &amp; Touche LLP, the Company’s principal accountant.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58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10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43"/>
        </w:trPr>
        <w:tc>
          <w:tcPr>
            <w:tcW w:w="58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$473,300 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616,360</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8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8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582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$473,300 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616,360</w:t>
            </w:r>
          </w:p>
        </w:tc>
      </w:tr>
      <w:tr>
        <w:trPr>
          <w:trHeight w:val="20"/>
        </w:trPr>
        <w:tc>
          <w:tcPr>
            <w:tcW w:w="5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680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81" w:lineRule="exact"/>
        <w:rPr>
          <w:sz w:val="20"/>
          <w:szCs w:val="20"/>
          <w:color w:val="auto"/>
        </w:rPr>
      </w:pPr>
    </w:p>
    <w:p>
      <w:pPr>
        <w:jc w:val="both"/>
        <w:ind w:left="540" w:right="20" w:hanging="424"/>
        <w:spacing w:after="0" w:line="236"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both fiscal years ended December 31, 2024 and 2023, audit fees represent fees for audit services rendered in connection with the audit of our consolidated financial statements, as well as fees associated with reviews of documents filed with the SEC, our Annual Report on Form 10-K and our quarterly consolidated financial statements included in our Quarterly Reports on Form 10-Q. For the fiscal year ended December 31, 2023, audit fees also include those associated with the filing of a registration statements on Form S-3, and the delivery of related consents.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services described above were pre-approved by the Audit Committee.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2025 consolidated financial statements, the Company entered into an engagement agreement with Deloitte &amp; Touche LLP that sets forth the terms by which Deloitte &amp; Touche LLP will perform audit services for the Company.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Deloitte &amp; Touche LLP.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7"/>
          <w:szCs w:val="17"/>
          <w:color w:val="auto"/>
        </w:rPr>
        <w:t>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6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&amp; Touche LLP is compatible with maintaining the principal accountant’s independence.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VOTE “FOR” RATIFICATION OF SELECTION OF INDEPENDENT REGISTERED PUBLIC ACCOUNTING FIRM (PROPOSAL 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October 23, 2025. Biographical information for our Chief Executive Officer and director, Dr. Remy Luthringer, is included above with the director biographies under the caption “</w:t>
      </w: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 Directors Continuing in Office until the 2027 Annual Meeting</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0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3"/>
        </w:trPr>
        <w:tc>
          <w:tcPr>
            <w:tcW w:w="2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Dr. Remy Luthringer 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Executive Chairman of the Board of Directors</w:t>
            </w: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36"/>
        </w:trPr>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0" w:type="dxa"/>
            <w:vAlign w:val="bottom"/>
          </w:tcPr>
          <w:p>
            <w:pPr>
              <w:spacing w:after="0"/>
              <w:rPr>
                <w:sz w:val="3"/>
                <w:szCs w:val="3"/>
                <w:color w:val="auto"/>
              </w:rPr>
            </w:pPr>
          </w:p>
        </w:tc>
      </w:tr>
      <w:tr>
        <w:trPr>
          <w:trHeight w:val="23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Chief Financial Officer and Secretary</w:t>
            </w:r>
          </w:p>
        </w:tc>
      </w:tr>
      <w:tr>
        <w:trPr>
          <w:trHeight w:val="36"/>
        </w:trPr>
        <w:tc>
          <w:tcPr>
            <w:tcW w:w="2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jc w:val="both"/>
        <w:ind w:left="1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Geoffrey Race </w:t>
      </w:r>
      <w:r>
        <w:rPr>
          <w:rFonts w:ascii="Times New Roman" w:cs="Times New Roman" w:eastAsia="Times New Roman" w:hAnsi="Times New Roman"/>
          <w:sz w:val="17"/>
          <w:szCs w:val="17"/>
          <w:color w:val="auto"/>
        </w:rPr>
        <w:t>has provided services to us since July 2010, first as a consultant and then as an employee beginning in May 2014. Mr. Race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recently held the positions of the Company’s Executive Vice President and Chief Financial Officer, from May 2014 to October 2021, and Chief Business Officer from January 2016 to October 2021. Prior to joining us, Mr. Race served as the Chief Executive Officer and acting Chief Financial Officer of Funxional Therapeutics Ltd., a clinical stage pharmaceutical company which was spun out of Cambridge University, UK, from June 2010 to November 2013. Mr. Race is currently a member of the board of directors of Huq Industries Ltd. Mr. Race is also a founder and director of Cyber Industries Ltd., a UK-based private company developing software for building management systems. He was a director of Sensyne Health plc and of F-star Therapeutics Ltd. Mr. Race is a Fellow of the Institute of Chartered Management Accountants and earned his M.B.A. from Durham University Business School (UK).</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Frederick Ahlholm </w:t>
      </w:r>
      <w:r>
        <w:rPr>
          <w:rFonts w:ascii="Times New Roman" w:cs="Times New Roman" w:eastAsia="Times New Roman" w:hAnsi="Times New Roman"/>
          <w:sz w:val="18"/>
          <w:szCs w:val="18"/>
          <w:color w:val="auto"/>
        </w:rPr>
        <w:t>has provided services to us since January 2014, first as a consultant and then as an employee beginning in June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Ahlholm most recently held the positions of the Company’s Vice President and Chief Accounting Officer from July 2014 to October 2021, and Senior Vice President of Finance from May 2015 to October 2021. Prior to joining us, Mr. Ahlholm served as Vice President of Finance and Chief Accounting Officer for Amarin Corporation, a commercial stage life science company. Mr. Ahlholm has over 20 years of experience leading the finance organization at publicly-traded life science companies. He began his career at Ernst &amp; Young, is a CPA and earned his BA in Business Administration at the University of Notre Dame.</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October 23, 2025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176"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is based upon information supplied by officers, directors and principal stockholders and Schedules 13G or 13D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6,993,406 shares of Common Stock outstanding and entitled to vote and 1,391,674 shares of Series A Preferred Stock outstanding and entitled to vote on an as-converted basis (other than Proposal 3, as described herein) as of October 23, 2025, adjusted as required by rules promulgated by the SEC. We have deemed all shares of Common Stock subject to options or other convertible securities held by that person or entity that are currently exercisable or that will become exercisable within 60 days of October 23, 2025 to be outstanding and to be beneficially owned by the person or entity holding the option or convertible securities for the purpose of computing the percentage ownership of that person or entity but have not treated them as outstanding for the purpose of computing the percentage ownership of any other person or entity.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6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Percentage of Series</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6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380" w:type="dxa"/>
            <w:vAlign w:val="bottom"/>
            <w:vMerge w:val="restart"/>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 Preferred Stock</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Total Voting</w:t>
            </w:r>
          </w:p>
        </w:tc>
        <w:tc>
          <w:tcPr>
            <w:tcW w:w="0" w:type="dxa"/>
            <w:vAlign w:val="bottom"/>
          </w:tcPr>
          <w:p>
            <w:pPr>
              <w:spacing w:after="0"/>
              <w:rPr>
                <w:sz w:val="1"/>
                <w:szCs w:val="1"/>
                <w:color w:val="auto"/>
              </w:rPr>
            </w:pPr>
          </w:p>
        </w:tc>
      </w:tr>
      <w:tr>
        <w:trPr>
          <w:trHeight w:val="180"/>
        </w:trPr>
        <w:tc>
          <w:tcPr>
            <w:tcW w:w="38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4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Power (%)</w:t>
            </w:r>
          </w:p>
        </w:tc>
        <w:tc>
          <w:tcPr>
            <w:tcW w:w="0" w:type="dxa"/>
            <w:vAlign w:val="bottom"/>
          </w:tcPr>
          <w:p>
            <w:pPr>
              <w:spacing w:after="0"/>
              <w:rPr>
                <w:sz w:val="1"/>
                <w:szCs w:val="1"/>
                <w:color w:val="auto"/>
              </w:rPr>
            </w:pPr>
          </w:p>
        </w:tc>
      </w:tr>
      <w:tr>
        <w:trPr>
          <w:trHeight w:val="243"/>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380" w:type="dxa"/>
            <w:vAlign w:val="bottom"/>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Dr. Remy Luthringer</w:t>
            </w:r>
            <w:r>
              <w:rPr>
                <w:rFonts w:ascii="Times New Roman" w:cs="Times New Roman" w:eastAsia="Times New Roman" w:hAnsi="Times New Roman"/>
                <w:sz w:val="26"/>
                <w:szCs w:val="26"/>
                <w:color w:val="auto"/>
                <w:vertAlign w:val="superscript"/>
              </w:rPr>
              <w:t>(2)</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346,217</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Geoffrey Race</w:t>
            </w:r>
            <w:r>
              <w:rPr>
                <w:rFonts w:ascii="Times New Roman" w:cs="Times New Roman" w:eastAsia="Times New Roman" w:hAnsi="Times New Roman"/>
                <w:sz w:val="26"/>
                <w:szCs w:val="26"/>
                <w:color w:val="auto"/>
                <w:vertAlign w:val="superscript"/>
              </w:rPr>
              <w:t>(3)</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160,350</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Frederick Ahlholm</w:t>
            </w:r>
            <w:r>
              <w:rPr>
                <w:rFonts w:ascii="Times New Roman" w:cs="Times New Roman" w:eastAsia="Times New Roman" w:hAnsi="Times New Roman"/>
                <w:sz w:val="26"/>
                <w:szCs w:val="26"/>
                <w:color w:val="auto"/>
                <w:vertAlign w:val="superscript"/>
              </w:rPr>
              <w:t>(4)</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87,131</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Dr. Fouzia Laghrissi-Thode</w:t>
            </w:r>
            <w:r>
              <w:rPr>
                <w:rFonts w:ascii="Times New Roman" w:cs="Times New Roman" w:eastAsia="Times New Roman" w:hAnsi="Times New Roman"/>
                <w:sz w:val="26"/>
                <w:szCs w:val="26"/>
                <w:color w:val="auto"/>
                <w:vertAlign w:val="superscript"/>
              </w:rPr>
              <w:t>(5)</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37,499</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Dr. David Kupfer</w:t>
            </w:r>
            <w:r>
              <w:rPr>
                <w:rFonts w:ascii="Times New Roman" w:cs="Times New Roman" w:eastAsia="Times New Roman" w:hAnsi="Times New Roman"/>
                <w:sz w:val="26"/>
                <w:szCs w:val="26"/>
                <w:color w:val="auto"/>
                <w:vertAlign w:val="superscript"/>
              </w:rPr>
              <w:t>(6)</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64,560</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Hans Peter Hasler</w:t>
            </w:r>
            <w:r>
              <w:rPr>
                <w:rFonts w:ascii="Times New Roman" w:cs="Times New Roman" w:eastAsia="Times New Roman" w:hAnsi="Times New Roman"/>
                <w:sz w:val="26"/>
                <w:szCs w:val="26"/>
                <w:color w:val="auto"/>
                <w:vertAlign w:val="superscript"/>
              </w:rPr>
              <w:t>(7)</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40,625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Jan van Heek</w:t>
            </w:r>
            <w:r>
              <w:rPr>
                <w:rFonts w:ascii="Times New Roman" w:cs="Times New Roman" w:eastAsia="Times New Roman" w:hAnsi="Times New Roman"/>
                <w:sz w:val="26"/>
                <w:szCs w:val="26"/>
                <w:color w:val="auto"/>
                <w:vertAlign w:val="superscript"/>
              </w:rPr>
              <w:t>(8)</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40,041</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Inderjit Kaul</w:t>
            </w:r>
            <w:r>
              <w:rPr>
                <w:rFonts w:ascii="Times New Roman" w:cs="Times New Roman" w:eastAsia="Times New Roman" w:hAnsi="Times New Roman"/>
                <w:sz w:val="26"/>
                <w:szCs w:val="26"/>
                <w:color w:val="auto"/>
                <w:vertAlign w:val="superscript"/>
              </w:rPr>
              <w:t>(9)</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180" w:type="dxa"/>
            <w:vAlign w:val="bottom"/>
            <w:gridSpan w:val="2"/>
          </w:tcPr>
          <w:p>
            <w:pPr>
              <w:spacing w:after="0" w:line="292" w:lineRule="exact"/>
              <w:rPr>
                <w:sz w:val="20"/>
                <w:szCs w:val="20"/>
                <w:color w:val="auto"/>
              </w:rPr>
            </w:pPr>
            <w:r>
              <w:rPr>
                <w:rFonts w:ascii="Times New Roman" w:cs="Times New Roman" w:eastAsia="Times New Roman" w:hAnsi="Times New Roman"/>
                <w:sz w:val="18"/>
                <w:szCs w:val="18"/>
                <w:b w:val="1"/>
                <w:bCs w:val="1"/>
                <w:color w:val="auto"/>
              </w:rPr>
              <w:t>group (8 persons)</w:t>
            </w:r>
            <w:r>
              <w:rPr>
                <w:rFonts w:ascii="Times New Roman" w:cs="Times New Roman" w:eastAsia="Times New Roman" w:hAnsi="Times New Roman"/>
                <w:sz w:val="26"/>
                <w:szCs w:val="26"/>
                <w:b w:val="1"/>
                <w:bCs w:val="1"/>
                <w:color w:val="auto"/>
                <w:vertAlign w:val="superscript"/>
              </w:rPr>
              <w:t>(10)</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776,423</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10.4%</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Boehringer Ingelheim International GmbH</w:t>
            </w:r>
            <w:r>
              <w:rPr>
                <w:rFonts w:ascii="Times New Roman" w:cs="Times New Roman" w:eastAsia="Times New Roman" w:hAnsi="Times New Roman"/>
                <w:sz w:val="26"/>
                <w:szCs w:val="26"/>
                <w:color w:val="auto"/>
                <w:vertAlign w:val="superscript"/>
              </w:rPr>
              <w:t>(11)</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1,428,708</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19.99%</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Funds affiliated with Federated Hermes, Inc.</w:t>
            </w:r>
            <w:r>
              <w:rPr>
                <w:rFonts w:ascii="Times New Roman" w:cs="Times New Roman" w:eastAsia="Times New Roman" w:hAnsi="Times New Roman"/>
                <w:sz w:val="26"/>
                <w:szCs w:val="26"/>
                <w:color w:val="auto"/>
                <w:vertAlign w:val="superscript"/>
              </w:rPr>
              <w:t>(12)</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1,351,275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19.3%</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147,865</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1680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89"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our outstanding Common Stock.</w:t>
      </w:r>
    </w:p>
    <w:p>
      <w:pPr>
        <w:spacing w:after="0" w:line="231"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address of each of those listed in the table is c/o Minerva Neurosciences, Inc., 1500 District Avenue, Burlington, MA 01803.</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540" w:right="20" w:hanging="424"/>
        <w:spacing w:after="0" w:line="261"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115,825 shares of Common Stock beneficially owned by Wint2felden Holding SA, a company wholly owned by Dr. Luthringer; (b) 68,994 shares of Common Stock owned by Dr. Luthringer himself, and (c) options to purchase 161,398 shares of Common Stock that are exercisable within 60 days of October 23, 2025.</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51,324 shares of Common Stock and (b) options to purchase 109,026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17,518 shares of Common Stock and (b) options to purchase 69,613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37,499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23,936 shares of Common Stock and (b) options to purchase 40,624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1,250 shares of Common Stock and (b) options to purchase 39,375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2,542 shares of Common Stock and (b) options to purchase 37,499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Inderjit Kaul has served as a board member and a consultant to the Company since November 2025.</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281,389 shares of Common Stock and (b) options to purchase 495,034 shares of Common Stock that are exercisable within 60 days of October 23, 2025.</w:t>
      </w:r>
    </w:p>
    <w:p>
      <w:pPr>
        <w:spacing w:after="0" w:line="230" w:lineRule="exact"/>
        <w:rPr>
          <w:rFonts w:ascii="Times New Roman" w:cs="Times New Roman" w:eastAsia="Times New Roman" w:hAnsi="Times New Roman"/>
          <w:sz w:val="14"/>
          <w:szCs w:val="14"/>
          <w:color w:val="auto"/>
        </w:rPr>
      </w:pPr>
    </w:p>
    <w:p>
      <w:pPr>
        <w:jc w:val="both"/>
        <w:ind w:left="540" w:hanging="424"/>
        <w:spacing w:after="0" w:line="229"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partially on the information reported on the Schedule 13D filed by Boehringer AG (“BI GP”) and Boehringer Ingelheim International GmbH on July 7, 2023. The amount reported consists of (i) 1,275,000 shares of our Common Stock and (ii) 153,708 shares of our Common Stock issuable upon exercise of pre-funded warrants. The shares underlying the following pre-funded warrants are excluded from the amount reported above as beneficially owned because they are subject to limitations on exercisability if such exercise would result in Boehringer Ingelheim International GmbH beneficially owning more than 19.99% of our outstanding Common Stock: 71,517 shares of Common Stock issuable upon exercise of pre-funded warrants. Boehringer Ingelheim International GmbH is an indirect wholly owned subsidiary of C. H. Boehringer Sohn AG &amp; Co. KG, the General Partner of which is BI GP. BI GP and Boehringer Ingelheim International GmbH may each be deemed to have shared voting and dispositive power over all of the securities held by Boehringer Ingelheim International GmbH. The address of each of BI GP and Boehringer Ingelheim International GmbH is Binger Straße 173, 55216 Ingelheim am Rhein, Germany.</w:t>
      </w:r>
    </w:p>
    <w:p>
      <w:pPr>
        <w:spacing w:after="0" w:line="207" w:lineRule="exact"/>
        <w:rPr>
          <w:sz w:val="20"/>
          <w:szCs w:val="20"/>
          <w:color w:val="auto"/>
        </w:rPr>
      </w:pPr>
    </w:p>
    <w:p>
      <w:pPr>
        <w:jc w:val="both"/>
        <w:ind w:left="540" w:hanging="424"/>
        <w:spacing w:after="0" w:line="224"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partially on the information reported on the Schedule 13D filed by Federated Hermes, Inc. (the “Federated Hermes Parent”) on October 28, 2025. The amount reported consists of (i) 605,000 shares of our Common Stock and 57,059 shares of our Common Stock issuable upon conversion of 3,280 shares of Series A Preferred Stock held by Federated Hermes Kaufmann Small Cap Fund, a portfolio of Federated Hermes Equity Funds (“Federated Hermes Kaufmann Small Cap Fund”); (ii) 725,000 shares of our Common Stock and 88,406 shares of our Common Stock issuable upon conversion of 5,082 shares of Series A Preferred Stock held by Federated Hermes Kaufmann Fund, a portfolio of Federated Hermes Equity Funds (“Federated Hermes Kaufmann Fund”); and (iii) 21,275 shares of our Common Stock and 2,400 shares of our Common Stock issuable upon conversion of 138 shares of Series A Preferred Stock held by Federated Hermes Kaufmann Fund II, a portfolio of Federated Hermes Insurance Series (“Federated Hermes Kaufmann Fund II” and together with Federated Hermes Kaufmann Small Cap Fund and Federated Hermes Kaufmann Fund, the “Federated Hermes Kaufmann Funds”). In addition to the foregoing shares, as of October 23, 2025, Federated Hermes Kaufmann Small Cap Fund, Federated Hermes Kaufmann Fund and Federated Hermes Kaufmann Fund II held</w:t>
      </w:r>
    </w:p>
    <w:p>
      <w:pPr>
        <w:spacing w:after="0" w:line="1" w:lineRule="exact"/>
        <w:rPr>
          <w:rFonts w:ascii="Times New Roman" w:cs="Times New Roman" w:eastAsia="Times New Roman" w:hAnsi="Times New Roman"/>
          <w:sz w:val="14"/>
          <w:szCs w:val="14"/>
          <w:color w:val="auto"/>
        </w:rPr>
      </w:pPr>
    </w:p>
    <w:p>
      <w:pPr>
        <w:jc w:val="both"/>
        <w:ind w:left="540" w:right="20"/>
        <w:spacing w:after="0" w:line="22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3,872,635 shares of our Common Stock issuable upon conversion of 8,187 shares of Series A Preferred Stock, which are excluded from the amount reported above as beneficially owned due to a 19.9% Cap as outlined in the Certificate of Designation, and (ii) pre-funded warrants to purchase an aggregate of 350,350 shares of our Common Stock and warrants to purchase an aggregate of 12,750 shares of our Series A Preferred Stock, which are excluded from the amount reported above as beneficially owned because they are subject to limitations on exercisability if such exercise would result in Federated Hermes Kaufmann Funds, in the aggregate, beneficially owning more than 14.99% and 9.9% of our outstanding Common Stock, respectively. The Federated Hermes Kaufmann Funds are managed by Federated Equity Management Company of Pennsylvania and subadvised by Federated Global Investment Management Corp., which are wholly-owned subsidiaries of FII Holdings, Inc., which is a wholly-owned subsidiary of the Federated Hermes Parent. All of the Federated Hermes Parent’s outstanding voting stock is held in the Voting Shares Irrevocable Trust for which Thomas R. Donahue, Ann C. Donahue and J. Christopher Donahue, who are collectively referred to as Federated Trustees, act as trustees. The Federated Hermes Parent’s subsidiaries have the power to direct the vote and disposition of the securities held by the Federated Hermes Kaufmann Funds. The business address of each Federated Trustee is 4000 Ericsson Drive, Warrendale, PA 15086-7561. The address of each of the Federated Hermes Parent and the Federated Hermes Kaufmann Funds is Federated Investors Tower, 1011 Liberty Avenue, Pittsburgh, PA 15222.</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2024 and 2023, the compensation of the Company’s Chief Executive Officer and two other most highly compensated executive officers as of December 31, 2024 (collectively, our “named executive officers”).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TOTAL ($)   </w:t>
            </w:r>
          </w:p>
        </w:tc>
      </w:tr>
      <w:tr>
        <w:trPr>
          <w:trHeight w:val="115"/>
        </w:trPr>
        <w:tc>
          <w:tcPr>
            <w:tcW w:w="442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140" w:type="dxa"/>
            <w:vAlign w:val="bottom"/>
          </w:tcPr>
          <w:p>
            <w:pPr>
              <w:spacing w:after="0"/>
              <w:rPr>
                <w:sz w:val="9"/>
                <w:szCs w:val="9"/>
                <w:color w:val="auto"/>
              </w:rPr>
            </w:pPr>
          </w:p>
        </w:tc>
        <w:tc>
          <w:tcPr>
            <w:tcW w:w="1040" w:type="dxa"/>
            <w:vAlign w:val="bottom"/>
          </w:tcPr>
          <w:p>
            <w:pPr>
              <w:jc w:val="right"/>
              <w:ind w:right="355"/>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ind w:left="42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1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649,064</w:t>
            </w:r>
          </w:p>
        </w:tc>
        <w:tc>
          <w:tcPr>
            <w:tcW w:w="10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356,985</w:t>
            </w:r>
            <w:r>
              <w:rPr>
                <w:rFonts w:ascii="Times New Roman" w:cs="Times New Roman" w:eastAsia="Times New Roman" w:hAnsi="Times New Roman"/>
                <w:sz w:val="26"/>
                <w:szCs w:val="26"/>
                <w:color w:val="auto"/>
                <w:vertAlign w:val="superscript"/>
              </w:rPr>
              <w:t>(2)</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197,400</w:t>
            </w:r>
          </w:p>
        </w:tc>
        <w:tc>
          <w:tcPr>
            <w:tcW w:w="1420" w:type="dxa"/>
            <w:vAlign w:val="bottom"/>
            <w:shd w:val="clear" w:color="auto" w:fill="CCEEFF"/>
          </w:tcPr>
          <w:p>
            <w:pPr>
              <w:jc w:val="right"/>
              <w:ind w:right="117"/>
              <w:spacing w:after="0" w:line="270" w:lineRule="exact"/>
              <w:rPr>
                <w:sz w:val="20"/>
                <w:szCs w:val="20"/>
                <w:color w:val="auto"/>
              </w:rPr>
            </w:pPr>
            <w:r>
              <w:rPr>
                <w:rFonts w:ascii="Times New Roman" w:cs="Times New Roman" w:eastAsia="Times New Roman" w:hAnsi="Times New Roman"/>
                <w:sz w:val="18"/>
                <w:szCs w:val="18"/>
                <w:color w:val="auto"/>
              </w:rPr>
              <w:t>6,535</w:t>
            </w:r>
            <w:r>
              <w:rPr>
                <w:rFonts w:ascii="Times New Roman" w:cs="Times New Roman" w:eastAsia="Times New Roman" w:hAnsi="Times New Roman"/>
                <w:sz w:val="26"/>
                <w:szCs w:val="26"/>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1,209,984  </w:t>
            </w:r>
          </w:p>
        </w:tc>
        <w:tc>
          <w:tcPr>
            <w:tcW w:w="20" w:type="dxa"/>
            <w:vAlign w:val="bottom"/>
          </w:tcPr>
          <w:p>
            <w:pPr>
              <w:spacing w:after="0"/>
              <w:rPr>
                <w:sz w:val="23"/>
                <w:szCs w:val="23"/>
                <w:color w:val="auto"/>
              </w:rPr>
            </w:pPr>
          </w:p>
        </w:tc>
      </w:tr>
      <w:tr>
        <w:trPr>
          <w:trHeight w:val="24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624,100</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644,419</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560,511</w:t>
            </w:r>
          </w:p>
        </w:tc>
        <w:tc>
          <w:tcPr>
            <w:tcW w:w="14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6,130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1,835,160  </w:t>
            </w:r>
          </w:p>
        </w:tc>
      </w:tr>
      <w:tr>
        <w:trPr>
          <w:trHeight w:val="27"/>
        </w:trPr>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1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492,018</w:t>
            </w:r>
          </w:p>
        </w:tc>
        <w:tc>
          <w:tcPr>
            <w:tcW w:w="10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246,009</w:t>
            </w:r>
            <w:r>
              <w:rPr>
                <w:rFonts w:ascii="Times New Roman" w:cs="Times New Roman" w:eastAsia="Times New Roman" w:hAnsi="Times New Roman"/>
                <w:sz w:val="26"/>
                <w:szCs w:val="26"/>
                <w:color w:val="auto"/>
                <w:vertAlign w:val="superscript"/>
              </w:rPr>
              <w:t>(2)</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178,600</w:t>
            </w:r>
          </w:p>
        </w:tc>
        <w:tc>
          <w:tcPr>
            <w:tcW w:w="1420" w:type="dxa"/>
            <w:vAlign w:val="bottom"/>
            <w:shd w:val="clear" w:color="auto" w:fill="CCEEFF"/>
          </w:tcPr>
          <w:p>
            <w:pPr>
              <w:jc w:val="right"/>
              <w:ind w:right="117"/>
              <w:spacing w:after="0" w:line="270" w:lineRule="exact"/>
              <w:rPr>
                <w:sz w:val="20"/>
                <w:szCs w:val="20"/>
                <w:color w:val="auto"/>
              </w:rPr>
            </w:pPr>
            <w:r>
              <w:rPr>
                <w:rFonts w:ascii="Times New Roman" w:cs="Times New Roman" w:eastAsia="Times New Roman" w:hAnsi="Times New Roman"/>
                <w:sz w:val="18"/>
                <w:szCs w:val="18"/>
                <w:color w:val="auto"/>
              </w:rPr>
              <w:t>3,103</w:t>
            </w:r>
            <w:r>
              <w:rPr>
                <w:rFonts w:ascii="Times New Roman" w:cs="Times New Roman" w:eastAsia="Times New Roman" w:hAnsi="Times New Roman"/>
                <w:sz w:val="26"/>
                <w:szCs w:val="26"/>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919,730  </w:t>
            </w:r>
          </w:p>
        </w:tc>
        <w:tc>
          <w:tcPr>
            <w:tcW w:w="20" w:type="dxa"/>
            <w:vAlign w:val="bottom"/>
          </w:tcPr>
          <w:p>
            <w:pPr>
              <w:spacing w:after="0"/>
              <w:rPr>
                <w:sz w:val="23"/>
                <w:szCs w:val="23"/>
                <w:color w:val="auto"/>
              </w:rPr>
            </w:pPr>
          </w:p>
        </w:tc>
      </w:tr>
      <w:tr>
        <w:trPr>
          <w:trHeight w:val="24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President</w:t>
            </w: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473,094</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437,064</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485,739</w:t>
            </w:r>
          </w:p>
        </w:tc>
        <w:tc>
          <w:tcPr>
            <w:tcW w:w="14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3,144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1,399,041  </w:t>
            </w:r>
          </w:p>
        </w:tc>
      </w:tr>
      <w:tr>
        <w:trPr>
          <w:trHeight w:val="27"/>
        </w:trPr>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1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449,513</w:t>
            </w:r>
          </w:p>
        </w:tc>
        <w:tc>
          <w:tcPr>
            <w:tcW w:w="10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202,281</w:t>
            </w:r>
            <w:r>
              <w:rPr>
                <w:rFonts w:ascii="Times New Roman" w:cs="Times New Roman" w:eastAsia="Times New Roman" w:hAnsi="Times New Roman"/>
                <w:sz w:val="26"/>
                <w:szCs w:val="26"/>
                <w:color w:val="auto"/>
                <w:vertAlign w:val="superscript"/>
              </w:rPr>
              <w:t>(2)</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89,300</w:t>
            </w:r>
          </w:p>
        </w:tc>
        <w:tc>
          <w:tcPr>
            <w:tcW w:w="1420" w:type="dxa"/>
            <w:vAlign w:val="bottom"/>
            <w:shd w:val="clear" w:color="auto" w:fill="CCEEFF"/>
          </w:tcPr>
          <w:p>
            <w:pPr>
              <w:jc w:val="right"/>
              <w:ind w:right="117"/>
              <w:spacing w:after="0" w:line="270" w:lineRule="exact"/>
              <w:rPr>
                <w:sz w:val="20"/>
                <w:szCs w:val="20"/>
                <w:color w:val="auto"/>
              </w:rPr>
            </w:pPr>
            <w:r>
              <w:rPr>
                <w:rFonts w:ascii="Times New Roman" w:cs="Times New Roman" w:eastAsia="Times New Roman" w:hAnsi="Times New Roman"/>
                <w:sz w:val="18"/>
                <w:szCs w:val="18"/>
                <w:color w:val="auto"/>
              </w:rPr>
              <w:t>13,062</w:t>
            </w:r>
            <w:r>
              <w:rPr>
                <w:rFonts w:ascii="Times New Roman" w:cs="Times New Roman" w:eastAsia="Times New Roman" w:hAnsi="Times New Roman"/>
                <w:sz w:val="26"/>
                <w:szCs w:val="26"/>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754,156  </w:t>
            </w:r>
          </w:p>
        </w:tc>
        <w:tc>
          <w:tcPr>
            <w:tcW w:w="20" w:type="dxa"/>
            <w:vAlign w:val="bottom"/>
          </w:tcPr>
          <w:p>
            <w:pPr>
              <w:spacing w:after="0"/>
              <w:rPr>
                <w:sz w:val="23"/>
                <w:szCs w:val="23"/>
                <w:color w:val="auto"/>
              </w:rPr>
            </w:pPr>
          </w:p>
        </w:tc>
      </w:tr>
      <w:tr>
        <w:trPr>
          <w:trHeight w:val="24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432,224</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281,256</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239,103</w:t>
            </w:r>
          </w:p>
        </w:tc>
        <w:tc>
          <w:tcPr>
            <w:tcW w:w="14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12,537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16802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95" w:lineRule="exact"/>
        <w:rPr>
          <w:sz w:val="20"/>
          <w:szCs w:val="20"/>
          <w:color w:val="auto"/>
        </w:rPr>
      </w:pPr>
    </w:p>
    <w:p>
      <w:pPr>
        <w:jc w:val="both"/>
        <w:ind w:left="540" w:right="40" w:hanging="424"/>
        <w:spacing w:after="0" w:line="233" w:lineRule="auto"/>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2024 and 2023 computed in accordance with Financial Accounting Standard Board Accounting Standards Codification Topic 718 for stock-based compensation transactions (“ASC 718”). Assumptions used in valuing options are described in Note 7 to our consolidated financial statements included in our Annual Report on Form 10-K for the fiscal year ended December 31, 2024, filed with the SEC on February 25, 2025. The aggregate grant date fair value does not take into account any estimated forfeitures related to service-vesting conditions. These amounts do not reflect the actual economic value that will be realized by the named executive officers upon the vesting or exercise of the stock options, or the sale of the Common Stock underlying such stock options.</w:t>
      </w:r>
    </w:p>
    <w:p>
      <w:pPr>
        <w:spacing w:after="0" w:line="204"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annual bonus paid in December 2024 and January 2025, which was 100% of the officer’s annual target bonus for 2024.</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life insurance premiums paid in 2024 by the Company.</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$12,075 paid in 2024 by the Company in 401(k) contributions and $987 paid in 2024 by the Company for life insurance premiums.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482"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AT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ND</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outstanding equity awards at fiscal year-end for the named executive officers.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vMerge w:val="continue"/>
          </w:tcPr>
          <w:p>
            <w:pPr>
              <w:spacing w:after="0"/>
              <w:rPr>
                <w:sz w:val="12"/>
                <w:szCs w:val="12"/>
                <w:color w:val="auto"/>
              </w:rPr>
            </w:pPr>
          </w:p>
        </w:tc>
        <w:tc>
          <w:tcPr>
            <w:tcW w:w="13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vMerge w:val="continue"/>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4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25,000</w:t>
            </w:r>
          </w:p>
        </w:tc>
        <w:tc>
          <w:tcPr>
            <w:tcW w:w="4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4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10/12/2030</w:t>
            </w:r>
          </w:p>
        </w:tc>
        <w:tc>
          <w:tcPr>
            <w:tcW w:w="4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88,076</w:t>
            </w:r>
            <w:r>
              <w:rPr>
                <w:rFonts w:ascii="Times New Roman" w:cs="Times New Roman" w:eastAsia="Times New Roman" w:hAnsi="Times New Roman"/>
                <w:sz w:val="26"/>
                <w:szCs w:val="26"/>
                <w:color w:val="auto"/>
                <w:vertAlign w:val="superscript"/>
              </w:rPr>
              <w:t>(5)</w:t>
            </w:r>
          </w:p>
        </w:tc>
        <w:tc>
          <w:tcPr>
            <w:tcW w:w="4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195,705</w:t>
            </w:r>
            <w:r>
              <w:rPr>
                <w:rFonts w:ascii="Times New Roman" w:cs="Times New Roman" w:eastAsia="Times New Roman" w:hAnsi="Times New Roman"/>
                <w:sz w:val="26"/>
                <w:szCs w:val="26"/>
                <w:color w:val="auto"/>
                <w:vertAlign w:val="superscript"/>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43,400</w:t>
            </w:r>
            <w:r>
              <w:rPr>
                <w:rFonts w:ascii="Times New Roman" w:cs="Times New Roman" w:eastAsia="Times New Roman" w:hAnsi="Times New Roman"/>
                <w:sz w:val="26"/>
                <w:szCs w:val="26"/>
                <w:color w:val="auto"/>
                <w:vertAlign w:val="superscript"/>
              </w:rPr>
              <w:t>(1)</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19,725</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6.33</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2/15/2032</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22,500</w:t>
            </w:r>
            <w:r>
              <w:rPr>
                <w:rFonts w:ascii="Times New Roman" w:cs="Times New Roman" w:eastAsia="Times New Roman" w:hAnsi="Times New Roman"/>
                <w:sz w:val="26"/>
                <w:szCs w:val="26"/>
                <w:color w:val="auto"/>
                <w:vertAlign w:val="superscript"/>
              </w:rPr>
              <w:t>(2)</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22,500</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12/12/2032</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25,113</w:t>
            </w:r>
            <w:r>
              <w:rPr>
                <w:rFonts w:ascii="Times New Roman" w:cs="Times New Roman" w:eastAsia="Times New Roman" w:hAnsi="Times New Roman"/>
                <w:sz w:val="26"/>
                <w:szCs w:val="26"/>
                <w:color w:val="auto"/>
                <w:vertAlign w:val="superscript"/>
              </w:rPr>
              <w:t>(3)</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75,337</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6.41</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10/3/2033</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105,000</w:t>
            </w:r>
            <w:r>
              <w:rPr>
                <w:rFonts w:ascii="Times New Roman" w:cs="Times New Roman" w:eastAsia="Times New Roman" w:hAnsi="Times New Roman"/>
                <w:sz w:val="26"/>
                <w:szCs w:val="26"/>
                <w:color w:val="auto"/>
                <w:vertAlign w:val="superscript"/>
              </w:rPr>
              <w:t>(4)</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12/4/2034</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17,500</w:t>
            </w:r>
          </w:p>
        </w:tc>
        <w:tc>
          <w:tcPr>
            <w:tcW w:w="420" w:type="dxa"/>
            <w:vAlign w:val="bottom"/>
          </w:tcPr>
          <w:p>
            <w:pPr>
              <w:spacing w:after="0"/>
              <w:rPr>
                <w:sz w:val="21"/>
                <w:szCs w:val="21"/>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28.00</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10/12/2030</w:t>
            </w:r>
          </w:p>
        </w:tc>
        <w:tc>
          <w:tcPr>
            <w:tcW w:w="90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46,987</w:t>
            </w:r>
            <w:r>
              <w:rPr>
                <w:rFonts w:ascii="Times New Roman" w:cs="Times New Roman" w:eastAsia="Times New Roman" w:hAnsi="Times New Roman"/>
                <w:sz w:val="26"/>
                <w:szCs w:val="26"/>
                <w:color w:val="auto"/>
                <w:vertAlign w:val="superscript"/>
              </w:rPr>
              <w:t>(5)</w:t>
            </w:r>
          </w:p>
        </w:tc>
        <w:tc>
          <w:tcPr>
            <w:tcW w:w="420" w:type="dxa"/>
            <w:vAlign w:val="bottom"/>
          </w:tcPr>
          <w:p>
            <w:pPr>
              <w:spacing w:after="0"/>
              <w:rPr>
                <w:sz w:val="21"/>
                <w:szCs w:val="21"/>
                <w:color w:val="auto"/>
              </w:rPr>
            </w:pPr>
          </w:p>
        </w:tc>
        <w:tc>
          <w:tcPr>
            <w:tcW w:w="92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104,405</w:t>
            </w:r>
            <w:r>
              <w:rPr>
                <w:rFonts w:ascii="Times New Roman" w:cs="Times New Roman" w:eastAsia="Times New Roman" w:hAnsi="Times New Roman"/>
                <w:sz w:val="26"/>
                <w:szCs w:val="26"/>
                <w:color w:val="auto"/>
                <w:vertAlign w:val="superscript"/>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240" w:type="dxa"/>
            <w:vAlign w:val="bottom"/>
            <w:gridSpan w:val="3"/>
          </w:tcPr>
          <w:p>
            <w:pPr>
              <w:jc w:val="right"/>
              <w:spacing w:after="0" w:line="270" w:lineRule="exact"/>
              <w:rPr>
                <w:sz w:val="20"/>
                <w:szCs w:val="20"/>
                <w:color w:val="auto"/>
              </w:rPr>
            </w:pPr>
            <w:r>
              <w:rPr>
                <w:rFonts w:ascii="Times New Roman" w:cs="Times New Roman" w:eastAsia="Times New Roman" w:hAnsi="Times New Roman"/>
                <w:sz w:val="18"/>
                <w:szCs w:val="18"/>
                <w:color w:val="auto"/>
              </w:rPr>
              <w:t>17,190</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23"/>
                <w:szCs w:val="23"/>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7,810</w:t>
            </w:r>
          </w:p>
        </w:tc>
        <w:tc>
          <w:tcPr>
            <w:tcW w:w="400" w:type="dxa"/>
            <w:vAlign w:val="bottom"/>
          </w:tcPr>
          <w:p>
            <w:pPr>
              <w:spacing w:after="0"/>
              <w:rPr>
                <w:sz w:val="23"/>
                <w:szCs w:val="2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6.33</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2/15/2032</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240" w:type="dxa"/>
            <w:vAlign w:val="bottom"/>
            <w:gridSpan w:val="3"/>
          </w:tcPr>
          <w:p>
            <w:pPr>
              <w:jc w:val="right"/>
              <w:spacing w:after="0" w:line="270" w:lineRule="exact"/>
              <w:rPr>
                <w:sz w:val="20"/>
                <w:szCs w:val="20"/>
                <w:color w:val="auto"/>
              </w:rPr>
            </w:pPr>
            <w:r>
              <w:rPr>
                <w:rFonts w:ascii="Times New Roman" w:cs="Times New Roman" w:eastAsia="Times New Roman" w:hAnsi="Times New Roman"/>
                <w:sz w:val="18"/>
                <w:szCs w:val="18"/>
                <w:color w:val="auto"/>
              </w:rPr>
              <w:t>19,000</w:t>
            </w:r>
            <w:r>
              <w:rPr>
                <w:rFonts w:ascii="Times New Roman" w:cs="Times New Roman" w:eastAsia="Times New Roman" w:hAnsi="Times New Roman"/>
                <w:sz w:val="26"/>
                <w:szCs w:val="26"/>
                <w:color w:val="auto"/>
                <w:vertAlign w:val="superscript"/>
              </w:rPr>
              <w:t>(2)</w:t>
            </w:r>
          </w:p>
        </w:tc>
        <w:tc>
          <w:tcPr>
            <w:tcW w:w="420" w:type="dxa"/>
            <w:vAlign w:val="bottom"/>
          </w:tcPr>
          <w:p>
            <w:pPr>
              <w:spacing w:after="0"/>
              <w:rPr>
                <w:sz w:val="23"/>
                <w:szCs w:val="23"/>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19,000</w:t>
            </w:r>
          </w:p>
        </w:tc>
        <w:tc>
          <w:tcPr>
            <w:tcW w:w="400" w:type="dxa"/>
            <w:vAlign w:val="bottom"/>
          </w:tcPr>
          <w:p>
            <w:pPr>
              <w:spacing w:after="0"/>
              <w:rPr>
                <w:sz w:val="23"/>
                <w:szCs w:val="2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12/12/2032</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240" w:type="dxa"/>
            <w:vAlign w:val="bottom"/>
            <w:gridSpan w:val="3"/>
          </w:tcPr>
          <w:p>
            <w:pPr>
              <w:jc w:val="right"/>
              <w:spacing w:after="0" w:line="270" w:lineRule="exact"/>
              <w:rPr>
                <w:sz w:val="20"/>
                <w:szCs w:val="20"/>
                <w:color w:val="auto"/>
              </w:rPr>
            </w:pPr>
            <w:r>
              <w:rPr>
                <w:rFonts w:ascii="Times New Roman" w:cs="Times New Roman" w:eastAsia="Times New Roman" w:hAnsi="Times New Roman"/>
                <w:sz w:val="18"/>
                <w:szCs w:val="18"/>
                <w:color w:val="auto"/>
              </w:rPr>
              <w:t>21,763</w:t>
            </w:r>
            <w:r>
              <w:rPr>
                <w:rFonts w:ascii="Times New Roman" w:cs="Times New Roman" w:eastAsia="Times New Roman" w:hAnsi="Times New Roman"/>
                <w:sz w:val="26"/>
                <w:szCs w:val="26"/>
                <w:color w:val="auto"/>
                <w:vertAlign w:val="superscript"/>
              </w:rPr>
              <w:t>(3)</w:t>
            </w:r>
          </w:p>
        </w:tc>
        <w:tc>
          <w:tcPr>
            <w:tcW w:w="420" w:type="dxa"/>
            <w:vAlign w:val="bottom"/>
          </w:tcPr>
          <w:p>
            <w:pPr>
              <w:spacing w:after="0"/>
              <w:rPr>
                <w:sz w:val="23"/>
                <w:szCs w:val="23"/>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65,287</w:t>
            </w:r>
          </w:p>
        </w:tc>
        <w:tc>
          <w:tcPr>
            <w:tcW w:w="400" w:type="dxa"/>
            <w:vAlign w:val="bottom"/>
          </w:tcPr>
          <w:p>
            <w:pPr>
              <w:spacing w:after="0"/>
              <w:rPr>
                <w:sz w:val="23"/>
                <w:szCs w:val="2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6.41</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10/3/2033</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88" w:lineRule="exact"/>
              <w:rPr>
                <w:sz w:val="20"/>
                <w:szCs w:val="20"/>
                <w:color w:val="auto"/>
              </w:rPr>
            </w:pPr>
            <w:r>
              <w:rPr>
                <w:rFonts w:ascii="Times New Roman" w:cs="Times New Roman" w:eastAsia="Times New Roman" w:hAnsi="Times New Roman"/>
                <w:sz w:val="18"/>
                <w:szCs w:val="18"/>
                <w:color w:val="auto"/>
              </w:rPr>
              <w:t>95,000</w:t>
            </w:r>
            <w:r>
              <w:rPr>
                <w:rFonts w:ascii="Times New Roman" w:cs="Times New Roman" w:eastAsia="Times New Roman" w:hAnsi="Times New Roman"/>
                <w:sz w:val="26"/>
                <w:szCs w:val="26"/>
                <w:color w:val="auto"/>
                <w:vertAlign w:val="superscript"/>
              </w:rPr>
              <w:t>(4)</w:t>
            </w:r>
          </w:p>
        </w:tc>
        <w:tc>
          <w:tcPr>
            <w:tcW w:w="40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12/4/2034</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1240" w:type="dxa"/>
            <w:vAlign w:val="bottom"/>
            <w:gridSpan w:val="3"/>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10,625</w:t>
            </w:r>
          </w:p>
        </w:tc>
        <w:tc>
          <w:tcPr>
            <w:tcW w:w="4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28.00</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10/12/2030</w:t>
            </w:r>
          </w:p>
        </w:tc>
        <w:tc>
          <w:tcPr>
            <w:tcW w:w="90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19,843</w:t>
            </w:r>
            <w:r>
              <w:rPr>
                <w:rFonts w:ascii="Times New Roman" w:cs="Times New Roman" w:eastAsia="Times New Roman" w:hAnsi="Times New Roman"/>
                <w:sz w:val="26"/>
                <w:szCs w:val="26"/>
                <w:color w:val="auto"/>
                <w:vertAlign w:val="superscript"/>
              </w:rPr>
              <w:t>(5)</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44,091</w:t>
            </w:r>
            <w:r>
              <w:rPr>
                <w:rFonts w:ascii="Times New Roman" w:cs="Times New Roman" w:eastAsia="Times New Roman" w:hAnsi="Times New Roman"/>
                <w:sz w:val="26"/>
                <w:szCs w:val="26"/>
                <w:color w:val="auto"/>
                <w:vertAlign w:val="superscript"/>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15,470</w:t>
            </w:r>
            <w:r>
              <w:rPr>
                <w:rFonts w:ascii="Times New Roman" w:cs="Times New Roman" w:eastAsia="Times New Roman" w:hAnsi="Times New Roman"/>
                <w:sz w:val="26"/>
                <w:szCs w:val="26"/>
                <w:color w:val="auto"/>
                <w:vertAlign w:val="superscript"/>
              </w:rPr>
              <w:t>(1)</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7,030</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6.33</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2/15/2032</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13,000</w:t>
            </w:r>
            <w:r>
              <w:rPr>
                <w:rFonts w:ascii="Times New Roman" w:cs="Times New Roman" w:eastAsia="Times New Roman" w:hAnsi="Times New Roman"/>
                <w:sz w:val="26"/>
                <w:szCs w:val="26"/>
                <w:color w:val="auto"/>
                <w:vertAlign w:val="superscript"/>
              </w:rPr>
              <w:t>(2)</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13,000</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12/12/2032</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10,713</w:t>
            </w:r>
            <w:r>
              <w:rPr>
                <w:rFonts w:ascii="Times New Roman" w:cs="Times New Roman" w:eastAsia="Times New Roman" w:hAnsi="Times New Roman"/>
                <w:sz w:val="26"/>
                <w:szCs w:val="26"/>
                <w:color w:val="auto"/>
                <w:vertAlign w:val="superscript"/>
              </w:rPr>
              <w:t>(3)</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32,137</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6.41</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10/3/2033</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47,500</w:t>
            </w:r>
            <w:r>
              <w:rPr>
                <w:rFonts w:ascii="Times New Roman" w:cs="Times New Roman" w:eastAsia="Times New Roman" w:hAnsi="Times New Roman"/>
                <w:sz w:val="25"/>
                <w:szCs w:val="25"/>
                <w:color w:val="auto"/>
                <w:vertAlign w:val="superscript"/>
              </w:rPr>
              <w:t>(4)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12/4/2034</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1680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68" w:lineRule="exact"/>
        <w:rPr>
          <w:sz w:val="20"/>
          <w:szCs w:val="20"/>
          <w:color w:val="auto"/>
        </w:rPr>
      </w:pPr>
    </w:p>
    <w:p>
      <w:pPr>
        <w:ind w:left="540" w:hanging="424"/>
        <w:spacing w:after="0" w:line="261" w:lineRule="auto"/>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February 16, 2023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December 13, 2023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October 4, 2024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will vest and become exercisable on December 5, 2025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jc w:val="both"/>
        <w:ind w:left="540" w:hanging="424"/>
        <w:spacing w:after="0"/>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performance-based restricted stock units (“PRSUs”) granted pursuant to our tender offer in August 2021, which vest as follows: (i) 50% of the PRSUs vest upon FDA acceptance of a new drug application for roluperidone, provided that such acceptance is not “over protest” and occurs within three years after the grant date, and (ii) the remaining unvested PRSUs vest upon roluperidone receiving FDA marketing approval, provided that such approval occurs within five years after the grant date, subject, in either case, to the grantee’s continued service through the applicable milestone. The first milestone was achieved on April 28, 2023, and as a result 88,077, 46,987 and 19,843 of the PRSUs vested with respect to each of Dr. Luthringer, Mr. Race and Mr. Ahlholm. The number of PRSUs in the table above represents the remaining PRSUs that vest upon achievement of the second milestone.</w:t>
      </w:r>
    </w:p>
    <w:p>
      <w:pPr>
        <w:spacing w:after="0" w:line="32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stock price, trading on The Nasdaq Capital Market under the symbol “NERV”, was $2.222 as of December 31, 2024.</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RRANGEMENTS WITH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our named executive officers is party to a written employment agreement with 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Remy Luthringer</w:t>
      </w:r>
    </w:p>
    <w:p>
      <w:pPr>
        <w:spacing w:after="0" w:line="229"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entered into an Amended and Restated Employment Agreement with Dr. Luthringer through our wholly owned subsidiary, Mind-NRG SARL, on August 1, 2016, as amended by that certain First Amendment to the Employment Agreement with Dr. Luthringer effective as of December 13, 2022, and as amended by that certain Second Amendment to the Employment Agreement with Dr. Luthringer effective as of March 6, 2023, which sets forth the current terms of his employment with us. Dr. Luthringer’s principal place of work is the main office of the Company in Geneva, Switzerland.</w:t>
      </w:r>
    </w:p>
    <w:p>
      <w:pPr>
        <w:spacing w:after="0" w:line="16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1, 2024, Dr. Luthringer was entitled to an annual base salary of $649,064. Dr. Luthringer is also eligible for a discretionary bonus payment for each calendar year of up to 55% of his base salary. Dr. Luthringer is also eligible to participate in the Company’s employee benefit, welfare and other plans generally available to the other similarly situated employees of the Company, as may be maintained by the Company from time to time, and he is eligible for equity awards under the Company’s equity incentive plans, subject to the Company’s discretion.</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Dr. Luthringer’s employment agreement, he or the Company may terminate his employment upon six months’ written notice, or immediately if there are “valid reasons” under Swiss law.</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Dr. Luthringer’s employment with us ends due to his death, his beneficiaries or estate will be entitled to (1) payment of any earned but unpaid base salary; (2) two months of base salary; (3) payment of any vacation time earned but not used; (4) pro rata payment of his discretionary annual bonus; and (5) payment of any amounts accrued and payable under the terms of any of our benefit plans.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Dr. Luthringer’s employment with us ends due to his disability or we terminate his employment for “cause,” he will be entitled to (1) payment of his base salary during the six-month written notice period; (2) payment of any earned but unpaid base salary; (3) payment of any vacation time earned but not used; and (4) payment of any amounts accrued and payable under the terms of any of our benefit plans.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Dr. Luthringer’s employment with us ends without “cause” and not by reason of disability, or he resigns for “good reason,” he will be entitled to</w:t>
      </w:r>
    </w:p>
    <w:p>
      <w:pPr>
        <w:spacing w:after="0" w:line="27" w:lineRule="exact"/>
        <w:rPr>
          <w:sz w:val="20"/>
          <w:szCs w:val="20"/>
          <w:color w:val="auto"/>
        </w:rPr>
      </w:pPr>
    </w:p>
    <w:p>
      <w:pPr>
        <w:jc w:val="both"/>
        <w:ind w:left="120" w:right="20" w:hanging="4"/>
        <w:spacing w:after="0" w:line="253" w:lineRule="auto"/>
        <w:tabs>
          <w:tab w:leader="none" w:pos="4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during the six-month written notice period; (2) payment of any earned but unpaid base salary; (3) payment of any vacation time earned but not used; (4) payment of any amounts accrued and payable under the terms of any of our benefit plans; (5) continued payment of his base salary for 12 months following his termination; (6) pro rata payment of his discretionary annual bonus; and (7) vesting of his outstanding equity awards as if he had completed an additional six months of continuous employment.</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Dr. Luthringer’s employment with us or our successor ends due to his resignation for “good reason” or his termination by us or our successor without “cause,” in each case within 12 months immediately following a change in control of the Company, Dr. Luthringer will be entitled to</w:t>
      </w:r>
    </w:p>
    <w:p>
      <w:pPr>
        <w:jc w:val="both"/>
        <w:ind w:left="120" w:hanging="4"/>
        <w:spacing w:after="0" w:line="253" w:lineRule="auto"/>
        <w:tabs>
          <w:tab w:leader="none" w:pos="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during the six-month written notice period; (2) payment of any earned but unpaid base salary; (3) payment of any vacation time earned but not used; (4) payment of any amounts accrued and payable under the terms of any of our benefit plans; (5) continued payment of his base salary for 18 months, following his termination (6) 100% of his target annual performance bonus for the year in which the termination occurs; and (7) vesting in full of all of his outstanding equity awards.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Dr. Luthringer’s severance benefits are conditioned, among other things, on a satisfactory release of claims in favor of the Company and his compliance with post-termination obligations under his employment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Dr. Luthringer’s employment agreement, Dr. Luthringer may end his employment by resignation for “good reason” if, without his written consent, there is (1) a material diminution in the nature or scope of his responsibilities, duties or authority; (2) a material reduction in his base salary; (3) relocation of his principal work location more than 50 miles from the location of his principal work location as of immediately prior to such relocation; or (4) our material breach of his employment agreement.</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for purposes of Dr. Luthringer’s employment agreement, we may terminate him for “cause” if he (1) is convicted of a felony or misdemeanor involving moral turpitude; (2) commits an act of fraud or embezzlement against us or our affiliates; (3) materially breaches his employment agreement and fails to cure such breach within 30 days; (4) materially violates any of our written policies and fails to cure such violation within 30 days; (5) materially fails or materially refuses to substantially perform his duties (other than by reason of a physical or mental impairment) or to implement the lawful written directives of our board of directors that are consistent with his position, and such material failure or material refusal continues for 30 days following written notice from the Company; (6) willfully engages in conduct or willfully omits to take any action, resulting in material injury to us or our affiliates, monetarily or otherwise (including with respect to our ability to comply with our legal or regulatory obligations); or (7) materially breaches his fiduciary duties as our officer or as a member of our board of directors.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Geoffrey Race</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Race through our wholly owned subsidiary, Mind-NRG SARL, on August 1, 2016, which sets forth the current terms of his employment with us, as amended by that certain First Amendment to Employment Agreement dated October 11, 2021. Mr. Race’s principal place of work is Cambridge, United Kingdom.</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1, 2024, Mr. Race was entitled to an annual base salary of $492,018. Mr. Race is also eligible for a discretionary annual bonus payment for each calendar year of up to 50% of his base salary. Mr. Race is also eligible to participate in the Company’s employee benefit, welfare and other plans generally available to the other similarly situated employees of the Company, as may be maintained by the Company from time to time, and he is eligible for equity awards under the Company’s equity incentive plans, subject to the Company’s discretion.</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Mr. Race’s employment agreement, he or the Company may terminate his employment upon 12-month written notice. The Company may also, in its sole and absolute discretion, immediately terminate Mr. Race’s employment, provided Mr. Race receives payment of his salary during the 12-month written notice period in lieu of notice and with pro rata payment of his discretionary annual bonus.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Mr. Race’s employment with us ends due to his death, his beneficiaries and/or estate will be entitled to, among other accrued obligations, a payment of a pro rata portion of his annual performance bonus.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Mr. Race’s employment with us ends due to his termination by us other than for “cause,” he will be entitled to (1) payment of his salary during the 12-month written notice period; (2) pro rata payment of his discretionary annual bonus; and (3) vesting of his outstanding equity awards as if he had completed an additional 12 months of continuous employment.</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Mr. Race’s employment with us or our successor ends due to his resignation for “good reason” or his termination by us or our successor without “cause” (and not due to death) within 12 months immediately following a change in control of the Company, Mr. Race will be entitled to (1) payment of his salary during the 12-month written notice period; (2) pro rata payment of his discretionary annual bonus; (3) payment equal to 12 months’ base salary; (4) 100% of his target annual performance bonus for the year in which the termination occurs; and (5) vesting in full of all of his outstanding equity awards.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Mr. Race’s benefits are conditioned, among other things, on a satisfactory release of claims in favor of the Company and his compliance with post-termination obligations under his employment agreement.</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Mr. Race’s employment agreement, Mr. Race may end his employment by resignation for “good reason” if, without his written consent, there is (1) a material diminution in the nature or scope of his responsibilities, duties or authority; (2) a material reduction in his base salary;</w:t>
      </w:r>
    </w:p>
    <w:p>
      <w:pPr>
        <w:ind w:left="120" w:right="20" w:hanging="4"/>
        <w:spacing w:after="0" w:line="260" w:lineRule="auto"/>
        <w:tabs>
          <w:tab w:leader="none" w:pos="4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his principal work location more than 50 miles from the location of his principal work location as of immediately prior to such relocation; or (4) our material breach of his employment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for purposes of Mr. Race’s employment agreement, we may terminate him for “cause” if he (1) commits any act of gross misconduct;</w:t>
      </w:r>
    </w:p>
    <w:p>
      <w:pPr>
        <w:spacing w:after="0" w:line="27" w:lineRule="exact"/>
        <w:rPr>
          <w:sz w:val="20"/>
          <w:szCs w:val="20"/>
          <w:color w:val="auto"/>
        </w:rPr>
      </w:pPr>
    </w:p>
    <w:p>
      <w:pPr>
        <w:jc w:val="both"/>
        <w:ind w:left="120" w:hanging="4"/>
        <w:spacing w:after="0" w:line="25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any material or persistent breach of the terms of his employment agreement, including any willful neglect or refusal to carry out any of his duties or to comply with any reasonable and lawful instructions from our board; (3) materially violates any of our written policies and fails to cure such violation within thirty (30) days following written notice from us; (4) commits an act of fraud or embezzlement against us or our affiliates; (5) willfully engages in conduct or willfully omits to take any action, resulting in material injury to us or our affiliates, monetarily or otherwise (including with respect to our or our affiliates’ ability to comply with our or their legal or regulatory obligations); (6) materially breaches his fiduciary duties as our officer or as a member of our board of directors; (7) is convicted of any criminal offense (other than an offense under the Road Traffic Acts for which a penalty of imprisonment cannot be imposed); (8) commits any act which constitutes an offense under the Bribery Act 2010 whether done for our benefit or not; (9) has a bankruptcy order made against him or enters into a voluntary arrangement with his creditors; or (10) is prohibited by law from holding office in the Company or any other company or is disqualified or disbarred from membership of, or be subject to any serious disciplinary sanction by any professional or other body, which undermines the confidence of the board of directors in his continued employment with the Company.</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Frederick Ahlholm</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Ahlholm on October 11, 2021, which replaced and superseded the May 30, 2014 and the August 1, 2016 offer letters between Mr. Ahlholm and us. Mr. Ahlholm’s principal place of work is Waltham, Massachusetts. Effective as of the Amended and Restated Agreement, Mr. Ahlholm was entitled to an annual base salary of $400,000, which increased to $449,513 effective January 1, 2024. Mr. Ahlholm is also eligible to receive a discretionary bonus payment for each calendar year that ends during his employment of up to 45% of his base salary for that calendar year. Mr. Ahlholm is also eligible to participate in the Company’s employee benefit, welfare and other plans generally available to the other similarly situated employees of the Company, and is eligible for equity awards under the Company’s equity incentive plans, subject to the Company’s discretion.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Ahlholm’s employment agreement, if his employment with us ends due to his death, his beneficiaries or estate will be entitled to</w:t>
      </w:r>
    </w:p>
    <w:p>
      <w:pPr>
        <w:spacing w:after="0" w:line="27" w:lineRule="exact"/>
        <w:rPr>
          <w:sz w:val="20"/>
          <w:szCs w:val="20"/>
          <w:color w:val="auto"/>
        </w:rPr>
      </w:pPr>
    </w:p>
    <w:p>
      <w:pPr>
        <w:ind w:left="120" w:hanging="4"/>
        <w:spacing w:after="0" w:line="260" w:lineRule="auto"/>
        <w:tabs>
          <w:tab w:leader="none" w:pos="3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but unpaid base salary; (2) payment of any vacation time earned but not used; (3) pro-rata payment of his discretionary annual bonus; and (4) payment of any amounts accrued and payable under the terms of any of our benefit plans.</w:t>
      </w:r>
    </w:p>
    <w:p>
      <w:pPr>
        <w:spacing w:after="0" w:line="18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Mr. Ahlholm’s employment with us ends due to his disability or we terminate his employment for “cause,” he will be entitled to (1) payment of any earned but unpaid base salary; (2) payment of any vacation time earned but not used; and (3) payment of any amounts accrued and payable under the terms of any of our benefit plans.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Mr. Ahlholm’s employment with us ends due to his termination by us without “cause,” he will be entitled to (1) payment of his salary for 9 months; (2) payment of his COBRA premiums, less the amount charged to active employees for health coverage, for up to 9 months; (3) pro-rata payment of his discretionary annual bonus; (4) vesting of his outstanding equity awards as to that number of the then-unvested underlying shares of Common Stock that would have vested over the 9-month period following the end of Mr. Ahlholm’s employment;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hanging="4"/>
        <w:spacing w:after="0" w:line="266" w:lineRule="auto"/>
        <w:tabs>
          <w:tab w:leader="none" w:pos="4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nine (9) months immediately following termination , waiver of the obligation that Mr. Ahlholm remain in service, such that Mr. Ahlholm’s PRSUs would remain eligible to vest based solely on satisfaction of the applicable performance milestones prior to the expiration of such 9-month period.</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Mr. Ahlholm’s employment with us or our successor ends due to his resignation for “good reason” or his termination by us or our successor without “cause,” within 12 months immediately following a change in control of the Company, Mr. Ahlholm will be entitled to (1) payment of his salary for 12 months; (2) payment of his COBRA premiums, less the amount charged to active employees for health coverage, for up to 12 months; (3) 100% of his discretionary bonus for the year in which the termination occurs; and (4) vesting of his outstanding equity awards as to all then-unvested underlying shares of Common Stock (including with respect to all outstanding unvested options and any unvested PRSUs).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Mr. Ahlholm’s benefits are conditioned, among other things, on a satisfactory release of claims in favor of the Company and his compliance with post-termination obligations under his employment agreement.</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For purposes of Mr. Ahlholm’s employment agreement, Mr. Ahlholm may end his employment by resignation for “good reason” if, without his written consent, there is (1) a material diminution in the nature or scope of his responsibilities, duties or authority (provided, however, that a requirement that Mr. Ahlholm act as officer, director or in any other corporate function within the group shall not constitute good reason); (2) a material reduction in his base salary; (3) relocation of his principal work location more than 50 miles from the location of his principal work location as of immediately prior to such relocation; or (4) our material breach of his employment agreement.</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for purposes of Mr. Ahlholm’s employment agreement, we may terminate him for “cause” if he (1) is convicted of a felony or misdemeanor involving moral turpitude; (2) commits an act of fraud or embezzlement against us or our affiliates; (3) uses or discloses without authorization confidential information or trade secrets of the Company for his benefit or materially breaches a written agreement between him and the Company; (4) materially violates any of our written policies and fails to cure such violation within 30 days; (5) materially fails or materially refuses to substantially perform his duties (other than by reason of a physical or mental impairment) or to implement the lawful written directives of our board of directors that are consistent with his position, and such material failure or material refusal continues for 30 days following written notice from the Company; (6) willfully engages in conduct or willfully omits to take any action, resulting in material injury to us or our affiliates, monetarily or otherwise (including with respect to our ability to comply with our legal or regulatory obligations); or (7) materially breaches his fiduciary duties as our officer or as a member of our board of directors.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and Assignment Agreements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of the employment agreements with our named executive officers contains provisions with respect to confidential information and assignment of inventions. Among other things, each agreement requires each named executive officer to refrain from disclosing any of our proprietary information received during the course of employment or service with us, and to assign to us any inventions conceived or developed during the course of employment or service with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Change in Control</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payments and benefits under their employment agreements described above, pursuant to the terms of our 2013 Plan, if one or more of the awards granted to our named executive officers are not assumed or otherwise continued in effect by the successor corporation in the event of a change in control, such awards automatically accelerate and vest in full immediately prior to the change in control (assuming such officer remains in continuous service as of immediately prior to such change in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of 2010 and Item 402(v) of Regulation S-K, we are providing the following information about the relationship between executive compensation and certain financial performance metrics. The disclosure included in this section is prescribed by SEC rules and does not necessarily align with how we or the compensation committee view the link between financial performance and the compensation actually received or realized by our named executive officers. All information provided above under the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information on the compensation of our Chief Executive Officer and other named executive officers in comparison to certain performance metrics for 2024, 2023, and 2022. These metrics are not those that the compensation committee uses when setting executive compensation. The use of the term “compensation actually paid” (“CAP”) is required by the rules and regulations of the SEC, and under such rules, CAP was calculated by adjusting the Summary Compensation Table (“SCT”) Total values for the applicable year as described in the footnotes to the table. ​</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restart"/>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spacing w:after="0"/>
              <w:rPr>
                <w:sz w:val="12"/>
                <w:szCs w:val="12"/>
                <w:color w:val="auto"/>
              </w:rPr>
            </w:pPr>
          </w:p>
        </w:tc>
        <w:tc>
          <w:tcPr>
            <w:tcW w:w="12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60" w:type="dxa"/>
            <w:vAlign w:val="bottom"/>
            <w:vMerge w:val="continue"/>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200" w:type="dxa"/>
            <w:vAlign w:val="bottom"/>
            <w:vMerge w:val="restart"/>
          </w:tcPr>
          <w:p>
            <w:pPr>
              <w:jc w:val="right"/>
              <w:ind w:right="277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6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2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for PEO</w:t>
            </w:r>
            <w:r>
              <w:rPr>
                <w:rFonts w:ascii="Times New Roman" w:cs="Times New Roman" w:eastAsia="Times New Roman" w:hAnsi="Times New Roman"/>
                <w:sz w:val="7"/>
                <w:szCs w:val="7"/>
                <w:b w:val="1"/>
                <w:bCs w:val="1"/>
                <w:color w:val="auto"/>
              </w:rPr>
              <w:t>(1)(2)</w:t>
            </w:r>
          </w:p>
        </w:tc>
        <w:tc>
          <w:tcPr>
            <w:tcW w:w="1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8"/>
                <w:szCs w:val="8"/>
                <w:b w:val="1"/>
                <w:bCs w:val="1"/>
                <w:color w:val="auto"/>
              </w:rPr>
              <w:t>(1)(3)</w:t>
            </w:r>
          </w:p>
        </w:tc>
        <w:tc>
          <w:tcPr>
            <w:tcW w:w="126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(1)(3)</w:t>
            </w:r>
          </w:p>
        </w:tc>
        <w:tc>
          <w:tcPr>
            <w:tcW w:w="12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8"/>
                <w:szCs w:val="8"/>
                <w:b w:val="1"/>
                <w:bCs w:val="1"/>
                <w:color w:val="auto"/>
              </w:rPr>
              <w:t>(4)</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2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3200" w:type="dxa"/>
            <w:vAlign w:val="bottom"/>
            <w:shd w:val="clear" w:color="auto" w:fill="CCEEFF"/>
          </w:tcPr>
          <w:p>
            <w:pPr>
              <w:jc w:val="right"/>
              <w:ind w:right="2655"/>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$1,209,984</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$1,255,771</w:t>
            </w:r>
          </w:p>
        </w:tc>
        <w:tc>
          <w:tcPr>
            <w:tcW w:w="1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$836,943</w:t>
            </w: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$870,195</w:t>
            </w:r>
          </w:p>
        </w:tc>
        <w:tc>
          <w:tcPr>
            <w:tcW w:w="12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$34.63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$1,438,865  </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3200" w:type="dxa"/>
            <w:vAlign w:val="bottom"/>
          </w:tcPr>
          <w:p>
            <w:pPr>
              <w:jc w:val="right"/>
              <w:ind w:right="2655"/>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$1,835,160</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$2,127,419</w:t>
            </w:r>
          </w:p>
        </w:tc>
        <w:tc>
          <w:tcPr>
            <w:tcW w:w="1260" w:type="dxa"/>
            <w:vAlign w:val="bottom"/>
          </w:tcPr>
          <w:p>
            <w:pPr>
              <w:jc w:val="right"/>
              <w:ind w:right="83"/>
              <w:spacing w:after="0"/>
              <w:rPr>
                <w:sz w:val="20"/>
                <w:szCs w:val="20"/>
                <w:color w:val="auto"/>
              </w:rPr>
            </w:pPr>
            <w:r>
              <w:rPr>
                <w:rFonts w:ascii="Times New Roman" w:cs="Times New Roman" w:eastAsia="Times New Roman" w:hAnsi="Times New Roman"/>
                <w:sz w:val="18"/>
                <w:szCs w:val="18"/>
                <w:color w:val="auto"/>
              </w:rPr>
              <w:t>$1,182,081</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$1,298,479</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8"/>
                <w:szCs w:val="18"/>
                <w:color w:val="auto"/>
              </w:rPr>
              <w:t>$95.94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$(30,005,353)</w:t>
            </w:r>
          </w:p>
        </w:tc>
        <w:tc>
          <w:tcPr>
            <w:tcW w:w="0" w:type="dxa"/>
            <w:vAlign w:val="bottom"/>
          </w:tcPr>
          <w:p>
            <w:pPr>
              <w:spacing w:after="0"/>
              <w:rPr>
                <w:sz w:val="1"/>
                <w:szCs w:val="1"/>
                <w:color w:val="auto"/>
              </w:rPr>
            </w:pPr>
          </w:p>
        </w:tc>
      </w:tr>
      <w:tr>
        <w:trPr>
          <w:trHeight w:val="324"/>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3200" w:type="dxa"/>
            <w:vAlign w:val="bottom"/>
            <w:shd w:val="clear" w:color="auto" w:fill="CCEEFF"/>
          </w:tcPr>
          <w:p>
            <w:pPr>
              <w:jc w:val="right"/>
              <w:ind w:right="2655"/>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$1,274,677</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$1,283,412</w:t>
            </w:r>
          </w:p>
        </w:tc>
        <w:tc>
          <w:tcPr>
            <w:tcW w:w="1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$791,895</w:t>
            </w: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$798,131</w:t>
            </w:r>
          </w:p>
        </w:tc>
        <w:tc>
          <w:tcPr>
            <w:tcW w:w="12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$24.80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$(32,108,676)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680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68"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Executive Officer (“PEO”) information reflected in columns (a) and (b) relates to our CEO, Dr. Remy Luthringer. The non-PEO NEOs information reflected in columns</w:t>
      </w:r>
    </w:p>
    <w:p>
      <w:pPr>
        <w:spacing w:after="0" w:line="3"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and (d) above relates to Geoffrey Race and Frederick Ahlholm during 2024, 2023 and 2022.</w:t>
      </w:r>
    </w:p>
    <w:p>
      <w:pPr>
        <w:spacing w:after="0" w:line="214" w:lineRule="exact"/>
        <w:rPr>
          <w:rFonts w:ascii="Times New Roman" w:cs="Times New Roman" w:eastAsia="Times New Roman" w:hAnsi="Times New Roman"/>
          <w:sz w:val="14"/>
          <w:szCs w:val="14"/>
          <w:color w:val="auto"/>
        </w:rPr>
      </w:pPr>
    </w:p>
    <w:p>
      <w:pPr>
        <w:jc w:val="both"/>
        <w:ind w:left="540" w:hanging="424"/>
        <w:spacing w:after="0" w:line="242"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are the amounts of total compensation reported for Dr. Luthringer, or the average total compensation reported for the non-PEO NEOs, as applicable, for each corresponding year in the “Total” column of the Summary Compensation Table. Please refer to “Executive Compensation—Compensation Tables—Summary Compensation Table.”</w:t>
      </w: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540" w:hanging="424"/>
        <w:spacing w:after="0" w:line="24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“compensation actually paid” to our PEO and non-PEO NEOs, as computed in accordance with Item 402(v) of Regulation S-K. The dollar amounts do not reflect the actual amount of compensation earned by or paid to our PEO during the applicable year. In accordance with the requirements of Item 402(v) of Regulation S-K, the following adjustments were made to the total compensation of our PEO and non-PEO NEOs for 2024 to determine the compensation actually paid: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w:t>
            </w:r>
          </w:p>
        </w:tc>
        <w:tc>
          <w:tcPr>
            <w:tcW w:w="260" w:type="dxa"/>
            <w:vAlign w:val="bottom"/>
          </w:tcPr>
          <w:p>
            <w:pPr>
              <w:spacing w:after="0"/>
              <w:rPr>
                <w:sz w:val="13"/>
                <w:szCs w:val="13"/>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 Fair</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60" w:type="dxa"/>
            <w:vAlign w:val="bottom"/>
          </w:tcPr>
          <w:p>
            <w:pPr>
              <w:spacing w:after="0"/>
              <w:rPr>
                <w:sz w:val="12"/>
                <w:szCs w:val="12"/>
                <w:color w:val="auto"/>
              </w:rPr>
            </w:pPr>
          </w:p>
        </w:tc>
        <w:tc>
          <w:tcPr>
            <w:tcW w:w="110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60" w:type="dxa"/>
            <w:vAlign w:val="bottom"/>
          </w:tcPr>
          <w:p>
            <w:pPr>
              <w:spacing w:after="0"/>
              <w:rPr>
                <w:sz w:val="12"/>
                <w:szCs w:val="12"/>
                <w:color w:val="auto"/>
              </w:rPr>
            </w:pPr>
          </w:p>
        </w:tc>
        <w:tc>
          <w:tcPr>
            <w:tcW w:w="110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110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78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2"/>
                <w:szCs w:val="12"/>
                <w:color w:val="auto"/>
              </w:rPr>
            </w:pPr>
          </w:p>
        </w:tc>
        <w:tc>
          <w:tcPr>
            <w:tcW w:w="110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4"/>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Less: Fair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78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60" w:type="dxa"/>
            <w:vAlign w:val="bottom"/>
          </w:tcPr>
          <w:p>
            <w:pPr>
              <w:spacing w:after="0"/>
              <w:rPr>
                <w:sz w:val="12"/>
                <w:szCs w:val="12"/>
                <w:color w:val="auto"/>
              </w:rPr>
            </w:pPr>
          </w:p>
        </w:tc>
        <w:tc>
          <w:tcPr>
            <w:tcW w:w="110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8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the</w:t>
            </w:r>
          </w:p>
        </w:tc>
        <w:tc>
          <w:tcPr>
            <w:tcW w:w="260" w:type="dxa"/>
            <w:vAlign w:val="bottom"/>
          </w:tcPr>
          <w:p>
            <w:pPr>
              <w:spacing w:after="0"/>
              <w:rPr>
                <w:sz w:val="12"/>
                <w:szCs w:val="12"/>
                <w:color w:val="auto"/>
              </w:rPr>
            </w:pPr>
          </w:p>
        </w:tc>
        <w:tc>
          <w:tcPr>
            <w:tcW w:w="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40" w:type="dxa"/>
            <w:vAlign w:val="bottom"/>
            <w:gridSpan w:val="3"/>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Pr>
          <w:p>
            <w:pPr>
              <w:spacing w:after="0"/>
              <w:rPr>
                <w:sz w:val="12"/>
                <w:szCs w:val="12"/>
                <w:color w:val="auto"/>
              </w:rPr>
            </w:pPr>
          </w:p>
        </w:tc>
        <w:tc>
          <w:tcPr>
            <w:tcW w:w="660" w:type="dxa"/>
            <w:vAlign w:val="bottom"/>
            <w:gridSpan w:val="3"/>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SCT</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78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2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NEO</w:t>
            </w: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4"/>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7"/>
              </w:rPr>
              <w:t>CAP</w:t>
            </w:r>
          </w:p>
        </w:tc>
        <w:tc>
          <w:tcPr>
            <w:tcW w:w="0" w:type="dxa"/>
            <w:vAlign w:val="bottom"/>
          </w:tcPr>
          <w:p>
            <w:pPr>
              <w:spacing w:after="0"/>
              <w:rPr>
                <w:sz w:val="1"/>
                <w:szCs w:val="1"/>
                <w:color w:val="auto"/>
              </w:rPr>
            </w:pPr>
          </w:p>
        </w:tc>
      </w:tr>
      <w:tr>
        <w:trPr>
          <w:trHeight w:val="193"/>
        </w:trPr>
        <w:tc>
          <w:tcPr>
            <w:tcW w:w="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0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SCT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66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6"/>
              </w:rPr>
              <w:t>to Vest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118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520" w:type="dxa"/>
            <w:vAlign w:val="bottom"/>
            <w:shd w:val="clear" w:color="auto" w:fill="CCEEFF"/>
          </w:tcPr>
          <w:p>
            <w:pPr>
              <w:ind w:left="820"/>
              <w:spacing w:after="0" w:line="142" w:lineRule="exact"/>
              <w:rPr>
                <w:sz w:val="20"/>
                <w:szCs w:val="20"/>
                <w:color w:val="auto"/>
              </w:rPr>
            </w:pPr>
            <w:r>
              <w:rPr>
                <w:rFonts w:ascii="Times New Roman" w:cs="Times New Roman" w:eastAsia="Times New Roman" w:hAnsi="Times New Roman"/>
                <w:sz w:val="14"/>
                <w:szCs w:val="14"/>
                <w:color w:val="auto"/>
              </w:rPr>
              <w:t>PEO</w:t>
            </w:r>
          </w:p>
        </w:tc>
        <w:tc>
          <w:tcPr>
            <w:tcW w:w="36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9"/>
              </w:rPr>
              <w:t>1,209,984</w:t>
            </w:r>
          </w:p>
        </w:tc>
        <w:tc>
          <w:tcPr>
            <w:tcW w:w="2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6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197,400</w:t>
            </w:r>
          </w:p>
        </w:tc>
        <w:tc>
          <w:tcPr>
            <w:tcW w:w="46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214,309</w:t>
            </w:r>
          </w:p>
        </w:tc>
        <w:tc>
          <w:tcPr>
            <w:tcW w:w="54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5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23,374</w:t>
            </w:r>
          </w:p>
        </w:tc>
        <w:tc>
          <w:tcPr>
            <w:tcW w:w="2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shd w:val="clear" w:color="auto" w:fill="CCEEFF"/>
          </w:tcPr>
          <w:p>
            <w:pPr>
              <w:jc w:val="center"/>
              <w:ind w:left="248"/>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4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95"/>
              </w:rPr>
              <w:t>5,504</w:t>
            </w:r>
          </w:p>
        </w:tc>
        <w:tc>
          <w:tcPr>
            <w:tcW w:w="26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1,255,771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2024</w:t>
            </w:r>
          </w:p>
        </w:tc>
        <w:tc>
          <w:tcPr>
            <w:tcW w:w="15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Non-PEO</w:t>
            </w:r>
          </w:p>
        </w:tc>
        <w:tc>
          <w:tcPr>
            <w:tcW w:w="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836,943</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133,950</w:t>
            </w:r>
          </w:p>
        </w:tc>
        <w:tc>
          <w:tcPr>
            <w:tcW w:w="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145,424</w:t>
            </w: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 </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17,056</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 xml:space="preserve">$ </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5"/>
              </w:rPr>
              <w:t>4,722</w:t>
            </w:r>
          </w:p>
        </w:tc>
        <w:tc>
          <w:tcPr>
            <w:tcW w:w="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   870,195</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NEOs</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40" w:hanging="424"/>
        <w:spacing w:after="0" w:line="26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 TSR of our Common Stock as calculated in accordance with Item 201(e) of Regulation S-X, assuming an initial fixed investment of $100 on December 31, 2021. We have never declared or paid any dividends on our Common Stock.​</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income (loss) as disclosed in the audited annual financial statements for the applicable year.</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Narrative Disclosure</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on the CAP and each of net income (loss) and TSR. We do not utilize TSR or net loss in our executive compensation program.</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vs. Total Shareholder Return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the average CAP for our non-PEO NEOs, as calculated pursuant to SEC rules, to our cumulative TSR over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7029450" cy="3522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029450" cy="3522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Actually Paid vs. Net Income (Loss)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the average CAP for our non-PEO NEOs, as calculated pursuant to SEC rules, to our net income (loss) over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6060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19493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grant stock options to employees, including our named executive officers. Also, non-employee directors receive automatic grants of initial and annual stock option awards, at the time of a director’s initial election to the Board and at the time of each annual meeting of the Company’s stockholders, respectively, pursuant to our Director Compensation Plan, as further described under the heading “—Non-Employee Director Compensation Plan” above. We do not otherwise maintain any written policies on the timing of awards of stock options, stock appreciation rights, or similar instruments with option-like features. Neither our Board nor our Compensation Committee takes material non-public information (“MNPI”) about the Company into account when determining the timing of equity awards, nor do we time the disclosure of MNPI for the purpose of impacting the value of executive compensation.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is being provided pursuant to Item 402(x)(2) of Regulation S-K.</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 securities underlying the award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 ending</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 disclosure of</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 information and the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56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 immediately</w:t>
            </w:r>
          </w:p>
        </w:tc>
        <w:tc>
          <w:tcPr>
            <w:tcW w:w="0" w:type="dxa"/>
            <w:vAlign w:val="bottom"/>
          </w:tcPr>
          <w:p>
            <w:pPr>
              <w:spacing w:after="0"/>
              <w:rPr>
                <w:sz w:val="1"/>
                <w:szCs w:val="1"/>
                <w:color w:val="auto"/>
              </w:rPr>
            </w:pPr>
          </w:p>
        </w:tc>
      </w:tr>
      <w:tr>
        <w:trPr>
          <w:trHeight w:val="148"/>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5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Grant date (b)</w:t>
            </w:r>
          </w:p>
        </w:tc>
        <w:tc>
          <w:tcPr>
            <w:tcW w:w="14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820" w:type="dxa"/>
            <w:vAlign w:val="bottom"/>
            <w:gridSpan w:val="2"/>
            <w:vMerge w:val="continue"/>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 material</w:t>
            </w:r>
          </w:p>
        </w:tc>
        <w:tc>
          <w:tcPr>
            <w:tcW w:w="0" w:type="dxa"/>
            <w:vAlign w:val="bottom"/>
          </w:tcPr>
          <w:p>
            <w:pPr>
              <w:spacing w:after="0"/>
              <w:rPr>
                <w:sz w:val="1"/>
                <w:szCs w:val="1"/>
                <w:color w:val="auto"/>
              </w:rPr>
            </w:pPr>
          </w:p>
        </w:tc>
      </w:tr>
      <w:tr>
        <w:trPr>
          <w:trHeight w:val="173"/>
        </w:trPr>
        <w:tc>
          <w:tcPr>
            <w:tcW w:w="192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award (c)</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award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 (d)</w:t>
            </w:r>
          </w:p>
        </w:tc>
        <w:tc>
          <w:tcPr>
            <w:tcW w:w="15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 xml:space="preserve">award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(e) (1)</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nonpublic information (%) (f)</w:t>
            </w:r>
          </w:p>
        </w:tc>
        <w:tc>
          <w:tcPr>
            <w:tcW w:w="0" w:type="dxa"/>
            <w:vAlign w:val="bottom"/>
          </w:tcPr>
          <w:p>
            <w:pPr>
              <w:spacing w:after="0"/>
              <w:rPr>
                <w:sz w:val="1"/>
                <w:szCs w:val="1"/>
                <w:color w:val="auto"/>
              </w:rPr>
            </w:pPr>
          </w:p>
        </w:tc>
      </w:tr>
      <w:tr>
        <w:trPr>
          <w:trHeight w:val="182"/>
        </w:trPr>
        <w:tc>
          <w:tcPr>
            <w:tcW w:w="1340" w:type="dxa"/>
            <w:vAlign w:val="bottom"/>
            <w:tcBorders>
              <w:top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6"/>
                <w:szCs w:val="16"/>
                <w:color w:val="auto"/>
              </w:rPr>
              <w:t>Dr. Remy</w:t>
            </w:r>
          </w:p>
        </w:tc>
        <w:tc>
          <w:tcPr>
            <w:tcW w:w="5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12/05/2024</w:t>
            </w:r>
            <w:r>
              <w:rPr>
                <w:rFonts w:ascii="Times New Roman" w:cs="Times New Roman" w:eastAsia="Times New Roman" w:hAnsi="Times New Roman"/>
                <w:sz w:val="20"/>
                <w:szCs w:val="20"/>
                <w:color w:val="auto"/>
                <w:vertAlign w:val="superscript"/>
              </w:rPr>
              <w:t>(2)</w:t>
            </w: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ind w:left="304"/>
              <w:spacing w:after="0" w:line="182" w:lineRule="exact"/>
              <w:rPr>
                <w:sz w:val="20"/>
                <w:szCs w:val="20"/>
                <w:color w:val="auto"/>
              </w:rPr>
            </w:pPr>
            <w:r>
              <w:rPr>
                <w:rFonts w:ascii="Times New Roman" w:cs="Times New Roman" w:eastAsia="Times New Roman" w:hAnsi="Times New Roman"/>
                <w:sz w:val="16"/>
                <w:szCs w:val="16"/>
                <w:color w:val="auto"/>
                <w:w w:val="99"/>
              </w:rPr>
              <w:t>105,000</w:t>
            </w:r>
          </w:p>
        </w:tc>
        <w:tc>
          <w:tcPr>
            <w:tcW w:w="5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303"/>
              <w:spacing w:after="0" w:line="182" w:lineRule="exact"/>
              <w:rPr>
                <w:sz w:val="20"/>
                <w:szCs w:val="20"/>
                <w:color w:val="auto"/>
              </w:rPr>
            </w:pPr>
            <w:r>
              <w:rPr>
                <w:rFonts w:ascii="Times New Roman" w:cs="Times New Roman" w:eastAsia="Times New Roman" w:hAnsi="Times New Roman"/>
                <w:sz w:val="16"/>
                <w:szCs w:val="16"/>
                <w:color w:val="auto"/>
              </w:rPr>
              <w:t>2.12</w:t>
            </w:r>
          </w:p>
        </w:tc>
        <w:tc>
          <w:tcPr>
            <w:tcW w:w="5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ind w:left="304"/>
              <w:spacing w:after="0" w:line="182" w:lineRule="exact"/>
              <w:rPr>
                <w:sz w:val="20"/>
                <w:szCs w:val="20"/>
                <w:color w:val="auto"/>
              </w:rPr>
            </w:pPr>
            <w:r>
              <w:rPr>
                <w:rFonts w:ascii="Times New Roman" w:cs="Times New Roman" w:eastAsia="Times New Roman" w:hAnsi="Times New Roman"/>
                <w:sz w:val="16"/>
                <w:szCs w:val="16"/>
                <w:color w:val="auto"/>
              </w:rPr>
              <w:t>$197,400</w:t>
            </w:r>
          </w:p>
        </w:tc>
        <w:tc>
          <w:tcPr>
            <w:tcW w:w="56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jc w:val="right"/>
              <w:ind w:right="926"/>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Luthringer</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Geoffrey Race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12/05/2024</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22"/>
                <w:szCs w:val="22"/>
                <w:color w:val="auto"/>
              </w:rPr>
            </w:pPr>
          </w:p>
        </w:tc>
        <w:tc>
          <w:tcPr>
            <w:tcW w:w="900" w:type="dxa"/>
            <w:vAlign w:val="bottom"/>
          </w:tcPr>
          <w:p>
            <w:pPr>
              <w:jc w:val="center"/>
              <w:ind w:left="304"/>
              <w:spacing w:after="0"/>
              <w:rPr>
                <w:sz w:val="20"/>
                <w:szCs w:val="20"/>
                <w:color w:val="auto"/>
              </w:rPr>
            </w:pPr>
            <w:r>
              <w:rPr>
                <w:rFonts w:ascii="Times New Roman" w:cs="Times New Roman" w:eastAsia="Times New Roman" w:hAnsi="Times New Roman"/>
                <w:sz w:val="16"/>
                <w:szCs w:val="16"/>
                <w:color w:val="auto"/>
                <w:w w:val="99"/>
              </w:rPr>
              <w:t>95,000</w:t>
            </w:r>
          </w:p>
        </w:tc>
        <w:tc>
          <w:tcPr>
            <w:tcW w:w="580" w:type="dxa"/>
            <w:vAlign w:val="bottom"/>
          </w:tcPr>
          <w:p>
            <w:pPr>
              <w:spacing w:after="0"/>
              <w:rPr>
                <w:sz w:val="22"/>
                <w:szCs w:val="22"/>
                <w:color w:val="auto"/>
              </w:rPr>
            </w:pPr>
          </w:p>
        </w:tc>
        <w:tc>
          <w:tcPr>
            <w:tcW w:w="1240" w:type="dxa"/>
            <w:vAlign w:val="bottom"/>
          </w:tcPr>
          <w:p>
            <w:pPr>
              <w:jc w:val="right"/>
              <w:ind w:right="303"/>
              <w:spacing w:after="0"/>
              <w:rPr>
                <w:sz w:val="20"/>
                <w:szCs w:val="20"/>
                <w:color w:val="auto"/>
              </w:rPr>
            </w:pPr>
            <w:r>
              <w:rPr>
                <w:rFonts w:ascii="Times New Roman" w:cs="Times New Roman" w:eastAsia="Times New Roman" w:hAnsi="Times New Roman"/>
                <w:sz w:val="16"/>
                <w:szCs w:val="16"/>
                <w:color w:val="auto"/>
              </w:rPr>
              <w:t>2.12</w:t>
            </w:r>
          </w:p>
        </w:tc>
        <w:tc>
          <w:tcPr>
            <w:tcW w:w="580" w:type="dxa"/>
            <w:vAlign w:val="bottom"/>
          </w:tcPr>
          <w:p>
            <w:pPr>
              <w:spacing w:after="0"/>
              <w:rPr>
                <w:sz w:val="22"/>
                <w:szCs w:val="22"/>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$178,600</w:t>
            </w:r>
          </w:p>
        </w:tc>
        <w:tc>
          <w:tcPr>
            <w:tcW w:w="2680" w:type="dxa"/>
            <w:vAlign w:val="bottom"/>
          </w:tcPr>
          <w:p>
            <w:pPr>
              <w:jc w:val="right"/>
              <w:ind w:right="926"/>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Frederick Ahlholm</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12/05/2024</w:t>
            </w:r>
            <w:r>
              <w:rPr>
                <w:rFonts w:ascii="Times New Roman" w:cs="Times New Roman" w:eastAsia="Times New Roman" w:hAnsi="Times New Roman"/>
                <w:sz w:val="20"/>
                <w:szCs w:val="20"/>
                <w:color w:val="auto"/>
                <w:vertAlign w:val="superscript"/>
              </w:rPr>
              <w:t>(2)</w:t>
            </w: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304"/>
              <w:spacing w:after="0"/>
              <w:rPr>
                <w:sz w:val="20"/>
                <w:szCs w:val="20"/>
                <w:color w:val="auto"/>
              </w:rPr>
            </w:pPr>
            <w:r>
              <w:rPr>
                <w:rFonts w:ascii="Times New Roman" w:cs="Times New Roman" w:eastAsia="Times New Roman" w:hAnsi="Times New Roman"/>
                <w:sz w:val="16"/>
                <w:szCs w:val="16"/>
                <w:color w:val="auto"/>
                <w:w w:val="99"/>
              </w:rPr>
              <w:t>47,500</w:t>
            </w:r>
          </w:p>
        </w:tc>
        <w:tc>
          <w:tcPr>
            <w:tcW w:w="5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rPr>
              <w:t>2.12</w:t>
            </w: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left="304"/>
              <w:spacing w:after="0"/>
              <w:rPr>
                <w:sz w:val="20"/>
                <w:szCs w:val="20"/>
                <w:color w:val="auto"/>
              </w:rPr>
            </w:pPr>
            <w:r>
              <w:rPr>
                <w:rFonts w:ascii="Times New Roman" w:cs="Times New Roman" w:eastAsia="Times New Roman" w:hAnsi="Times New Roman"/>
                <w:sz w:val="16"/>
                <w:szCs w:val="16"/>
                <w:color w:val="auto"/>
              </w:rPr>
              <w:t>$89,300</w:t>
            </w:r>
          </w:p>
        </w:tc>
        <w:tc>
          <w:tcPr>
            <w:tcW w:w="560" w:type="dxa"/>
            <w:vAlign w:val="bottom"/>
            <w:shd w:val="clear" w:color="auto" w:fill="CCEEFF"/>
          </w:tcPr>
          <w:p>
            <w:pPr>
              <w:spacing w:after="0"/>
              <w:rPr>
                <w:sz w:val="22"/>
                <w:szCs w:val="22"/>
                <w:color w:val="auto"/>
              </w:rPr>
            </w:pPr>
          </w:p>
        </w:tc>
        <w:tc>
          <w:tcPr>
            <w:tcW w:w="268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hanging="4"/>
        <w:spacing w:after="0" w:line="258" w:lineRule="auto"/>
        <w:tabs>
          <w:tab w:leader="none" w:pos="3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grant date fair values of the Stock Options computed in accordance with ASC Topic 718. Assumptions used in valuing options are described in Note 7 to our consolidated financial statements included in our Annual Report on Form 10-K for the fiscal year ended December 31, 2024, filed with the SEC on February 25, 2025. The aggregate grant date fair value does not take into account any estimated forfeitures related to service-vesting conditions. These amounts do not reflect the actual economic value that will be realized by the named executive officers upon the vesting or exercise of the stock options, or the sale of the Common Stock underlying such stock options.</w:t>
      </w:r>
    </w:p>
    <w:p>
      <w:pPr>
        <w:spacing w:after="0" w:line="183" w:lineRule="exact"/>
        <w:rPr>
          <w:rFonts w:ascii="Times New Roman" w:cs="Times New Roman" w:eastAsia="Times New Roman" w:hAnsi="Times New Roman"/>
          <w:sz w:val="18"/>
          <w:szCs w:val="18"/>
          <w:color w:val="auto"/>
        </w:rPr>
      </w:pPr>
    </w:p>
    <w:p>
      <w:pPr>
        <w:ind w:left="120" w:hanging="4"/>
        <w:spacing w:after="0" w:line="282" w:lineRule="auto"/>
        <w:tabs>
          <w:tab w:leader="none" w:pos="3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2024, our Board approved and priced certain equity compensation awards in the form of stock options to our named executive officers, which coincided with a Current Report on Form 8-K announcing the results of our 2024 Annual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other than our Chief Executive Officer, who served as a member of our Board during 2024. Other than as set forth in the table and described more fully below, we did not pay any compensation, reimburse any expense of, make any equity awards or non-equity awards to, or pay any other compensation to any of the non-employee members of our Board in 2024.</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Fees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45"/>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45"/>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restart"/>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45"/>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40" w:type="dxa"/>
            <w:vAlign w:val="bottom"/>
          </w:tcPr>
          <w:p>
            <w:pPr>
              <w:jc w:val="center"/>
              <w:ind w:left="445"/>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ind w:left="464"/>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(1)(2)</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114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00" w:type="dxa"/>
            <w:vAlign w:val="bottom"/>
          </w:tcPr>
          <w:p>
            <w:pPr>
              <w:spacing w:after="0"/>
              <w:rPr>
                <w:sz w:val="19"/>
                <w:szCs w:val="19"/>
                <w:color w:val="auto"/>
              </w:rPr>
            </w:pPr>
          </w:p>
        </w:tc>
        <w:tc>
          <w:tcPr>
            <w:tcW w:w="10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tcPr>
          <w:p>
            <w:pPr>
              <w:spacing w:after="0"/>
              <w:rPr>
                <w:sz w:val="19"/>
                <w:szCs w:val="19"/>
                <w:color w:val="auto"/>
              </w:rPr>
            </w:pPr>
          </w:p>
        </w:tc>
        <w:tc>
          <w:tcPr>
            <w:tcW w:w="1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16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75,625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Jeryl Hilleman</w:t>
            </w:r>
            <w:r>
              <w:rPr>
                <w:rFonts w:ascii="Times New Roman" w:cs="Times New Roman" w:eastAsia="Times New Roman" w:hAnsi="Times New Roman"/>
                <w:sz w:val="26"/>
                <w:szCs w:val="26"/>
                <w:color w:val="auto"/>
                <w:vertAlign w:val="superscript"/>
              </w:rPr>
              <w:t>(3)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7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60,875</w:t>
            </w:r>
          </w:p>
        </w:tc>
        <w:tc>
          <w:tcPr>
            <w:tcW w:w="17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23,125</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47,000</w:t>
            </w:r>
          </w:p>
        </w:tc>
        <w:tc>
          <w:tcPr>
            <w:tcW w:w="1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23,125</w:t>
            </w:r>
          </w:p>
        </w:tc>
        <w:tc>
          <w:tcPr>
            <w:tcW w:w="1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70,125</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44,375</w:t>
            </w:r>
          </w:p>
        </w:tc>
        <w:tc>
          <w:tcPr>
            <w:tcW w:w="17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23,125</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257175</wp:posOffset>
            </wp:positionV>
            <wp:extent cx="16802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540" w:right="20" w:hanging="424"/>
        <w:spacing w:after="0" w:line="231" w:lineRule="auto"/>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2024 computed in accordance with ASC 718. The assumptions we used in valuing the option awards are described in Note 7 to our consolidated financial statements included in our Annual Report on Form 10-K for the fiscal year ended December 31, 2024, filed with the SEC on February 25, 2025 (as amended by Form 10-K/A). The aggregate grant date fair value does not take into account any estimated forfeitures related to service-vesting conditions. These amounts do not reflect the actual economic value that will be realized by a director upon the vesting of the stock options, the exercise of the stock options or the sale of the Common Stock underlying such stock options. Pursuant to our non-employee director compensation plan as then in effect, each of our non-employee directors was granted an option to purchase 12,500 shares of our Common Stock on December 5, 2024, at an exercise price of $2.12 per share.</w:t>
      </w:r>
    </w:p>
    <w:p>
      <w:pPr>
        <w:spacing w:after="0" w:line="204"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aggregate number of shares subject to outstanding equity awards held by our non-employee directors who served on our Board during 2024 was: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8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28"/>
        </w:trPr>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Jeryl Hilleman</w:t>
            </w:r>
            <w:r>
              <w:rPr>
                <w:rFonts w:ascii="Times New Roman" w:cs="Times New Roman" w:eastAsia="Times New Roman" w:hAnsi="Times New Roman"/>
                <w:sz w:val="26"/>
                <w:szCs w:val="26"/>
                <w:color w:val="auto"/>
                <w:vertAlign w:val="superscript"/>
              </w:rPr>
              <w:t>(3)</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2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43,749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2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43,749</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2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680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22"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Hilleman resigned from the Board effective August 6, 2024.</w:t>
      </w:r>
    </w:p>
    <w:p>
      <w:pPr>
        <w:spacing w:after="0" w:line="20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Dr. Inderjit Kaul was elected to the Board, and engaged as a consultant to the Company, in November 2025. In connection with his election to the Board, he was granted, pursuant to our Amended Director Compensation Plan (as defined below), a New Director Welcome Option and will be eligible to receive a prorated amount of cash compensation for the remainder of calendar year 2025. However, Dr. Kaul will not receive an Annual Grant at the Annual Meeting. For more information on Dr. Kaul’s consulting agreement see “Transactions with Related Persons Related Person Transactions Policy and Procedures”.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Plan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Director Compensation Plan, as adopted by our Board, became effective April 1, 2018 and was amended on November 29, 2023. Under the terms of the plan as in effect for calendar year 2024, each non-employee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director was eligible to receive an annual cash retainer of $40,000. The Lead Independent Director was eligible to receive an additional annual cash retainer of $10,000. The chairpersons of the Audit Committee, Compensation Committee, and Nominating and Corporate Governance Committee were each eligible to receive additional annual cash retainers of $15,000, $12,250 and $9,500, respectively. Other members of the Audit Committee, Compensation Committee, and Nominating and Corporate Governance Committee were eligible to receive additional annual cash retainers of $9,000, $6,000 and $5,000, respectively.</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such plan, each newly elected non-employee member of the Board received a one-time grant of an option to purchase 5,000 shares of Common Stock promptly following election or appointment to the Board (“New Director Welcome Options”). The New Director Welcome Options vest quarterly over three years, provided that the applicable non-employee director is, as of such vesting date, a non-employee director of the Company.</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received an annual option grant to purchase 12,500 shares of Common Stock per year (“New Annual Grants”). The New Annual Grants vest in equal quarterly installments over one year, provided that the applicable non-employee director is, as of such vesting date, a non-employee director of the Company.</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Director Compensation Plan was further amended on December 5, 2024, which became effective on January 1, 2025 (the “Amended Director Compensation Plan”). Under the terms of the Amended Director Compensation Plan, each non-employee director is eligible to receive an annual cash retainer of $40,000. The Lead Independent Director is eligible to receive an additional annual cash retainer of $20,000. The chairpersons of the Audit Committee, Compensation Committee, and Nominating and Corporate Governance Committee are each eligible to receive additional annual cash retainers of $18,000, $12,250 and $9,500, respectively. Other members of the Audit Committee, Compensation Committee, and Nominating and Corporate Governance Committee are eligible to receive additional annual cash retainers of $9,000, $6,000 and $5,000, respectively. The New Director Welcome Options have been increased to 9,500 shares of the Company’s Common Stock and the New Annual Grants have been decreased to 4,750 shares of the Company’s Common Stock. The vesting schedule for such options is unchanged.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November 2023, our Board adopted a written compensation recovery policy in accordance with the Dodd-Frank Wall Street Reform and Consumer Protection Act and applicable Nasdaq rules, a copy of which is filed as an exhibit to our Annual Report on Form 10-K for the fiscal year ended December 31,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0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Ethics, our employees and directors have an affirmative responsibility to disclose any transaction or relationship that reasonably could be expected to give rise to a conflict of interest.</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other independent body of our Board, will take into account the relevant available facts and circumstances including, but not limited to:</w:t>
      </w:r>
    </w:p>
    <w:p>
      <w:pPr>
        <w:spacing w:after="0" w:line="189" w:lineRule="exact"/>
        <w:rPr>
          <w:sz w:val="20"/>
          <w:szCs w:val="20"/>
          <w:color w:val="auto"/>
        </w:rPr>
      </w:pPr>
    </w:p>
    <w:p>
      <w:pPr>
        <w:ind w:left="980" w:hanging="432"/>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52"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88"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52"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below under “Certain Related Person Transactions” were approved by the Audit Committee in accordance with our related person transaction policy.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ELATIONSHIPS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proxy statement, below is a description of transactions since January 1, 2023 to which the Company was a party or will be a party, in which:</w:t>
      </w:r>
    </w:p>
    <w:p>
      <w:pPr>
        <w:spacing w:after="0" w:line="189" w:lineRule="exact"/>
        <w:rPr>
          <w:sz w:val="20"/>
          <w:szCs w:val="20"/>
          <w:color w:val="auto"/>
        </w:rPr>
      </w:pPr>
    </w:p>
    <w:p>
      <w:pPr>
        <w:ind w:left="980" w:right="20" w:hanging="432"/>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(or, if less, 1% of the average of our total assets at December 31, 2024 and 2023, as applicable);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980" w:right="20" w:hanging="432"/>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the company’s capital stock,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Kaul</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14, 2025, we entered into a consulting agreement (the “Consulting Agreement”) with Dr. Kaul, one of our directors. Pursuant to the Consulting Agreement, Dr. Kaul will, among other things, assist with our clinical trial workstreams and other related services upon request of our Chief Executive Officer. Pursuant to the terms and conditions of the Consulting Agreement, Dr. Kaul will provide services for approximately 25 to 30 hours per month at a rate of $450 per hour during a six-month initial term, with the option to renew for additional six-month periods unless terminated earlier by either party with 30 days’ notice. Immediate termination by us is permitted for material breach. The termination of the Consulting Agreement will not automatically affect Dr. Kaul’s board service or his eligibility (if any as of the time of such termination) to receive compensation for his board services pursuant to our Amended Director Compensation Plan as in effect from time to time.</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subject to the approval of Proposal 4 by our stockholders at the Annual Meeting, we agreed to grant Dr. Kaul an option to purchase a number of shares of our Common Stock representing (when added to the number of shares of our Common Stock subject to any equity awards granted to Dr. Kaul pursuant to the Amended Director Compensation Plan as in effect from time to time) 0.7% of the Share Total (as defined in the Consulting Agreement) as of the date of grant (the “Consultant Option”). Twenty-five percent (25%) of the Consultant Option shall vest after the completion of one year of continuous service; an additional forty-five percent (45%) of the Consultant Option shall vest on the tenth day following the date of our public announcement that we have achieved, on a statistically significant basis, the primary endpoint of our Phase 3 confirmatory trial of roluperidone in schizophrenia at the 12-week timepoint; and the remaining thirty percent (30%) of the Consultant Option shall vest on the tenth day following the date of our public announcement of safety data from the 40-week relapse assessment phase; provided, however, in each case, that Dr. Kaul is providing services pursuant to the Consulting Agreement on each such vesting date. Additionally, during the period Dr. Kaul is providing services under the Consulting Agreement, we agreed to use reasonable efforts to grant him, on no greater than a quarterly basis, top up options (if any) to enable him to hold 0.7% of the Share Total (as adjusted for certain events) as of the applicable date of grant (when added to the number of shares of our Common Stock subject to any equity awards granted to Dr. Kaul pursuant to the Amended Director Compensation Plan and prior awards granted to him pursuant to the Consulting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Private Placement and Support Agreements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October 21, 2025, we entered into the Securities Purchase Agreement with the Investors, pursuant to which we agreed to issue and sell</w:t>
      </w:r>
    </w:p>
    <w:p>
      <w:pPr>
        <w:spacing w:after="0" w:line="27" w:lineRule="exact"/>
        <w:rPr>
          <w:sz w:val="20"/>
          <w:szCs w:val="20"/>
          <w:color w:val="auto"/>
        </w:rPr>
      </w:pPr>
    </w:p>
    <w:p>
      <w:pPr>
        <w:ind w:left="360" w:hanging="244"/>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shares of Series A Preferred Stock, (ii) Preferred Tranche A Warrants to acquire up to 80,000 shares of Series A Preferred Stock and</w:t>
      </w:r>
    </w:p>
    <w:p>
      <w:pPr>
        <w:spacing w:after="0" w:line="9" w:lineRule="exact"/>
        <w:rPr>
          <w:rFonts w:ascii="Times New Roman" w:cs="Times New Roman" w:eastAsia="Times New Roman" w:hAnsi="Times New Roman"/>
          <w:sz w:val="18"/>
          <w:szCs w:val="18"/>
          <w:color w:val="auto"/>
        </w:rPr>
      </w:pPr>
    </w:p>
    <w:p>
      <w:pPr>
        <w:jc w:val="both"/>
        <w:ind w:left="120" w:right="20" w:hanging="4"/>
        <w:spacing w:after="0" w:line="255" w:lineRule="auto"/>
        <w:tabs>
          <w:tab w:leader="none" w:pos="4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Tranche B Warrants to acquire up to 40,000 shares of Series A Preferred Stock. Each share of Series A Preferred Stock was sold at a price per share of $1,000 and has a conversion price of $2.11 per share of Common Stock, subject to the terms and limitations contained in the Certificate of Designation. The Private Placement closed on October 23, 2025.</w:t>
      </w:r>
    </w:p>
    <w:p>
      <w:pPr>
        <w:spacing w:after="0" w:line="18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Federated Hermes Kaufmann Funds also participated in the Private Placement offering purchasing an aggregate of 8,500 shares of Series A Preferred Stock, Preferred Tranche A Warrants to purchase an aggregate of 8,500 shares of Series A Preferred Stock and Preferred Tranche B Warrants to purchase an aggregate of 4,250 shares of Series A Preferred Stock for an aggregated purchase price of $8,500,000.</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Private Placement, the Federated Hermes Kaufmann Funds were the beneficial owners of, in the aggregate, more than 5% of our capital stock. For more information regarding the Investors’ beneficial ownership, see “Item 12. Security Ownership of Certain Beneficial Owners and Management and Related Stockholder Matters”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Securities Purchase Agreement and as a condition to closing of the Private Placement, the Federated Hermes Kaufmann Funds and Boehringer Ingelheim International GmbH each entered into a support agreement (the “Support Agreements”) providing, among other things, that such stockholders will vote all of their shares of Common Stock: in favor of (i) the issuance of shares of Common Stock upon conversion of the Series A Preferred Stock (Proposal 3 as described herein), (ii) an increase to the reserved shares under the Company’s Amended and Restated 2013 Equity Incentive Plan (Proposal 4 as described herein), and (iii) other customary annual stockholder meeting matters (together, the “Support Agreement Proposals”), and against any proposal that conflicts or materially impedes or interferes with the approval of any of the Support Agreement Proposals or that would adversely affect or delay the consummation of the transactions contemplated by the Securities Purchase Agreement. Pursuant to the Securities Purchase Agreement, as soon as practicable following the receipt of the Conversion Stockholder Approval (and in any event no later than the Filing Date, we must file a registration statement on Form S-3 providing for the resale by the Investors, including the Federated Hermes Kaufmann Funds, of shares of Common Stock issuable upon conversion of the Registrable Shares (as defined in the Securities Purchase Agreement, as applicable) and to use commercially reasonable efforts to have the registration statement declared effective within twenty-one (21) days following the Filing Date (or, in the event that the staff of the SEC reviews and has written comments to such registration statement, within forty-five (45) days following the Filing Date). We further agreed to take all steps necessary to keep such registration statement effective at all times until all Registrable Shares have been resold, or there remains no Registrable Shares.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Private Placement</w:t>
      </w:r>
    </w:p>
    <w:p>
      <w:pPr>
        <w:spacing w:after="0" w:line="22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(the “2023 Securities Purchase Agreement”) with the Federated Hermes Kaufmann Funds and Boehringer Ingelheim International GmbH (collectively, the “2023 Investors”), pursuant to which we agreed to issue and sell to the 2023 Investors in a private placement (the “2023 Private Placement”) (i) an aggregate of 1,425,000 shares of our Common Stock, at a purchase price of $10.00 per share, and (ii) in lieu of additional shares of our Common Stock, pre-funded warrants to purchase an aggregate of 575,575 shares of Common Stock, at a purchase price of $9.99 per pre-funded warrant. The price per pre-funded warrant represents the price of $10.00 per share sold in the 2023 Private Placement, minus the $0.01 per share exercise price of each such pre-funded warrant. The pre-funded warrants are exercisable at any time after their original issuance and will not expire until exercised in full. The 2023 Private Placement closed on June 30, 2023, as a result of which we received aggregate net proceeds of approximately $19.6 million after deducting offering expenses of approximately $0.4 million payable by us.</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2023 Securities Purchase Agreement, we filed a registration statement on Form S-3 (File No. 333-273686), which was declared effective by the SEC on August 9, 2023, covering the resale of the Registrable Securities (as such term is defined in the 2023 Securities Purchase Agreement). We have agreed to use our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2023 Securities Purchase Agreement).</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2023 Private Placement, the Federated Hermes Kaufmann Funds were the beneficial owners of, in the aggregate, more than 5% of our capital stock. Boehringer Ingelheim International GmbH became a beneficial owner of more than 5% of our capital stock through the 2023 Private Placement. For more information regarding the 2023 Investors’ beneficial ownership, see “Item 12. Security Ownership of Certain Beneficial Owners and Management and Related Stockholder Matters” above.</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2023 Securities Purchase Agreement, in connection with the 2023 Private Placement, Boehringer Ingelheim International GmbH has the right to designate an observer to attend, subject to certain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exceptions, meetings of the Board and its committees, until the earlier of (i) the occurrence of a Change of Control and (ii) the date that it and its affiliates collectively hold less than 10% of our Common Stock (which shall be calculated by including in the amount of Common Stock held by Boehringer Ingelheim International GmbH and its affiliates any shares of Common Stock issuable upon exercise of any portion of the pre-funded warrant issued to such Investor and not yet exercised). Boehringer Ingelheim International GmbH designated a board observer on August 29, 2023.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and Equity Awards for Executive Officers and Directors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employment arrangements with our executive officers that, among other things, provide for certain change in control benefits, as well as severance benefits for executive officers. For a description of these agreements with our named executive officers, see “Executive Compensation.”</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performance-based restricted stock units to our executive officers and our directors. For a description of these equity awards to our named executive officers and directors, see “Executive Compensation.”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for Executive Officers and Directors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certain of our executive officers. These agreements require us to indemnify these individuals and, in certain cases, affiliates of such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w:t>
            </w:r>
            <w:r>
              <w:rPr>
                <w:rFonts w:ascii="Times New Roman" w:cs="Times New Roman" w:eastAsia="Times New Roman" w:hAnsi="Times New Roman"/>
                <w:sz w:val="10"/>
                <w:szCs w:val="10"/>
                <w:b w:val="1"/>
                <w:bCs w:val="1"/>
                <w:color w:val="auto"/>
                <w:w w:val="99"/>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 warrants and rights</w:t>
            </w:r>
            <w:r>
              <w:rPr>
                <w:rFonts w:ascii="Times New Roman" w:cs="Times New Roman" w:eastAsia="Times New Roman" w:hAnsi="Times New Roman"/>
                <w:sz w:val="10"/>
                <w:szCs w:val="10"/>
                <w:b w:val="1"/>
                <w:bCs w:val="1"/>
                <w:color w:val="auto"/>
              </w:rPr>
              <w:t>(2)</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43"/>
        </w:trPr>
        <w:tc>
          <w:tcPr>
            <w:tcW w:w="4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1,715,443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8.34</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32,361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680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81"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1,487,234 shares subject to outstanding options and 228,209 shares subject to outstanding performance-based restricted stock unit awards.</w:t>
      </w:r>
    </w:p>
    <w:p>
      <w:pPr>
        <w:spacing w:after="0" w:line="230" w:lineRule="exact"/>
        <w:rPr>
          <w:rFonts w:ascii="Times New Roman" w:cs="Times New Roman" w:eastAsia="Times New Roman" w:hAnsi="Times New Roman"/>
          <w:sz w:val="14"/>
          <w:szCs w:val="14"/>
          <w:color w:val="auto"/>
        </w:rPr>
      </w:pPr>
    </w:p>
    <w:p>
      <w:pPr>
        <w:ind w:left="540" w:right="20" w:hanging="424"/>
        <w:spacing w:after="0" w:line="261" w:lineRule="auto"/>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reflect the shares of our Common Stock that will be issued in connection with the settlement of performance-based restricted stock unit awards, which have no exercise price.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notices with respect to two or more stockholders sharing the same address by delivering a single proxy statement or a single notice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Minerva Neurosciences, Inc. stockholders will be “householding” the Company’s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or the Company. Direct your written request to Minerva Neurosciences, Inc. to the attention of our Corporate Secretary, 1500 District Avenue, Burlington, MA 01803, or contact our Corporate Secretary at (617) 600-7373. Stockholders who currently receive multiple copies of the proxy statement at their addresses and would like to request “householding” of their communications should contact their brokers.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24, 2025</w:t>
      </w:r>
    </w:p>
    <w:p>
      <w:pPr>
        <w:spacing w:after="0" w:line="221"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2024 is available without charge upon written request to: Corporate Secretary, Minerva Neurosciences, Inc., 1500 District Avenue, Burlington, MA 01803.</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A</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39"/>
          </w:cols>
          <w:pgMar w:left="320" w:top="48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3" w:lineRule="exact"/>
        <w:rPr>
          <w:sz w:val="20"/>
          <w:szCs w:val="20"/>
          <w:color w:val="auto"/>
        </w:rPr>
      </w:pPr>
    </w:p>
    <w:p>
      <w:pPr>
        <w:jc w:val="both"/>
        <w:ind w:left="120" w:right="20" w:firstLine="881"/>
        <w:spacing w:after="0" w:line="286" w:lineRule="auto"/>
        <w:rPr>
          <w:sz w:val="20"/>
          <w:szCs w:val="20"/>
          <w:color w:val="auto"/>
        </w:rPr>
      </w:pPr>
      <w:r>
        <w:rPr>
          <w:rFonts w:ascii="Times New Roman" w:cs="Times New Roman" w:eastAsia="Times New Roman" w:hAnsi="Times New Roman"/>
          <w:sz w:val="18"/>
          <w:szCs w:val="18"/>
          <w:color w:val="auto"/>
        </w:rPr>
        <w:t>Minerva Neurosciences,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155"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 Minerva Neurosciences, Inc. The Certificate of Incorporation of the Corporation was originally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Secretary of State of the State of Delaware on April 23, 2007 under the original name of the Corporation, Cyrenaic Pharmaceuticals, Inc., and was corrected by a Certificate of Correction filed with the Secretary of State of the State of Delaware on May 16, 2007. An Amended and Restated Certificate of Incorporation was filed with the Secretary of State of the State of Delaware on August 29, 2007 and was amended by the Certificate of Merger filed with the Secretary of State of the State of Delaware on November 12, 2013. A second Amended and Restated Certificate of Incorporation was filed with the Secretary of State of the State of Delaware on June 9, 2014 and a Certificate of Amendment of the Amended and Restated Certificate of Incorporation was filed with the Secretary of State of the State of Delaware on June 17, 2022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DGCL, adopted resolutions amending the Certificate of Incorporation, as follows:</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RESOLVED, that Article Fourth, Section A shall be amended and restated to read in its entirety as follows:</w:t>
      </w:r>
    </w:p>
    <w:p>
      <w:pPr>
        <w:spacing w:after="0" w:line="225"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total number of shares of stock which the Corporation shall have authority to issue is 350,000,000 shares, consisting of 250,000,000 shares of Common Stock, par value $0.0001 per share (“Common Stock”) and 100,000,000 shares of Preferred Stock, par value $0.0001 per share (“Preferred Stock”).”</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jc w:val="both"/>
        <w:ind w:left="12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their approval, and was duly adopted in accordance with the provisions of Section 242 of the DGCL.</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has caused this Certificate of Amendment to be signed by its duly authorized officer on this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 202  .</w:t>
      </w:r>
    </w:p>
    <w:p>
      <w:pPr>
        <w:spacing w:after="0" w:line="200" w:lineRule="exact"/>
        <w:rPr>
          <w:sz w:val="20"/>
          <w:szCs w:val="20"/>
          <w:color w:val="auto"/>
        </w:rPr>
      </w:pPr>
    </w:p>
    <w:p>
      <w:pPr>
        <w:spacing w:after="0" w:line="40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0" w:lineRule="exact"/>
        <w:rPr>
          <w:sz w:val="20"/>
          <w:szCs w:val="20"/>
          <w:color w:val="auto"/>
        </w:rPr>
      </w:pPr>
    </w:p>
    <w:p>
      <w:pPr>
        <w:spacing w:after="0" w:line="3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320" w:top="482" w:right="5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AND RESTATED 2013 EQUITY INCENTIVE PLAN</w:t>
      </w:r>
    </w:p>
    <w:p>
      <w:pPr>
        <w:spacing w:after="0" w:line="203" w:lineRule="exact"/>
        <w:rPr>
          <w:sz w:val="20"/>
          <w:szCs w:val="20"/>
          <w:color w:val="auto"/>
        </w:rPr>
      </w:pPr>
    </w:p>
    <w:p>
      <w:pPr>
        <w:jc w:val="center"/>
        <w:ind w:left="1660"/>
        <w:spacing w:after="0" w:line="253" w:lineRule="auto"/>
        <w:rPr>
          <w:sz w:val="20"/>
          <w:szCs w:val="20"/>
          <w:color w:val="auto"/>
        </w:rPr>
      </w:pPr>
      <w:r>
        <w:rPr>
          <w:rFonts w:ascii="Times New Roman" w:cs="Times New Roman" w:eastAsia="Times New Roman" w:hAnsi="Times New Roman"/>
          <w:sz w:val="18"/>
          <w:szCs w:val="18"/>
          <w:b w:val="1"/>
          <w:bCs w:val="1"/>
          <w:color w:val="auto"/>
        </w:rPr>
        <w:t>ADOPTED BY BOARD OF DIRECTORS ON: DECEMBER 19, 2013 APPROVED BY THE STOCKHOLDERS ON: DECEMBER 19, 2013 AMENDED AND RESTATED BY THE BOARD OF DIRECTORS ON: APRIL 29, 2014 AMENDMENT AND RESTATEMENT APPROVED BY THE STOCKHOLDERS ON: JUNE 2, 2014 AMENDED AND RESTATED BY THE BOARD OF DIRECTORS ON: APRIL 21, 2018 AMENDMENT AND RESTATEMENT APPROVED BY THE STOCKHOLDERS ON: JUNE 7, 2018 AMENDED AND RESTATED BY THE BOARD OF DIRECTORS ON: APRIL 17, 2020 AMENDMENT AND RESTATEMENT APPROVED BY THE STOCKHOLDERS ON: JUNE 19, 2020 AMENDED AND RESTATED BY THE BOARD OF DIRECTORS ON: JULY 30, 2023 AMENDMENT AND RESTATEMENT APPROVED BY THE STOCKHOLDERS ON: SEPTEMBER 27, 2023 AMENDED AND RESTATED BY THE BOARD OF DIRECTORS ON: NOVEMBER 14, 2025 AMENDMENT AND RESTATEMENT APPROVED BY THE STOCKHOLDERS ON:                , 2025</w:t>
      </w: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39"/>
          </w:cols>
          <w:pgMar w:left="320" w:top="482"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4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tcPr>
          <w:p>
            <w:pPr>
              <w:spacing w:after="0"/>
              <w:rPr>
                <w:sz w:val="20"/>
                <w:szCs w:val="20"/>
                <w:color w:val="auto"/>
              </w:rPr>
            </w:pPr>
          </w:p>
        </w:tc>
      </w:tr>
      <w:tr>
        <w:trPr>
          <w:trHeight w:val="408"/>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1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8"/>
              </w:rPr>
              <w:t>1. GENERAL.</w:t>
            </w:r>
          </w:p>
        </w:tc>
        <w:tc>
          <w:tcPr>
            <w:tcW w:w="7980" w:type="dxa"/>
            <w:vAlign w:val="bottom"/>
            <w:gridSpan w:val="13"/>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B-3</w:t>
            </w:r>
          </w:p>
        </w:tc>
      </w:tr>
      <w:tr>
        <w:trPr>
          <w:trHeight w:val="250"/>
        </w:trPr>
        <w:tc>
          <w:tcPr>
            <w:tcW w:w="3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2. SHARES SUBJECT TO THE PLAN.</w:t>
            </w:r>
          </w:p>
        </w:tc>
        <w:tc>
          <w:tcPr>
            <w:tcW w:w="6040" w:type="dxa"/>
            <w:vAlign w:val="bottom"/>
            <w:gridSpan w:val="5"/>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B-3</w:t>
            </w:r>
          </w:p>
        </w:tc>
      </w:tr>
      <w:tr>
        <w:trPr>
          <w:trHeight w:val="250"/>
        </w:trPr>
        <w:tc>
          <w:tcPr>
            <w:tcW w:w="3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3. ELIGIBILITY AND LIMITATIONS</w:t>
            </w:r>
          </w:p>
        </w:tc>
        <w:tc>
          <w:tcPr>
            <w:tcW w:w="6080" w:type="dxa"/>
            <w:vAlign w:val="bottom"/>
            <w:gridSpan w:val="6"/>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B-4</w:t>
            </w:r>
          </w:p>
        </w:tc>
      </w:tr>
      <w:tr>
        <w:trPr>
          <w:trHeight w:val="250"/>
        </w:trPr>
        <w:tc>
          <w:tcPr>
            <w:tcW w:w="4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4. OPTIONS AND STOCK APPRECIATION RIGHTS</w:t>
            </w:r>
          </w:p>
        </w:tc>
        <w:tc>
          <w:tcPr>
            <w:tcW w:w="4840" w:type="dxa"/>
            <w:vAlign w:val="bottom"/>
            <w:gridSpan w:val="3"/>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B-5</w:t>
            </w:r>
          </w:p>
        </w:tc>
      </w:tr>
      <w:tr>
        <w:trPr>
          <w:trHeight w:val="250"/>
        </w:trPr>
        <w:tc>
          <w:tcPr>
            <w:tcW w:w="91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5. AWARDS OTHER THAN OPTIONS AND STOCK APPRECIATION RIGHTS.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B-8</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7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6. ADJUSTMENTS UPON CHANGES IN COMMON STOCK; OTHER CORPORATE EVENTS.</w:t>
            </w:r>
          </w:p>
        </w:tc>
        <w:tc>
          <w:tcPr>
            <w:tcW w:w="15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B-10</w:t>
            </w:r>
          </w:p>
        </w:tc>
      </w:tr>
      <w:tr>
        <w:trPr>
          <w:trHeight w:val="250"/>
        </w:trPr>
        <w:tc>
          <w:tcPr>
            <w:tcW w:w="18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7. ADMINISTRATION</w:t>
            </w:r>
          </w:p>
        </w:tc>
        <w:tc>
          <w:tcPr>
            <w:tcW w:w="7280" w:type="dxa"/>
            <w:vAlign w:val="bottom"/>
            <w:gridSpan w:val="9"/>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B-11</w:t>
            </w:r>
          </w:p>
        </w:tc>
      </w:tr>
      <w:tr>
        <w:trPr>
          <w:trHeight w:val="250"/>
        </w:trPr>
        <w:tc>
          <w:tcPr>
            <w:tcW w:w="91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8. TAX WITHHOLDING</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B-13</w:t>
            </w:r>
          </w:p>
        </w:tc>
      </w:tr>
      <w:tr>
        <w:trPr>
          <w:trHeight w:val="250"/>
        </w:trPr>
        <w:tc>
          <w:tcPr>
            <w:tcW w:w="19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rPr>
              <w:t>9. MISCELLANEOUS.</w:t>
            </w:r>
          </w:p>
        </w:tc>
        <w:tc>
          <w:tcPr>
            <w:tcW w:w="7140" w:type="dxa"/>
            <w:vAlign w:val="bottom"/>
            <w:gridSpan w:val="8"/>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B-14</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3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10. COVENANTS OF THE COMPANY.</w:t>
            </w:r>
          </w:p>
        </w:tc>
        <w:tc>
          <w:tcPr>
            <w:tcW w:w="5980" w:type="dxa"/>
            <w:vAlign w:val="bottom"/>
            <w:gridSpan w:val="4"/>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B-17</w:t>
            </w:r>
          </w:p>
        </w:tc>
      </w:tr>
      <w:tr>
        <w:trPr>
          <w:trHeight w:val="250"/>
        </w:trPr>
        <w:tc>
          <w:tcPr>
            <w:tcW w:w="91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11. 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B-17</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91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12. TERMINATION OF THE PLAN.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B-17</w:t>
            </w:r>
          </w:p>
        </w:tc>
      </w:tr>
      <w:tr>
        <w:trPr>
          <w:trHeight w:val="250"/>
        </w:trPr>
        <w:tc>
          <w:tcPr>
            <w:tcW w:w="28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13. DEFINITIONS</w:t>
            </w:r>
          </w:p>
        </w:tc>
        <w:tc>
          <w:tcPr>
            <w:tcW w:w="6220" w:type="dxa"/>
            <w:vAlign w:val="bottom"/>
            <w:gridSpan w:val="7"/>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B-17</w:t>
            </w:r>
          </w:p>
        </w:tc>
      </w:tr>
      <w:tr>
        <w:trPr>
          <w:trHeight w:val="750"/>
        </w:trPr>
        <w:tc>
          <w:tcPr>
            <w:tcW w:w="1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4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color w:val="auto"/>
              </w:rPr>
              <w:t>B-2</w:t>
            </w:r>
          </w:p>
        </w:tc>
        <w:tc>
          <w:tcPr>
            <w:tcW w:w="186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00" w:hanging="184"/>
        <w:spacing w:after="0"/>
        <w:tabs>
          <w:tab w:leader="none" w:pos="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815"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39"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18"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The Plan will come into existence on the Effective Date.</w:t>
      </w:r>
    </w:p>
    <w:p>
      <w:pPr>
        <w:spacing w:after="0" w:line="225"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829"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any adjustments as necessary to implement any Capitalization Adjustments, the aggregate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will not exceed the sum of (i) 12,500,000 shares that were approved at the Company’s 2025 Annual Meeting of Stockholders, plus (ii) 700,000 shares that were approved at the Company’s 2023 Annual Meeting of Stockholders, plus (iii) 250,000 shares that were approved at the Company’s 2020 Annual Meeting of Stockholders, plus (iv) the Prior Plan’s Available Reserve; plus, (v) the number of Returning Shares, if any, as such shares become available from time to time.</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5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43,736,751 shares.</w:t>
      </w:r>
    </w:p>
    <w:p>
      <w:pPr>
        <w:spacing w:after="0" w:line="170"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767"/>
        <w:spacing w:after="0" w:line="257" w:lineRule="auto"/>
        <w:tabs>
          <w:tab w:leader="none" w:pos="1119" w:val="left"/>
        </w:tabs>
        <w:numPr>
          <w:ilvl w:val="2"/>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jc w:val="both"/>
        <w:ind w:left="120" w:firstLine="767"/>
        <w:spacing w:after="0" w:line="259" w:lineRule="auto"/>
        <w:tabs>
          <w:tab w:leader="none" w:pos="1156" w:val="left"/>
        </w:tabs>
        <w:numPr>
          <w:ilvl w:val="2"/>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or</w:t>
      </w: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767"/>
        <w:spacing w:after="0" w:line="268" w:lineRule="auto"/>
        <w:tabs>
          <w:tab w:leader="none" w:pos="1206"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Any shares of Common Stock previously issued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Award that are forfeited back to or repurchased by the Company because of a failure to meet a contingency or condition required for the vesting of such shares will be added back to the Share Reserve and again become available for issuance under the Plan.</w:t>
      </w:r>
    </w:p>
    <w:p>
      <w:pPr>
        <w:spacing w:after="0" w:line="170" w:lineRule="exact"/>
        <w:rPr>
          <w:rFonts w:ascii="Times New Roman" w:cs="Times New Roman" w:eastAsia="Times New Roman" w:hAnsi="Times New Roman"/>
          <w:sz w:val="18"/>
          <w:szCs w:val="18"/>
          <w:b w:val="1"/>
          <w:bCs w:val="1"/>
          <w:color w:val="auto"/>
        </w:rPr>
      </w:pPr>
    </w:p>
    <w:p>
      <w:pPr>
        <w:jc w:val="both"/>
        <w:ind w:left="120" w:firstLine="767"/>
        <w:spacing w:after="0" w:line="257" w:lineRule="auto"/>
        <w:tabs>
          <w:tab w:leader="none" w:pos="1196"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Any shares of Common Stock reacquired or withheld (or not issued)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satisfy the exercise or purchase price of an Award will no longer be available for issuance under the Plan, including any shares subject to an Award that are not delivered to a Participant because such Award is settled through a reduction of shares subject to such Award. In addition, any shares reacquired or withheld (or not issued) by the Company to satisfy a tax withholding obligation in connection with an Award, or any shares repurchased by the Company on the open market with the proceeds from the exercise or purchase price of an Award will no longer be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0" w:right="20" w:firstLine="767"/>
        <w:spacing w:after="0" w:line="286" w:lineRule="auto"/>
        <w:tabs>
          <w:tab w:leader="none" w:pos="1119"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jc w:val="both"/>
        <w:ind w:left="120" w:firstLine="767"/>
        <w:spacing w:after="0" w:line="257" w:lineRule="auto"/>
        <w:tabs>
          <w:tab w:leader="none" w:pos="1169"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2" w:lineRule="exact"/>
        <w:rPr>
          <w:rFonts w:ascii="Times New Roman" w:cs="Times New Roman" w:eastAsia="Times New Roman" w:hAnsi="Times New Roman"/>
          <w:sz w:val="18"/>
          <w:szCs w:val="18"/>
          <w:b w:val="1"/>
          <w:bCs w:val="1"/>
          <w:color w:val="auto"/>
        </w:rPr>
      </w:pPr>
    </w:p>
    <w:p>
      <w:pPr>
        <w:jc w:val="both"/>
        <w:ind w:left="120" w:firstLine="767"/>
        <w:spacing w:after="0" w:line="268" w:lineRule="auto"/>
        <w:tabs>
          <w:tab w:leader="none" w:pos="1219"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jc w:val="both"/>
        <w:ind w:left="120" w:right="20" w:firstLine="767"/>
        <w:spacing w:after="0" w:line="262" w:lineRule="auto"/>
        <w:tabs>
          <w:tab w:leader="none" w:pos="1209"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767"/>
        <w:spacing w:after="0" w:line="263" w:lineRule="auto"/>
        <w:tabs>
          <w:tab w:leader="none" w:pos="1159"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of Common Stock subject to an Award, as determined by the Board and contained in the applicable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jc w:val="both"/>
        <w:ind w:lef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58" w:lineRule="exact"/>
        <w:rPr>
          <w:sz w:val="20"/>
          <w:szCs w:val="20"/>
          <w:color w:val="auto"/>
        </w:rPr>
      </w:pPr>
    </w:p>
    <w:p>
      <w:pPr>
        <w:jc w:val="both"/>
        <w:ind w:left="120" w:right="20" w:firstLine="767"/>
        <w:spacing w:after="0" w:line="256" w:lineRule="auto"/>
        <w:tabs>
          <w:tab w:leader="none" w:pos="1209"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Vesting Requirements</w:t>
      </w:r>
      <w:r>
        <w:rPr>
          <w:rFonts w:ascii="Times New Roman" w:cs="Times New Roman" w:eastAsia="Times New Roman" w:hAnsi="Times New Roman"/>
          <w:sz w:val="18"/>
          <w:szCs w:val="18"/>
          <w:color w:val="auto"/>
        </w:rPr>
        <w:t>. The vesting period for each Award granted following the Effective Date, other than an Excepted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(as defined below), must be at least equal to twelve months; provided, however, nothing in this Section 3(b)(vi) shall limit the Administrator’s authority to accelerate the vesting of Awards as set forth in Section 6 or Section 7; and, provided further, notwithstanding the foregoing, (i) up to 5% of the shares of Common Stock authorized for issuance under the Plan may be utilized for Awards with a vesting period that is less than twelve months,</w:t>
      </w:r>
    </w:p>
    <w:p>
      <w:pPr>
        <w:spacing w:after="0" w:line="3" w:lineRule="exact"/>
        <w:rPr>
          <w:rFonts w:ascii="Times New Roman" w:cs="Times New Roman" w:eastAsia="Times New Roman" w:hAnsi="Times New Roman"/>
          <w:sz w:val="18"/>
          <w:szCs w:val="18"/>
          <w:b w:val="1"/>
          <w:bCs w:val="1"/>
          <w:color w:val="auto"/>
        </w:rPr>
      </w:pPr>
    </w:p>
    <w:p>
      <w:pPr>
        <w:jc w:val="both"/>
        <w:ind w:left="120" w:hanging="4"/>
        <w:spacing w:after="0" w:line="253" w:lineRule="auto"/>
        <w:tabs>
          <w:tab w:leader="none" w:pos="3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granted as substitute Awards in replacement of other Awards (or awards previously granted by an entity being acquired (or assets of which are being acquired)) that were scheduled to vest within the twelve month period following the grant date or (iii) Awards may be granted in connection with an elective deferral of cash compensation that, absent a deferral election, otherwise would have been paid to the grantee within the twelve month period following the grant date (each such Award, an “</w:t>
      </w:r>
      <w:r>
        <w:rPr>
          <w:rFonts w:ascii="Times New Roman" w:cs="Times New Roman" w:eastAsia="Times New Roman" w:hAnsi="Times New Roman"/>
          <w:sz w:val="18"/>
          <w:szCs w:val="18"/>
          <w:b w:val="1"/>
          <w:bCs w:val="1"/>
          <w:i w:val="1"/>
          <w:iCs w:val="1"/>
          <w:color w:val="auto"/>
        </w:rPr>
        <w:t>Excepted Award</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20" w:right="20" w:firstLine="436"/>
        <w:spacing w:after="0" w:line="286" w:lineRule="auto"/>
        <w:tabs>
          <w:tab w:leader="none" w:pos="80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82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179" w:lineRule="exact"/>
        <w:rPr>
          <w:sz w:val="20"/>
          <w:szCs w:val="20"/>
          <w:color w:val="auto"/>
        </w:rPr>
      </w:pPr>
    </w:p>
    <w:p>
      <w:pPr>
        <w:ind w:left="300" w:hanging="184"/>
        <w:spacing w:after="0"/>
        <w:tabs>
          <w:tab w:leader="none" w:pos="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left="120" w:right="20" w:firstLine="436"/>
        <w:spacing w:after="0" w:line="286" w:lineRule="auto"/>
        <w:tabs>
          <w:tab w:leader="none" w:pos="81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3(b)(iii) regarding Ten Percent Stockholders, no Option or SAR will be exercisable after the expiration of ten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82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3(b)(iii)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Change in Control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1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76" w:lineRule="exact"/>
        <w:rPr>
          <w:sz w:val="20"/>
          <w:szCs w:val="20"/>
          <w:color w:val="auto"/>
        </w:rPr>
      </w:pPr>
    </w:p>
    <w:p>
      <w:pPr>
        <w:ind w:left="1100" w:hanging="213"/>
        <w:spacing w:after="0"/>
        <w:tabs>
          <w:tab w:leader="none" w:pos="110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767"/>
        <w:spacing w:after="0" w:line="266" w:lineRule="auto"/>
        <w:tabs>
          <w:tab w:leader="none" w:pos="116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1" w:lineRule="exact"/>
        <w:rPr>
          <w:rFonts w:ascii="Times New Roman" w:cs="Times New Roman" w:eastAsia="Times New Roman" w:hAnsi="Times New Roman"/>
          <w:sz w:val="18"/>
          <w:szCs w:val="18"/>
          <w:b w:val="1"/>
          <w:bCs w:val="1"/>
          <w:color w:val="auto"/>
        </w:rPr>
      </w:pPr>
    </w:p>
    <w:p>
      <w:pPr>
        <w:jc w:val="both"/>
        <w:ind w:left="120" w:firstLine="767"/>
        <w:spacing w:after="0" w:line="256" w:lineRule="auto"/>
        <w:tabs>
          <w:tab w:leader="none" w:pos="124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delivery to the Company (either by actual delivery or attestation) of shares of Common Stock that are already </w:t>
      </w: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18"/>
          <w:szCs w:val="18"/>
          <w:color w:val="auto"/>
        </w:rPr>
        <w:t xml:space="preserve">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6" w:lineRule="exact"/>
        <w:rPr>
          <w:rFonts w:ascii="Times New Roman" w:cs="Times New Roman" w:eastAsia="Times New Roman" w:hAnsi="Times New Roman"/>
          <w:sz w:val="18"/>
          <w:szCs w:val="18"/>
          <w:b w:val="1"/>
          <w:bCs w:val="1"/>
          <w:color w:val="auto"/>
        </w:rPr>
      </w:pPr>
    </w:p>
    <w:p>
      <w:pPr>
        <w:jc w:val="both"/>
        <w:ind w:left="120" w:right="20" w:firstLine="767"/>
        <w:spacing w:after="0" w:line="261" w:lineRule="auto"/>
        <w:tabs>
          <w:tab w:leader="none" w:pos="120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5" w:lineRule="exact"/>
        <w:rPr>
          <w:rFonts w:ascii="Times New Roman" w:cs="Times New Roman" w:eastAsia="Times New Roman" w:hAnsi="Times New Roman"/>
          <w:sz w:val="18"/>
          <w:szCs w:val="18"/>
          <w:b w:val="1"/>
          <w:bCs w:val="1"/>
          <w:color w:val="auto"/>
        </w:rPr>
      </w:pPr>
    </w:p>
    <w:p>
      <w:pPr>
        <w:ind w:left="1140" w:hanging="253"/>
        <w:spacing w:after="0"/>
        <w:tabs>
          <w:tab w:leader="none" w:pos="114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any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form of consideration that may be acceptable to the Board and permissible under Applicable Law.</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57" w:lineRule="auto"/>
        <w:tabs>
          <w:tab w:leader="none" w:pos="83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436"/>
        <w:spacing w:after="0" w:line="259" w:lineRule="auto"/>
        <w:tabs>
          <w:tab w:leader="none" w:pos="8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767"/>
        <w:spacing w:after="0" w:line="268" w:lineRule="auto"/>
        <w:tabs>
          <w:tab w:leader="none" w:pos="1106"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8" w:lineRule="exact"/>
        <w:rPr>
          <w:sz w:val="20"/>
          <w:szCs w:val="20"/>
          <w:color w:val="auto"/>
        </w:rPr>
      </w:pPr>
    </w:p>
    <w:p>
      <w:pPr>
        <w:jc w:val="both"/>
        <w:ind w:left="120" w:right="20" w:firstLine="767"/>
        <w:spacing w:after="0" w:line="268" w:lineRule="auto"/>
        <w:tabs>
          <w:tab w:leader="none" w:pos="115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Notwithstanding </w:t>
      </w:r>
      <w:r>
        <w:rPr>
          <w:rFonts w:ascii="Times New Roman" w:cs="Times New Roman" w:eastAsia="Times New Roman" w:hAnsi="Times New Roman"/>
          <w:sz w:val="18"/>
          <w:szCs w:val="18"/>
          <w:color w:val="auto"/>
        </w:rPr>
        <w:t>the foregoing, subject to the execution of transfer documentation in a format acceptable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78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Section 3(b)(vi), the Board may impose such restrictions on or conditions to the vesting and/or exercisability of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57" w:lineRule="auto"/>
        <w:tabs>
          <w:tab w:leader="none" w:pos="81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436"/>
        <w:spacing w:after="0" w:line="259" w:lineRule="auto"/>
        <w:tabs>
          <w:tab w:leader="none" w:pos="82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79" w:lineRule="exact"/>
        <w:rPr>
          <w:rFonts w:ascii="Times New Roman" w:cs="Times New Roman" w:eastAsia="Times New Roman" w:hAnsi="Times New Roman"/>
          <w:sz w:val="18"/>
          <w:szCs w:val="18"/>
          <w:b w:val="1"/>
          <w:bCs w:val="1"/>
          <w:color w:val="auto"/>
        </w:rPr>
      </w:pPr>
    </w:p>
    <w:p>
      <w:pPr>
        <w:ind w:left="120" w:right="20" w:firstLine="767"/>
        <w:spacing w:after="0" w:line="286" w:lineRule="auto"/>
        <w:tabs>
          <w:tab w:leader="none" w:pos="1106"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three </w:t>
      </w:r>
      <w:r>
        <w:rPr>
          <w:rFonts w:ascii="Times New Roman" w:cs="Times New Roman" w:eastAsia="Times New Roman" w:hAnsi="Times New Roman"/>
          <w:sz w:val="18"/>
          <w:szCs w:val="18"/>
          <w:b w:val="1"/>
          <w:bCs w:val="1"/>
          <w:color w:val="auto"/>
        </w:rPr>
        <w:t>months</w:t>
      </w:r>
      <w:r>
        <w:rPr>
          <w:rFonts w:ascii="Times New Roman" w:cs="Times New Roman" w:eastAsia="Times New Roman" w:hAnsi="Times New Roman"/>
          <w:sz w:val="18"/>
          <w:szCs w:val="18"/>
          <w:color w:val="auto"/>
        </w:rPr>
        <w:t xml:space="preserve"> following the date of such termination if such termination is a termination without Cause (other than any termination due to the Participant’s Disability or death);</w:t>
      </w:r>
    </w:p>
    <w:p>
      <w:pPr>
        <w:spacing w:after="0" w:line="159" w:lineRule="exact"/>
        <w:rPr>
          <w:sz w:val="20"/>
          <w:szCs w:val="20"/>
          <w:color w:val="auto"/>
        </w:rPr>
      </w:pPr>
    </w:p>
    <w:p>
      <w:pPr>
        <w:ind w:left="1160" w:hanging="273"/>
        <w:spacing w:after="0"/>
        <w:tabs>
          <w:tab w:leader="none" w:pos="11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1" w:lineRule="exact"/>
        <w:rPr>
          <w:rFonts w:ascii="Times New Roman" w:cs="Times New Roman" w:eastAsia="Times New Roman" w:hAnsi="Times New Roman"/>
          <w:sz w:val="18"/>
          <w:szCs w:val="18"/>
          <w:b w:val="1"/>
          <w:bCs w:val="1"/>
          <w:color w:val="auto"/>
        </w:rPr>
      </w:pPr>
    </w:p>
    <w:p>
      <w:pPr>
        <w:ind w:left="1200" w:hanging="313"/>
        <w:spacing w:after="0"/>
        <w:tabs>
          <w:tab w:leader="none" w:pos="12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months</w:t>
      </w:r>
      <w:r>
        <w:rPr>
          <w:rFonts w:ascii="Times New Roman" w:cs="Times New Roman" w:eastAsia="Times New Roman" w:hAnsi="Times New Roman"/>
          <w:sz w:val="18"/>
          <w:szCs w:val="18"/>
          <w:color w:val="auto"/>
        </w:rPr>
        <w:t xml:space="preserve">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left="120" w:right="20" w:firstLine="767"/>
        <w:spacing w:after="0" w:line="286" w:lineRule="auto"/>
        <w:tabs>
          <w:tab w:leader="none" w:pos="119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months</w:t>
      </w:r>
      <w:r>
        <w:rPr>
          <w:rFonts w:ascii="Times New Roman" w:cs="Times New Roman" w:eastAsia="Times New Roman" w:hAnsi="Times New Roman"/>
          <w:sz w:val="18"/>
          <w:szCs w:val="18"/>
          <w:color w:val="auto"/>
        </w:rPr>
        <w:t xml:space="preserve"> following the date of the Participant’s death if such death occurs following the date of such termination but during the period such Award is otherwise exercisable (as provided in (i) or (ii) above).</w:t>
      </w:r>
    </w:p>
    <w:p>
      <w:pPr>
        <w:spacing w:after="0" w:line="15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jc w:val="both"/>
        <w:ind w:left="120" w:right="20" w:firstLine="767"/>
        <w:spacing w:after="0" w:line="259" w:lineRule="auto"/>
        <w:tabs>
          <w:tab w:leader="none" w:pos="110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3" w:lineRule="exact"/>
        <w:rPr>
          <w:sz w:val="20"/>
          <w:szCs w:val="20"/>
          <w:color w:val="auto"/>
        </w:rPr>
      </w:pPr>
    </w:p>
    <w:p>
      <w:pPr>
        <w:jc w:val="both"/>
        <w:ind w:left="120" w:firstLine="436"/>
        <w:spacing w:after="0" w:line="255" w:lineRule="auto"/>
        <w:tabs>
          <w:tab w:leader="none" w:pos="785"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 is a non-exempt employee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Change in Control in which such Award is not assumed, continued or substituted, or (iii)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4"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 Stock or their equivalents.</w:t>
      </w:r>
    </w:p>
    <w:p>
      <w:pPr>
        <w:spacing w:after="0" w:line="225"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56"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0" w:lineRule="exact"/>
        <w:rPr>
          <w:rFonts w:ascii="Times New Roman" w:cs="Times New Roman" w:eastAsia="Times New Roman" w:hAnsi="Times New Roman"/>
          <w:sz w:val="18"/>
          <w:szCs w:val="18"/>
          <w:b w:val="1"/>
          <w:bCs w:val="1"/>
          <w:color w:val="auto"/>
        </w:rPr>
      </w:pPr>
    </w:p>
    <w:p>
      <w:pPr>
        <w:ind w:left="1100" w:hanging="213"/>
        <w:spacing w:after="0"/>
        <w:tabs>
          <w:tab w:leader="none" w:pos="1100"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jc w:val="both"/>
        <w:ind w:left="120" w:right="20" w:firstLine="1208"/>
        <w:spacing w:after="0" w:line="281" w:lineRule="auto"/>
        <w:tabs>
          <w:tab w:leader="none" w:pos="1586" w:val="left"/>
        </w:tabs>
        <w:numPr>
          <w:ilvl w:val="3"/>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64" w:lineRule="exact"/>
        <w:rPr>
          <w:rFonts w:ascii="Times New Roman" w:cs="Times New Roman" w:eastAsia="Times New Roman" w:hAnsi="Times New Roman"/>
          <w:sz w:val="17"/>
          <w:szCs w:val="17"/>
          <w:b w:val="1"/>
          <w:bCs w:val="1"/>
          <w:color w:val="auto"/>
        </w:rPr>
      </w:pPr>
    </w:p>
    <w:p>
      <w:pPr>
        <w:jc w:val="both"/>
        <w:ind w:left="120" w:right="20" w:firstLine="1208"/>
        <w:spacing w:after="0" w:line="256" w:lineRule="auto"/>
        <w:tabs>
          <w:tab w:leader="none" w:pos="1599" w:val="left"/>
        </w:tabs>
        <w:numPr>
          <w:ilvl w:val="3"/>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160" w:hanging="273"/>
        <w:spacing w:after="0"/>
        <w:tabs>
          <w:tab w:leader="none" w:pos="116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jc w:val="both"/>
        <w:ind w:left="120" w:right="20" w:firstLine="1208"/>
        <w:spacing w:after="0" w:line="266" w:lineRule="auto"/>
        <w:tabs>
          <w:tab w:leader="none" w:pos="1597" w:val="left"/>
        </w:tabs>
        <w:numPr>
          <w:ilvl w:val="2"/>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jc w:val="both"/>
        <w:ind w:left="120" w:firstLine="1208"/>
        <w:spacing w:after="0" w:line="256" w:lineRule="auto"/>
        <w:tabs>
          <w:tab w:leader="none" w:pos="1618" w:val="left"/>
        </w:tabs>
        <w:numPr>
          <w:ilvl w:val="2"/>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jc w:val="both"/>
        <w:ind w:left="120" w:right="20" w:firstLine="767"/>
        <w:spacing w:after="0" w:line="291" w:lineRule="auto"/>
        <w:tabs>
          <w:tab w:leader="none" w:pos="1206"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Vesting. </w:t>
      </w:r>
      <w:r>
        <w:rPr>
          <w:rFonts w:ascii="Times New Roman" w:cs="Times New Roman" w:eastAsia="Times New Roman" w:hAnsi="Times New Roman"/>
          <w:sz w:val="17"/>
          <w:szCs w:val="17"/>
          <w:color w:val="auto"/>
        </w:rPr>
        <w:t>Subject to Section 3(b)(vi), the Board may impose such restrictions on or conditions to the vesting of a Restricted Stock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52" w:lineRule="exact"/>
        <w:rPr>
          <w:rFonts w:ascii="Times New Roman" w:cs="Times New Roman" w:eastAsia="Times New Roman" w:hAnsi="Times New Roman"/>
          <w:sz w:val="17"/>
          <w:szCs w:val="17"/>
          <w:b w:val="1"/>
          <w:bCs w:val="1"/>
          <w:color w:val="auto"/>
        </w:rPr>
      </w:pPr>
    </w:p>
    <w:p>
      <w:pPr>
        <w:jc w:val="both"/>
        <w:ind w:left="120" w:firstLine="767"/>
        <w:spacing w:after="0" w:line="257" w:lineRule="auto"/>
        <w:tabs>
          <w:tab w:leader="none" w:pos="1223"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jc w:val="both"/>
        <w:ind w:left="120" w:firstLine="767"/>
        <w:spacing w:after="0" w:line="268" w:lineRule="auto"/>
        <w:tabs>
          <w:tab w:leader="none" w:pos="1173"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Subject to Section 3(b)(v), dividends or dividend equivalents may be paid or credited,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with respect to any shares of Common Stock subject to a Restricted Stock Award or RSU Award, as determined by the Board and specified in the Award Agreement.</w:t>
      </w:r>
    </w:p>
    <w:p>
      <w:pPr>
        <w:spacing w:after="0" w:line="170" w:lineRule="exact"/>
        <w:rPr>
          <w:rFonts w:ascii="Times New Roman" w:cs="Times New Roman" w:eastAsia="Times New Roman" w:hAnsi="Times New Roman"/>
          <w:sz w:val="18"/>
          <w:szCs w:val="18"/>
          <w:b w:val="1"/>
          <w:bCs w:val="1"/>
          <w:color w:val="auto"/>
        </w:rPr>
      </w:pPr>
    </w:p>
    <w:p>
      <w:pPr>
        <w:jc w:val="both"/>
        <w:ind w:left="120" w:right="20" w:firstLine="767"/>
        <w:spacing w:after="0" w:line="268" w:lineRule="auto"/>
        <w:tabs>
          <w:tab w:leader="none" w:pos="1209"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39"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and subject to Section 3(b)(vi), the length of any Performance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Goals to be achieved 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57" w:lineRule="auto"/>
        <w:tabs>
          <w:tab w:leader="none" w:pos="81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(including, but not limited to, Section 3(b)(vi)),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00" w:hanging="184"/>
        <w:spacing w:after="0"/>
        <w:tabs>
          <w:tab w:leader="none" w:pos="3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56" w:lineRule="auto"/>
        <w:tabs>
          <w:tab w:leader="none" w:pos="829"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6" w:lineRule="auto"/>
        <w:tabs>
          <w:tab w:leader="none" w:pos="85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18"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The following provisions will apply to Awards in the event of a Change in Control unless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jc w:val="both"/>
        <w:ind w:left="120" w:firstLine="767"/>
        <w:spacing w:after="0" w:line="255" w:lineRule="auto"/>
        <w:tabs>
          <w:tab w:leader="none" w:pos="1106"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Change in Control, any surviving corporation or acquiring corporation (or the surviving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Change in Control), and any reacquisition or repurchase rights held by the Company in respect of Common Stock issued pursuant to Awards may be assigned by the Company to the successor of the Company (or the successor’s parent company, if any), in connection with such Change in Control.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4" w:lineRule="exact"/>
        <w:rPr>
          <w:rFonts w:ascii="Times New Roman" w:cs="Times New Roman" w:eastAsia="Times New Roman" w:hAnsi="Times New Roman"/>
          <w:sz w:val="18"/>
          <w:szCs w:val="18"/>
          <w:b w:val="1"/>
          <w:bCs w:val="1"/>
          <w:color w:val="auto"/>
        </w:rPr>
      </w:pPr>
    </w:p>
    <w:p>
      <w:pPr>
        <w:jc w:val="both"/>
        <w:ind w:left="120" w:firstLine="767"/>
        <w:spacing w:after="0" w:line="254" w:lineRule="auto"/>
        <w:tabs>
          <w:tab w:leader="none" w:pos="1156"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Change in Control in which the surviving corporation or acquiring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Change in Control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Change in Control (contingent upon the effectiveness of the Change in Control) as the Board determines (or, if the Board does not determine such a date, to the date that is five (5) days prior to the effective time of the Change in Control), and such Awards will terminate if not exercised (if applicable) at or prior to the effective time of the Change in Control, and any reacquisition or repurchase rights held by the Company with respect to such Awards will lapse (contingent upon the effectiveness of the Change in Control). With respect to the vesting of Performance Awards that will accelerate upon the occurrence of a Change in Control pursuant to this subsection (ii) and that have multiple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vesting levels depending on the level of performance, unless otherwise provided in the Award Agreement, the vesting of such Performance Awards will accelerate at 100% of the target level upon the occurrence of the Change in Control. With respect to the vesting of Awards that will accelerate upon the occurrence of a Change in Control pursuant to this subsection (ii) and are settled in the form of a cash payment, such cash payment will be made no later than 30 days following the occurrence of the Change in Control.</w:t>
      </w:r>
    </w:p>
    <w:p>
      <w:pPr>
        <w:spacing w:after="0" w:line="176" w:lineRule="exact"/>
        <w:rPr>
          <w:sz w:val="20"/>
          <w:szCs w:val="20"/>
          <w:color w:val="auto"/>
        </w:rPr>
      </w:pPr>
    </w:p>
    <w:p>
      <w:pPr>
        <w:jc w:val="both"/>
        <w:ind w:left="120" w:firstLine="767"/>
        <w:spacing w:after="0" w:line="257" w:lineRule="auto"/>
        <w:tabs>
          <w:tab w:leader="none" w:pos="1206"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Change in Control in which the surviving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Change in Control; provided, however, that any reacquisition or repurchase rights held by the Company with respect to such Awards will not terminate and may continue to be exercised notwithstanding the Change in Control.</w:t>
      </w:r>
    </w:p>
    <w:p>
      <w:pPr>
        <w:spacing w:after="0" w:line="182" w:lineRule="exact"/>
        <w:rPr>
          <w:rFonts w:ascii="Times New Roman" w:cs="Times New Roman" w:eastAsia="Times New Roman" w:hAnsi="Times New Roman"/>
          <w:sz w:val="18"/>
          <w:szCs w:val="18"/>
          <w:b w:val="1"/>
          <w:bCs w:val="1"/>
          <w:color w:val="auto"/>
        </w:rPr>
      </w:pPr>
    </w:p>
    <w:p>
      <w:pPr>
        <w:jc w:val="both"/>
        <w:ind w:left="120" w:firstLine="767"/>
        <w:spacing w:after="0" w:line="259" w:lineRule="auto"/>
        <w:tabs>
          <w:tab w:leader="none" w:pos="1196"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time of a Change in Control,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825"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Change in Control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jc w:val="both"/>
        <w:ind w:left="120" w:firstLine="436"/>
        <w:spacing w:after="0" w:line="256" w:lineRule="auto"/>
        <w:tabs>
          <w:tab w:leader="none" w:pos="818"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2"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15"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jc w:val="both"/>
        <w:ind w:left="120" w:firstLine="767"/>
        <w:spacing w:after="0" w:line="258" w:lineRule="auto"/>
        <w:tabs>
          <w:tab w:leader="none" w:pos="1118"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767"/>
        <w:spacing w:after="0" w:line="266" w:lineRule="auto"/>
        <w:tabs>
          <w:tab w:leader="none" w:pos="1194"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1200" w:hanging="313"/>
        <w:spacing w:after="0"/>
        <w:tabs>
          <w:tab w:leader="none" w:pos="120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120" w:right="20" w:firstLine="767"/>
        <w:spacing w:after="0" w:line="282" w:lineRule="auto"/>
        <w:tabs>
          <w:tab w:leader="none" w:pos="1223"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1" w:lineRule="exact"/>
        <w:rPr>
          <w:rFonts w:ascii="Times New Roman" w:cs="Times New Roman" w:eastAsia="Times New Roman" w:hAnsi="Times New Roman"/>
          <w:sz w:val="18"/>
          <w:szCs w:val="18"/>
          <w:b w:val="1"/>
          <w:bCs w:val="1"/>
          <w:color w:val="auto"/>
        </w:rPr>
      </w:pPr>
    </w:p>
    <w:p>
      <w:pPr>
        <w:jc w:val="both"/>
        <w:ind w:left="120" w:firstLine="767"/>
        <w:spacing w:after="0" w:line="261" w:lineRule="auto"/>
        <w:tabs>
          <w:tab w:leader="none" w:pos="1146"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Change in Control,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120" w:right="20" w:firstLine="767"/>
        <w:spacing w:after="0" w:line="282" w:lineRule="auto"/>
        <w:tabs>
          <w:tab w:leader="none" w:pos="1214"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jc w:val="both"/>
        <w:ind w:left="120" w:right="20" w:firstLine="767"/>
        <w:spacing w:after="0" w:line="261" w:lineRule="auto"/>
        <w:tabs>
          <w:tab w:leader="none" w:pos="1247"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1" w:lineRule="exact"/>
        <w:rPr>
          <w:rFonts w:ascii="Times New Roman" w:cs="Times New Roman" w:eastAsia="Times New Roman" w:hAnsi="Times New Roman"/>
          <w:sz w:val="18"/>
          <w:szCs w:val="18"/>
          <w:b w:val="1"/>
          <w:bCs w:val="1"/>
          <w:color w:val="auto"/>
        </w:rPr>
      </w:pPr>
    </w:p>
    <w:p>
      <w:pPr>
        <w:ind w:left="1300" w:hanging="413"/>
        <w:spacing w:after="0"/>
        <w:tabs>
          <w:tab w:leader="none" w:pos="130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jc w:val="both"/>
        <w:ind w:left="120" w:firstLine="767"/>
        <w:spacing w:after="0" w:line="261" w:lineRule="auto"/>
        <w:tabs>
          <w:tab w:leader="none" w:pos="1208"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18"/>
          <w:szCs w:val="18"/>
          <w:b w:val="1"/>
          <w:bCs w:val="1"/>
          <w:color w:val="auto"/>
        </w:rPr>
      </w:pPr>
    </w:p>
    <w:p>
      <w:pPr>
        <w:ind w:left="120" w:right="20" w:firstLine="767"/>
        <w:spacing w:after="0" w:line="282" w:lineRule="auto"/>
        <w:tabs>
          <w:tab w:leader="none" w:pos="1146"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left="120" w:right="20" w:firstLine="767"/>
        <w:spacing w:after="0" w:line="261" w:lineRule="auto"/>
        <w:tabs>
          <w:tab w:leader="none" w:pos="122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5"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767"/>
        <w:spacing w:after="0" w:line="268" w:lineRule="auto"/>
        <w:tabs>
          <w:tab w:leader="none" w:pos="1119"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79" w:lineRule="exact"/>
        <w:rPr>
          <w:sz w:val="20"/>
          <w:szCs w:val="20"/>
          <w:color w:val="auto"/>
        </w:rPr>
      </w:pPr>
    </w:p>
    <w:p>
      <w:pPr>
        <w:jc w:val="both"/>
        <w:ind w:left="120" w:right="20" w:firstLine="767"/>
        <w:spacing w:after="0" w:line="262" w:lineRule="auto"/>
        <w:tabs>
          <w:tab w:leader="none" w:pos="115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82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80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Re-Grant of Awards</w:t>
      </w:r>
      <w:r>
        <w:rPr>
          <w:rFonts w:ascii="Times New Roman" w:cs="Times New Roman" w:eastAsia="Times New Roman" w:hAnsi="Times New Roman"/>
          <w:sz w:val="18"/>
          <w:szCs w:val="18"/>
          <w:color w:val="auto"/>
        </w:rPr>
        <w:t>. Neither the Board nor any Committee will have the authority to: (i) reduce the exercise price or strike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76" w:lineRule="exact"/>
        <w:rPr>
          <w:rFonts w:ascii="Times New Roman" w:cs="Times New Roman" w:eastAsia="Times New Roman" w:hAnsi="Times New Roman"/>
          <w:sz w:val="18"/>
          <w:szCs w:val="18"/>
          <w:b w:val="1"/>
          <w:bCs w:val="1"/>
          <w:color w:val="auto"/>
        </w:rPr>
      </w:pPr>
    </w:p>
    <w:p>
      <w:pPr>
        <w:ind w:left="780" w:hanging="224"/>
        <w:spacing w:after="0"/>
        <w:tabs>
          <w:tab w:leader="none" w:pos="78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w:t>
      </w:r>
    </w:p>
    <w:p>
      <w:pPr>
        <w:spacing w:after="0" w:line="31" w:lineRule="exact"/>
        <w:rPr>
          <w:rFonts w:ascii="Times New Roman" w:cs="Times New Roman" w:eastAsia="Times New Roman" w:hAnsi="Times New Roman"/>
          <w:sz w:val="18"/>
          <w:szCs w:val="18"/>
          <w:b w:val="1"/>
          <w:bCs w:val="1"/>
          <w:color w:val="auto"/>
        </w:rPr>
      </w:pPr>
    </w:p>
    <w:p>
      <w:pPr>
        <w:jc w:val="both"/>
        <w:ind w:left="120" w:right="20" w:hanging="4"/>
        <w:spacing w:after="0" w:line="251" w:lineRule="auto"/>
        <w:tabs>
          <w:tab w:leader="none" w:pos="3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90" w:lineRule="exact"/>
        <w:rPr>
          <w:sz w:val="20"/>
          <w:szCs w:val="20"/>
          <w:color w:val="auto"/>
        </w:rPr>
      </w:pPr>
    </w:p>
    <w:p>
      <w:pPr>
        <w:ind w:left="300" w:hanging="184"/>
        <w:spacing w:after="0"/>
        <w:tabs>
          <w:tab w:leader="none" w:pos="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57" w:lineRule="auto"/>
        <w:tabs>
          <w:tab w:leader="none" w:pos="815"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52"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76" w:lineRule="exact"/>
        <w:rPr>
          <w:sz w:val="20"/>
          <w:szCs w:val="20"/>
          <w:color w:val="auto"/>
        </w:rPr>
      </w:pPr>
    </w:p>
    <w:p>
      <w:pPr>
        <w:jc w:val="both"/>
        <w:ind w:left="120" w:firstLine="436"/>
        <w:spacing w:after="0" w:line="253" w:lineRule="auto"/>
        <w:tabs>
          <w:tab w:leader="none" w:pos="818"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jc w:val="both"/>
        <w:ind w:left="120" w:firstLine="436"/>
        <w:spacing w:after="0" w:line="262" w:lineRule="auto"/>
        <w:tabs>
          <w:tab w:leader="none" w:pos="825"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6"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15"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39"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436"/>
        <w:spacing w:after="0" w:line="256" w:lineRule="auto"/>
        <w:tabs>
          <w:tab w:leader="none" w:pos="805"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36"/>
        <w:spacing w:after="0" w:line="268" w:lineRule="auto"/>
        <w:tabs>
          <w:tab w:leader="none" w:pos="82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54" w:lineRule="auto"/>
        <w:tabs>
          <w:tab w:leader="none" w:pos="81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6" w:lineRule="auto"/>
        <w:tabs>
          <w:tab w:leader="none" w:pos="78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1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57" w:lineRule="auto"/>
        <w:tabs>
          <w:tab w:leader="none" w:pos="82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7" w:lineRule="auto"/>
        <w:tabs>
          <w:tab w:leader="none" w:pos="80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72" w:lineRule="exact"/>
        <w:rPr>
          <w:sz w:val="20"/>
          <w:szCs w:val="20"/>
          <w:color w:val="auto"/>
        </w:rPr>
      </w:pPr>
    </w:p>
    <w:p>
      <w:pPr>
        <w:jc w:val="both"/>
        <w:ind w:left="120" w:firstLine="436"/>
        <w:spacing w:after="0" w:line="262" w:lineRule="auto"/>
        <w:tabs>
          <w:tab w:leader="none" w:pos="78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436"/>
        <w:spacing w:after="0" w:line="259" w:lineRule="auto"/>
        <w:tabs>
          <w:tab w:leader="none" w:pos="839"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left="120" w:firstLine="436"/>
        <w:spacing w:after="0" w:line="262" w:lineRule="auto"/>
        <w:tabs>
          <w:tab w:leader="none" w:pos="77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7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53" w:lineRule="auto"/>
        <w:tabs>
          <w:tab w:leader="none" w:pos="839"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9"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1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Delaware, without regard to conflict of law principles that would result in any application of any law other than the law of the State of Delaware.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80" w:hanging="264"/>
        <w:spacing w:after="0"/>
        <w:tabs>
          <w:tab w:leader="none" w:pos="3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firstLine="436"/>
        <w:spacing w:after="0" w:line="255" w:lineRule="auto"/>
        <w:tabs>
          <w:tab w:leader="none" w:pos="829"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4"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left="380" w:hanging="264"/>
        <w:spacing w:after="0"/>
        <w:tabs>
          <w:tab w:leader="none" w:pos="3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may suspend or terminate the Plan at any time. Unless sooner terminated by the Board, the Plan shall terminate upon the earliest to occur of (i) April 20, 2028, (ii) the date on which all shares available for issuance under the Plan shall have been issued as fully vested shares or (iii) the termination of all outstanding Awards in connection with a Change in Control. No Incentive Stock Options may be granted after the tenth anniversary of the earlier of: (i) the Adoption Date, or (ii) the Effective Date. No Awards may be granted under the Plan while the Plan is suspended or after it is terminated.</w:t>
      </w:r>
    </w:p>
    <w:p>
      <w:pPr>
        <w:spacing w:after="0" w:line="179" w:lineRule="exact"/>
        <w:rPr>
          <w:sz w:val="20"/>
          <w:szCs w:val="20"/>
          <w:color w:val="auto"/>
        </w:rPr>
      </w:pPr>
    </w:p>
    <w:p>
      <w:pPr>
        <w:ind w:left="380" w:hanging="264"/>
        <w:spacing w:after="0"/>
        <w:tabs>
          <w:tab w:leader="none" w:pos="3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820" w:hanging="264"/>
        <w:spacing w:after="0"/>
        <w:tabs>
          <w:tab w:leader="none" w:pos="8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Change in Control.</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April 17, 2020.</w:t>
      </w:r>
    </w:p>
    <w:p>
      <w:pPr>
        <w:spacing w:after="0" w:line="225"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3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85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36"/>
        <w:spacing w:after="0" w:line="286" w:lineRule="auto"/>
        <w:tabs>
          <w:tab w:leader="none" w:pos="81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78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1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jc w:val="both"/>
        <w:ind w:left="120" w:right="20" w:firstLine="436"/>
        <w:spacing w:after="0" w:line="257" w:lineRule="auto"/>
        <w:tabs>
          <w:tab w:leader="none" w:pos="82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4" w:lineRule="auto"/>
        <w:tabs>
          <w:tab w:leader="none" w:pos="77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5"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78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4" w:lineRule="exact"/>
        <w:rPr>
          <w:rFonts w:ascii="Times New Roman" w:cs="Times New Roman" w:eastAsia="Times New Roman" w:hAnsi="Times New Roman"/>
          <w:sz w:val="18"/>
          <w:szCs w:val="18"/>
          <w:b w:val="1"/>
          <w:bCs w:val="1"/>
          <w:color w:val="auto"/>
        </w:rPr>
      </w:pPr>
    </w:p>
    <w:p>
      <w:pPr>
        <w:jc w:val="both"/>
        <w:ind w:left="120" w:firstLine="767"/>
        <w:spacing w:after="0" w:line="254" w:lineRule="auto"/>
        <w:tabs>
          <w:tab w:leader="none" w:pos="1127"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6" w:lineRule="exact"/>
        <w:rPr>
          <w:sz w:val="20"/>
          <w:szCs w:val="20"/>
          <w:color w:val="auto"/>
        </w:rPr>
      </w:pPr>
    </w:p>
    <w:p>
      <w:pPr>
        <w:jc w:val="both"/>
        <w:ind w:left="120" w:firstLine="767"/>
        <w:spacing w:after="0" w:line="256" w:lineRule="auto"/>
        <w:tabs>
          <w:tab w:leader="none" w:pos="115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left="120" w:right="20" w:firstLine="767"/>
        <w:spacing w:after="0" w:line="282" w:lineRule="auto"/>
        <w:tabs>
          <w:tab w:leader="none" w:pos="122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61" w:lineRule="exact"/>
        <w:rPr>
          <w:rFonts w:ascii="Times New Roman" w:cs="Times New Roman" w:eastAsia="Times New Roman" w:hAnsi="Times New Roman"/>
          <w:sz w:val="18"/>
          <w:szCs w:val="18"/>
          <w:b w:val="1"/>
          <w:bCs w:val="1"/>
          <w:color w:val="auto"/>
        </w:rPr>
      </w:pPr>
    </w:p>
    <w:p>
      <w:pPr>
        <w:jc w:val="both"/>
        <w:ind w:left="120" w:firstLine="767"/>
        <w:spacing w:after="0" w:line="258" w:lineRule="auto"/>
        <w:tabs>
          <w:tab w:leader="none" w:pos="122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jc w:val="both"/>
        <w:ind w:left="120" w:firstLine="767"/>
        <w:spacing w:after="0" w:line="262" w:lineRule="auto"/>
        <w:tabs>
          <w:tab w:leader="none" w:pos="1146"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the term Change in Control shall not include a sale of assets, merger or other transaction effected exclusively for the purpose of changing the domicile of the Company.</w:t>
      </w:r>
    </w:p>
    <w:p>
      <w:pPr>
        <w:spacing w:after="0" w:line="158" w:lineRule="exact"/>
        <w:rPr>
          <w:sz w:val="20"/>
          <w:szCs w:val="20"/>
          <w:color w:val="auto"/>
        </w:rPr>
      </w:pPr>
    </w:p>
    <w:p>
      <w:pPr>
        <w:ind w:left="820" w:hanging="264"/>
        <w:spacing w:after="0"/>
        <w:tabs>
          <w:tab w:leader="none" w:pos="8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77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880" w:hanging="324"/>
        <w:spacing w:after="0"/>
        <w:tabs>
          <w:tab w:leader="none" w:pos="8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Minerva Neurosciences, Inc.,</w:t>
      </w:r>
      <w:r>
        <w:rPr>
          <w:rFonts w:ascii="Times New Roman" w:cs="Times New Roman" w:eastAsia="Times New Roman" w:hAnsi="Times New Roman"/>
          <w:sz w:val="18"/>
          <w:szCs w:val="18"/>
          <w:color w:val="auto"/>
        </w:rPr>
        <w:t xml:space="preserve"> a Delaware corporation.</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3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8" w:lineRule="exact"/>
        <w:rPr>
          <w:sz w:val="20"/>
          <w:szCs w:val="20"/>
          <w:color w:val="auto"/>
        </w:rPr>
      </w:pPr>
    </w:p>
    <w:p>
      <w:pPr>
        <w:jc w:val="both"/>
        <w:ind w:left="120" w:firstLine="436"/>
        <w:spacing w:after="0" w:line="253" w:lineRule="auto"/>
        <w:tabs>
          <w:tab w:leader="none" w:pos="825"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3"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79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3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2020 provided this Plan is approved by the Company’s stockholders at such meeting.</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15"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860" w:hanging="304"/>
        <w:spacing w:after="0"/>
        <w:tabs>
          <w:tab w:leader="none" w:pos="8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1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3" w:lineRule="exact"/>
        <w:rPr>
          <w:sz w:val="20"/>
          <w:szCs w:val="20"/>
          <w:color w:val="auto"/>
        </w:rPr>
      </w:pPr>
    </w:p>
    <w:p>
      <w:pPr>
        <w:ind w:left="120" w:right="20" w:firstLine="436"/>
        <w:spacing w:after="0" w:line="286" w:lineRule="auto"/>
        <w:tabs>
          <w:tab w:leader="none" w:pos="90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jc w:val="both"/>
        <w:ind w:left="120" w:right="20" w:firstLine="767"/>
        <w:spacing w:after="0" w:line="266" w:lineRule="auto"/>
        <w:tabs>
          <w:tab w:leader="none" w:pos="1117"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left="120" w:right="20" w:firstLine="767"/>
        <w:spacing w:after="0" w:line="282" w:lineRule="auto"/>
        <w:tabs>
          <w:tab w:leader="none" w:pos="1156"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120" w:firstLine="767"/>
        <w:spacing w:after="0" w:line="282" w:lineRule="auto"/>
        <w:tabs>
          <w:tab w:leader="none" w:pos="1206"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jc w:val="both"/>
        <w:ind w:left="120" w:right="20" w:firstLine="436"/>
        <w:spacing w:after="0" w:line="257" w:lineRule="auto"/>
        <w:tabs>
          <w:tab w:leader="none" w:pos="92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88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939"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55" w:lineRule="auto"/>
        <w:tabs>
          <w:tab w:leader="none" w:pos="89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36"/>
        <w:spacing w:after="0" w:line="255" w:lineRule="auto"/>
        <w:tabs>
          <w:tab w:leader="none" w:pos="859"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920" w:hanging="364"/>
        <w:spacing w:after="0"/>
        <w:tabs>
          <w:tab w:leader="none" w:pos="92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859"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952"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39"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1038"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925"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919"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952"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436"/>
        <w:spacing w:after="0" w:line="268" w:lineRule="auto"/>
        <w:tabs>
          <w:tab w:leader="none" w:pos="925"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36"/>
        <w:spacing w:after="0" w:line="253" w:lineRule="auto"/>
        <w:tabs>
          <w:tab w:leader="none" w:pos="898"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jc w:val="both"/>
        <w:ind w:left="120" w:hanging="4"/>
        <w:spacing w:after="0" w:line="251" w:lineRule="auto"/>
        <w:tabs>
          <w:tab w:leader="none" w:pos="3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filing,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8" w:lineRule="exact"/>
        <w:rPr>
          <w:rFonts w:ascii="Times New Roman" w:cs="Times New Roman" w:eastAsia="Times New Roman" w:hAnsi="Times New Roman"/>
          <w:sz w:val="18"/>
          <w:szCs w:val="18"/>
          <w:color w:val="auto"/>
        </w:rPr>
      </w:pPr>
    </w:p>
    <w:p>
      <w:pPr>
        <w:jc w:val="both"/>
        <w:ind w:left="120" w:firstLine="436"/>
        <w:spacing w:after="0" w:line="268" w:lineRule="auto"/>
        <w:tabs>
          <w:tab w:leader="none" w:pos="86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840" w:hanging="284"/>
        <w:spacing w:after="0"/>
        <w:tabs>
          <w:tab w:leader="none" w:pos="84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Amended and Restated Minerva Neurosciences, Inc. 2013 Equity Incentive Plan.</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92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90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98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immediately prior to the Effective Date.</w:t>
      </w:r>
    </w:p>
    <w:p>
      <w:pPr>
        <w:spacing w:after="0" w:line="154" w:lineRule="exact"/>
        <w:rPr>
          <w:rFonts w:ascii="Times New Roman" w:cs="Times New Roman" w:eastAsia="Times New Roman" w:hAnsi="Times New Roman"/>
          <w:sz w:val="18"/>
          <w:szCs w:val="18"/>
          <w:b w:val="1"/>
          <w:bCs w:val="1"/>
          <w:color w:val="auto"/>
        </w:rPr>
      </w:pPr>
    </w:p>
    <w:p>
      <w:pPr>
        <w:ind w:left="900" w:hanging="344"/>
        <w:spacing w:after="0"/>
        <w:tabs>
          <w:tab w:leader="none" w:pos="90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Amended and Restated Minerva Neurosciences, Inc. 2013 Equity Incentive Plan prior to the Effective Date the Plan.</w:t>
      </w:r>
    </w:p>
    <w:p>
      <w:pPr>
        <w:spacing w:after="0" w:line="225" w:lineRule="exact"/>
        <w:rPr>
          <w:rFonts w:ascii="Times New Roman" w:cs="Times New Roman" w:eastAsia="Times New Roman" w:hAnsi="Times New Roman"/>
          <w:sz w:val="18"/>
          <w:szCs w:val="18"/>
          <w:b w:val="1"/>
          <w:bCs w:val="1"/>
          <w:color w:val="auto"/>
        </w:rPr>
      </w:pPr>
    </w:p>
    <w:p>
      <w:pPr>
        <w:ind w:left="900" w:hanging="344"/>
        <w:spacing w:after="0"/>
        <w:tabs>
          <w:tab w:leader="none" w:pos="90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firstLine="436"/>
        <w:spacing w:after="0" w:line="286" w:lineRule="auto"/>
        <w:tabs>
          <w:tab w:leader="none" w:pos="88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55" w:lineRule="exact"/>
        <w:rPr>
          <w:sz w:val="20"/>
          <w:szCs w:val="20"/>
          <w:color w:val="auto"/>
        </w:rPr>
      </w:pPr>
    </w:p>
    <w:p>
      <w:pPr>
        <w:jc w:val="both"/>
        <w:ind w:left="120" w:right="20" w:firstLine="436"/>
        <w:spacing w:after="0" w:line="259" w:lineRule="auto"/>
        <w:tabs>
          <w:tab w:leader="none" w:pos="1036"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9" w:lineRule="exact"/>
        <w:rPr>
          <w:rFonts w:ascii="Times New Roman" w:cs="Times New Roman" w:eastAsia="Times New Roman" w:hAnsi="Times New Roman"/>
          <w:sz w:val="18"/>
          <w:szCs w:val="18"/>
          <w:b w:val="1"/>
          <w:bCs w:val="1"/>
          <w:color w:val="auto"/>
        </w:rPr>
      </w:pPr>
    </w:p>
    <w:p>
      <w:pPr>
        <w:ind w:left="1020" w:hanging="464"/>
        <w:spacing w:after="0"/>
        <w:tabs>
          <w:tab w:leader="none" w:pos="102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w:t>
      </w:r>
    </w:p>
    <w:p>
      <w:pPr>
        <w:spacing w:after="0" w:line="31" w:lineRule="exact"/>
        <w:rPr>
          <w:rFonts w:ascii="Times New Roman" w:cs="Times New Roman" w:eastAsia="Times New Roman" w:hAnsi="Times New Roman"/>
          <w:sz w:val="18"/>
          <w:szCs w:val="18"/>
          <w:b w:val="1"/>
          <w:bCs w:val="1"/>
          <w:color w:val="auto"/>
        </w:rPr>
      </w:pPr>
    </w:p>
    <w:p>
      <w:pPr>
        <w:jc w:val="both"/>
        <w:ind w:left="120" w:right="20" w:hanging="4"/>
        <w:spacing w:after="0" w:line="255" w:lineRule="auto"/>
        <w:tabs>
          <w:tab w:leader="none" w:pos="4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stock award or any portion thereof expires or otherwise terminates without all of the shares covered by such stock award having been issued; (B) are not issued because such stock award or any portion thereof is settled in cash; or (C) are forfeited back to or repurchased by the Company because of the failure to meet a contingency or condition required for the vesting of such shares.</w:t>
      </w:r>
    </w:p>
    <w:p>
      <w:pPr>
        <w:spacing w:after="0" w:line="181" w:lineRule="exact"/>
        <w:rPr>
          <w:rFonts w:ascii="Times New Roman" w:cs="Times New Roman" w:eastAsia="Times New Roman" w:hAnsi="Times New Roman"/>
          <w:sz w:val="18"/>
          <w:szCs w:val="18"/>
          <w:color w:val="auto"/>
        </w:rPr>
      </w:pPr>
    </w:p>
    <w:p>
      <w:pPr>
        <w:ind w:left="120" w:right="20" w:firstLine="436"/>
        <w:spacing w:after="0" w:line="286" w:lineRule="auto"/>
        <w:tabs>
          <w:tab w:leader="none" w:pos="96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1052"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960" w:hanging="404"/>
        <w:spacing w:after="0"/>
        <w:tabs>
          <w:tab w:leader="none" w:pos="96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900" w:hanging="344"/>
        <w:spacing w:after="0"/>
        <w:tabs>
          <w:tab w:leader="none" w:pos="90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000" w:hanging="444"/>
        <w:spacing w:after="0"/>
        <w:tabs>
          <w:tab w:leader="none" w:pos="100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1052"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880" w:hanging="324"/>
        <w:spacing w:after="0"/>
        <w:tabs>
          <w:tab w:leader="none" w:pos="88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900" w:hanging="344"/>
        <w:spacing w:after="0"/>
        <w:tabs>
          <w:tab w:leader="none" w:pos="90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102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87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36"/>
        <w:spacing w:after="0" w:line="259" w:lineRule="auto"/>
        <w:tabs>
          <w:tab w:leader="none" w:pos="1175"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1039"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995"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
      <w:numFmt w:val="bullet"/>
      <w:start w:val="1"/>
    </w:lvl>
    <w:lvl w:ilvl="1">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lowerRoman"/>
      <w:start w:val="3"/>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2"/>
    </w:lvl>
  </w:abstractNum>
  <w:abstractNum w:abstractNumId="25">
    <w:nsid w:val="741226BB"/>
    <w:multiLevelType w:val="hybridMultilevel"/>
    <w:lvl w:ilvl="0">
      <w:lvlJc w:val="left"/>
      <w:lvlText w:val="(%1)"/>
      <w:numFmt w:val="decimal"/>
      <w:start w:val="1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3"/>
    </w:lvl>
  </w:abstractNum>
  <w:abstractNum w:abstractNumId="31">
    <w:nsid w:val="77AE35EB"/>
    <w:multiLevelType w:val="hybridMultilevel"/>
    <w:lvl w:ilvl="0">
      <w:lvlJc w:val="left"/>
      <w:lvlText w:val="(%1)"/>
      <w:numFmt w:val="decimal"/>
      <w:start w:val="2"/>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5"/>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3"/>
    </w:lvl>
  </w:abstractNum>
  <w:abstractNum w:abstractNumId="36">
    <w:nsid w:val="25A70BF7"/>
    <w:multiLevelType w:val="hybridMultilevel"/>
    <w:lvl w:ilvl="0">
      <w:lvlJc w:val="left"/>
      <w:lvlText w:val="(%1)"/>
      <w:numFmt w:val="decimal"/>
      <w:start w:val="4"/>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3"/>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lowerRoman"/>
      <w:start w:val="1"/>
    </w:lvl>
  </w:abstractNum>
  <w:abstractNum w:abstractNumId="44">
    <w:nsid w:val="15014ACB"/>
    <w:multiLevelType w:val="hybridMultilevel"/>
    <w:lvl w:ilvl="0">
      <w:lvlJc w:val="left"/>
      <w:lvlText w:val="(%1)"/>
      <w:numFmt w:val="lowerRoman"/>
      <w:start w:val="3"/>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8">
    <w:nsid w:val="6B947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50">
    <w:nsid w:val="168E121F"/>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1">
    <w:nsid w:val="1EBA5D23"/>
    <w:multiLevelType w:val="hybridMultilevel"/>
    <w:lvl w:ilvl="0">
      <w:lvlJc w:val="left"/>
      <w:lvlText w:val="%1."/>
      <w:numFmt w:val="decimal"/>
      <w:start w:val="4"/>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1"/>
    </w:lvl>
    <w:lvl w:ilvl="1">
      <w:lvlJc w:val="left"/>
      <w:lvlText w:val="(%2)"/>
      <w:numFmt w:val="lowerRoman"/>
      <w:start w:val="1"/>
    </w:lvl>
  </w:abstractNum>
  <w:abstractNum w:abstractNumId="54">
    <w:nsid w:val="540A471C"/>
    <w:multiLevelType w:val="hybridMultilevel"/>
    <w:lvl w:ilvl="0">
      <w:lvlJc w:val="left"/>
      <w:lvlText w:val="(%1)"/>
      <w:numFmt w:val="lowerLetter"/>
      <w:start w:val="4"/>
    </w:lvl>
    <w:lvl w:ilvl="1">
      <w:lvlJc w:val="left"/>
      <w:lvlText w:val="(%2)"/>
      <w:numFmt w:val="lowerRoman"/>
      <w:start w:val="1"/>
    </w:lvl>
  </w:abstractNum>
  <w:abstractNum w:abstractNumId="55">
    <w:nsid w:val="7BD3EE7B"/>
    <w:multiLevelType w:val="hybridMultilevel"/>
    <w:lvl w:ilvl="0">
      <w:lvlJc w:val="left"/>
      <w:lvlText w:val="%1"/>
      <w:numFmt w:val="lowerLetter"/>
      <w:start w:val="1"/>
    </w:lvl>
    <w:lvl w:ilvl="1">
      <w:lvlJc w:val="left"/>
      <w:lvlText w:val="(%2)"/>
      <w:numFmt w:val="lowerLetter"/>
      <w:start w:val="35"/>
    </w:lvl>
  </w:abstractNum>
  <w:abstractNum w:abstractNumId="56">
    <w:nsid w:val="51D9C564"/>
    <w:multiLevelType w:val="hybridMultilevel"/>
    <w:lvl w:ilvl="0">
      <w:lvlJc w:val="left"/>
      <w:lvlText w:val="(%1)"/>
      <w:numFmt w:val="lowerLetter"/>
      <w:start w:val="6"/>
    </w:lvl>
    <w:lvl w:ilvl="1">
      <w:lvlJc w:val="left"/>
      <w:lvlText w:val="(%2)"/>
      <w:numFmt w:val="lowerLetter"/>
      <w:start w:val="9"/>
    </w:lvl>
  </w:abstractNum>
  <w:abstractNum w:abstractNumId="57">
    <w:nsid w:val="613EFDC5"/>
    <w:multiLevelType w:val="hybridMultilevel"/>
    <w:lvl w:ilvl="0">
      <w:lvlJc w:val="left"/>
      <w:lvlText w:val="(%1)"/>
      <w:numFmt w:val="lowerRoman"/>
      <w:start w:val="2"/>
    </w:lvl>
  </w:abstractNum>
  <w:abstractNum w:abstractNumId="58">
    <w:nsid w:val="BF72B14"/>
    <w:multiLevelType w:val="hybridMultilevel"/>
    <w:lvl w:ilvl="0">
      <w:lvlJc w:val="left"/>
      <w:lvlText w:val="(%1)"/>
      <w:numFmt w:val="lowerRoman"/>
      <w:start w:val="1"/>
    </w:lvl>
  </w:abstractNum>
  <w:abstractNum w:abstractNumId="59">
    <w:nsid w:val="11447B73"/>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60">
    <w:nsid w:val="42963E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1">
    <w:nsid w:val="A0382C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62">
    <w:nsid w:val="8F2B15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3">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4">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5">
    <w:nsid w:val="68EB2F6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4962813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7">
    <w:nsid w:val="60B6DF70"/>
    <w:multiLevelType w:val="hybridMultilevel"/>
    <w:lvl w:ilvl="0">
      <w:lvlJc w:val="left"/>
      <w:lvlText w:val="%1"/>
      <w:numFmt w:val="lowerLetter"/>
      <w:start w:val="1"/>
    </w:lvl>
    <w:lvl w:ilvl="1">
      <w:lvlJc w:val="left"/>
      <w:lvlText w:val="(%2)"/>
      <w:numFmt w:val="lowerRoman"/>
      <w:start w:val="2"/>
    </w:lvl>
  </w:abstractNum>
  <w:abstractNum w:abstractNumId="68">
    <w:nsid w:val="6A5EE64"/>
    <w:multiLevelType w:val="hybridMultilevel"/>
    <w:lvl w:ilvl="0">
      <w:lvlJc w:val="left"/>
      <w:lvlText w:val="(%1)"/>
      <w:numFmt w:val="lowerLetter"/>
      <w:start w:val="3"/>
    </w:lvl>
    <w:lvl w:ilvl="1">
      <w:lvlJc w:val="left"/>
      <w:lvlText w:val="(%2)"/>
      <w:numFmt w:val="lowerRoman"/>
      <w:start w:val="1"/>
    </w:lvl>
  </w:abstractNum>
  <w:abstractNum w:abstractNumId="69">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0">
    <w:nsid w:val="7FFFCA1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71">
    <w:nsid w:val="1A27709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2">
    <w:nsid w:val="71EA1109"/>
    <w:multiLevelType w:val="hybridMultilevel"/>
    <w:lvl w:ilvl="0">
      <w:lvlJc w:val="left"/>
      <w:lvlText w:val="%1."/>
      <w:numFmt w:val="decimal"/>
      <w:start w:val="8"/>
    </w:lvl>
    <w:lvl w:ilvl="1">
      <w:lvlJc w:val="left"/>
      <w:lvlText w:val="(%2)"/>
      <w:numFmt w:val="lowerLetter"/>
      <w:start w:val="1"/>
    </w:lvl>
  </w:abstractNum>
  <w:abstractNum w:abstractNumId="73">
    <w:nsid w:val="100F59DC"/>
    <w:multiLevelType w:val="hybridMultilevel"/>
    <w:lvl w:ilvl="0">
      <w:lvlJc w:val="left"/>
      <w:lvlText w:val="%1"/>
      <w:numFmt w:val="decimal"/>
      <w:start w:val="1"/>
    </w:lvl>
    <w:lvl w:ilvl="1">
      <w:lvlJc w:val="left"/>
      <w:lvlText w:val="(%2)"/>
      <w:numFmt w:val="lowerLetter"/>
      <w:start w:val="3"/>
    </w:lvl>
  </w:abstractNum>
  <w:abstractNum w:abstractNumId="74">
    <w:nsid w:val="7FB7E0AA"/>
    <w:multiLevelType w:val="hybridMultilevel"/>
    <w:lvl w:ilvl="0">
      <w:lvlJc w:val="left"/>
      <w:lvlText w:val="%1."/>
      <w:numFmt w:val="decimal"/>
      <w:start w:val="9"/>
    </w:lvl>
    <w:lvl w:ilvl="1">
      <w:lvlJc w:val="left"/>
      <w:lvlText w:val="(%2)"/>
      <w:numFmt w:val="lowerLetter"/>
      <w:start w:val="1"/>
    </w:lvl>
  </w:abstractNum>
  <w:abstractNum w:abstractNumId="75">
    <w:nsid w:val="6EB5BD4"/>
    <w:multiLevelType w:val="hybridMultilevel"/>
    <w:lvl w:ilvl="0">
      <w:lvlJc w:val="left"/>
      <w:lvlText w:val="(%1)"/>
      <w:numFmt w:val="lowerLetter"/>
      <w:start w:val="4"/>
    </w:lvl>
  </w:abstractNum>
  <w:abstractNum w:abstractNumId="76">
    <w:nsid w:val="6F6DD9AC"/>
    <w:multiLevelType w:val="hybridMultilevel"/>
    <w:lvl w:ilvl="0">
      <w:lvlJc w:val="left"/>
      <w:lvlText w:val="(%1)"/>
      <w:numFmt w:val="lowerLetter"/>
      <w:start w:val="10"/>
    </w:lvl>
  </w:abstractNum>
  <w:abstractNum w:abstractNumId="77">
    <w:nsid w:val="94211F2"/>
    <w:multiLevelType w:val="hybridMultilevel"/>
    <w:lvl w:ilvl="0">
      <w:lvlJc w:val="left"/>
      <w:lvlText w:val="%1."/>
      <w:numFmt w:val="decimal"/>
      <w:start w:val="10"/>
    </w:lvl>
    <w:lvl w:ilvl="1">
      <w:lvlJc w:val="left"/>
      <w:lvlText w:val="(%2)"/>
      <w:numFmt w:val="lowerLetter"/>
      <w:start w:val="1"/>
    </w:lvl>
  </w:abstractNum>
  <w:abstractNum w:abstractNumId="78">
    <w:nsid w:val="885E1B"/>
    <w:multiLevelType w:val="hybridMultilevel"/>
    <w:lvl w:ilvl="0">
      <w:lvlJc w:val="left"/>
      <w:lvlText w:val="%1."/>
      <w:numFmt w:val="decimal"/>
      <w:start w:val="12"/>
    </w:lvl>
  </w:abstractNum>
  <w:abstractNum w:abstractNumId="79">
    <w:nsid w:val="76272110"/>
    <w:multiLevelType w:val="hybridMultilevel"/>
    <w:lvl w:ilvl="0">
      <w:lvlJc w:val="left"/>
      <w:lvlText w:val="%1."/>
      <w:numFmt w:val="decimal"/>
      <w:start w:val="13"/>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5"/>
    </w:lvl>
    <w:lvl w:ilvl="1">
      <w:lvlJc w:val="left"/>
      <w:lvlText w:val="(%2)"/>
      <w:numFmt w:val="lowerLetter"/>
      <w:start w:val="9"/>
    </w:lvl>
  </w:abstractNum>
  <w:abstractNum w:abstractNumId="82">
    <w:nsid w:val="14E17E33"/>
    <w:multiLevelType w:val="hybridMultilevel"/>
    <w:lvl w:ilvl="0">
      <w:lvlJc w:val="left"/>
      <w:lvlText w:val="(%1)"/>
      <w:numFmt w:val="lowerRoman"/>
      <w:start w:val="2"/>
    </w:lvl>
  </w:abstractNum>
  <w:abstractNum w:abstractNumId="83">
    <w:nsid w:val="3222E7CD"/>
    <w:multiLevelType w:val="hybridMultilevel"/>
    <w:lvl w:ilvl="0">
      <w:lvlJc w:val="left"/>
      <w:lvlText w:val="(%1)"/>
      <w:numFmt w:val="lowerLetter"/>
      <w:start w:val="11"/>
    </w:lvl>
  </w:abstractNum>
  <w:abstractNum w:abstractNumId="84">
    <w:nsid w:val="74DE0EE3"/>
    <w:multiLevelType w:val="hybridMultilevel"/>
    <w:lvl w:ilvl="0">
      <w:lvlJc w:val="left"/>
      <w:lvlText w:val="(%1)"/>
      <w:numFmt w:val="lowerLetter"/>
      <w:start w:val="17"/>
    </w:lvl>
  </w:abstractNum>
  <w:abstractNum w:abstractNumId="85">
    <w:nsid w:val="68EBC550"/>
    <w:multiLevelType w:val="hybridMultilevel"/>
    <w:lvl w:ilvl="0">
      <w:lvlJc w:val="left"/>
      <w:lvlText w:val="(%1)"/>
      <w:numFmt w:val="lowerLetter"/>
      <w:start w:val="27"/>
    </w:lvl>
    <w:lvl w:ilvl="1">
      <w:lvlJc w:val="left"/>
      <w:lvlText w:val="(%2)"/>
      <w:numFmt w:val="lowerRoman"/>
      <w:start w:val="1"/>
    </w:lvl>
  </w:abstractNum>
  <w:abstractNum w:abstractNumId="86">
    <w:nsid w:val="2DF6D648"/>
    <w:multiLevelType w:val="hybridMultilevel"/>
    <w:lvl w:ilvl="0">
      <w:lvlJc w:val="left"/>
      <w:lvlText w:val="%1"/>
      <w:numFmt w:val="lowerLetter"/>
      <w:start w:val="1"/>
    </w:lvl>
    <w:lvl w:ilvl="1">
      <w:lvlJc w:val="left"/>
      <w:lvlText w:val="(%2)"/>
      <w:numFmt w:val="lowerLetter"/>
      <w:start w:val="32"/>
    </w:lvl>
  </w:abstractNum>
  <w:abstractNum w:abstractNumId="87">
    <w:nsid w:val="46B7D447"/>
    <w:multiLevelType w:val="hybridMultilevel"/>
    <w:lvl w:ilvl="0">
      <w:lvlJc w:val="left"/>
      <w:lvlText w:val="(%1)"/>
      <w:numFmt w:val="lowerLetter"/>
      <w:start w:val="35"/>
    </w:lvl>
    <w:lvl w:ilvl="1">
      <w:lvlJc w:val="left"/>
      <w:lvlText w:val="(%2)"/>
      <w:numFmt w:val="lowerLetter"/>
      <w:start w:val="33"/>
    </w:lvl>
  </w:abstractNum>
  <w:abstractNum w:abstractNumId="88">
    <w:nsid w:val="4A2AC315"/>
    <w:multiLevelType w:val="hybridMultilevel"/>
    <w:lvl w:ilvl="0">
      <w:lvlJc w:val="left"/>
      <w:lvlText w:val="%1"/>
      <w:numFmt w:val="decimal"/>
      <w:start w:val="1"/>
    </w:lvl>
    <w:lvl w:ilvl="1">
      <w:lvlJc w:val="left"/>
      <w:lvlText w:val="(%2)"/>
      <w:numFmt w:val="lowerLetter"/>
      <w:start w:val="44"/>
    </w:lvl>
  </w:abstractNum>
  <w:abstractNum w:abstractNumId="89">
    <w:nsid w:val="39EE015C"/>
    <w:multiLevelType w:val="hybridMultilevel"/>
    <w:lvl w:ilvl="0">
      <w:lvlJc w:val="left"/>
      <w:lvlText w:val="(%1)"/>
      <w:numFmt w:val="decimal"/>
      <w:start w:val="8"/>
    </w:lvl>
    <w:lvl w:ilvl="1">
      <w:lvlJc w:val="left"/>
      <w:lvlText w:val="(%2)"/>
      <w:numFmt w:val="lowerLetter"/>
      <w:start w:val="45"/>
    </w:lvl>
  </w:abstractNum>
  <w:abstractNum w:abstractNumId="90">
    <w:nsid w:val="57FC4FBB"/>
    <w:multiLevelType w:val="hybridMultilevel"/>
    <w:lvl w:ilvl="0">
      <w:lvlJc w:val="left"/>
      <w:lvlText w:val="(%1)"/>
      <w:numFmt w:val="lowerLetter"/>
      <w:start w:val="52"/>
    </w:lvl>
  </w:abstractNum>
  <w:abstractNum w:abstractNumId="91">
    <w:nsid w:val="CC1016F"/>
    <w:multiLevelType w:val="hybridMultilevel"/>
    <w:lvl w:ilvl="0">
      <w:lvlJc w:val="left"/>
      <w:lvlText w:val="%1"/>
      <w:numFmt w:val="upperLetter"/>
      <w:start w:val="1"/>
    </w:lvl>
    <w:lvl w:ilvl="1">
      <w:lvlJc w:val="left"/>
      <w:lvlText w:val="(%2)"/>
      <w:numFmt w:val="lowerLetter"/>
      <w:start w:val="53"/>
    </w:lvl>
  </w:abstractNum>
  <w:abstractNum w:abstractNumId="92">
    <w:nsid w:val="43F18422"/>
    <w:multiLevelType w:val="hybridMultilevel"/>
    <w:lvl w:ilvl="0">
      <w:lvlJc w:val="left"/>
      <w:lvlText w:val="(%1)"/>
      <w:numFmt w:val="upperLetter"/>
      <w:start w:val="1"/>
    </w:lvl>
    <w:lvl w:ilvl="1">
      <w:lvlJc w:val="left"/>
      <w:lvlText w:val="(%2)"/>
      <w:numFmt w:val="lowerLetter"/>
      <w:start w:val="55"/>
    </w:lvl>
  </w:abstractNum>
  <w:abstractNum w:abstractNumId="93">
    <w:nsid w:val="60EF0119"/>
    <w:multiLevelType w:val="hybridMultilevel"/>
    <w:lvl w:ilvl="0">
      <w:lvlJc w:val="left"/>
      <w:lvlText w:val="(%1)"/>
      <w:numFmt w:val="lowerLetter"/>
      <w:start w:val="6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jpeg"/><Relationship Id="rId25" Type="http://schemas.openxmlformats.org/officeDocument/2006/relationships/hyperlink" Target="http://www.sec.gov/ix?doc=/Archives/edgar/data/0001598646/000119312525245552/d2838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2025-11-24T15:30:42Z</dcterms:created>
  <dcterms:modified xsi:type="dcterms:W3CDTF">2025-11-24T15:30:42Z</dcterms:modified>
</cp:coreProperties>
</file>