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660" w:right="1700" w:hanging="3652"/>
        <w:spacing w:after="0" w:line="375" w:lineRule="auto"/>
        <w:tabs>
          <w:tab w:leader="none" w:pos="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2"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21"/>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64"/>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37"/>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number of shares of Registrant’s Common Stock, $0.0001 par value per share, outstanding as of October 31, 2024 was </w:t>
      </w:r>
      <w:r>
        <w:rPr>
          <w:rFonts w:ascii="Times New Roman" w:cs="Times New Roman" w:eastAsia="Times New Roman" w:hAnsi="Times New Roman"/>
          <w:sz w:val="17"/>
          <w:szCs w:val="17"/>
          <w:color w:val="auto"/>
        </w:rPr>
        <w:t>6,993,406</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955040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00" w:type="dxa"/>
            <w:vAlign w:val="bottom"/>
            <w:gridSpan w:val="13"/>
          </w:tcPr>
          <w:p>
            <w:pPr>
              <w:jc w:val="center"/>
              <w:ind w:right="2540"/>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Pr>
          <w:p>
            <w:pPr>
              <w:spacing w:after="0"/>
              <w:rPr>
                <w:sz w:val="15"/>
                <w:szCs w:val="15"/>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100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5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104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for the three and nine months ended September 30, 2024 and 2023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0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4"/>
          </w:tcPr>
          <w:p>
            <w:pPr>
              <w:spacing w:after="0"/>
              <w:rPr>
                <w:sz w:val="19"/>
                <w:szCs w:val="19"/>
                <w:color w:val="auto"/>
              </w:rPr>
            </w:pPr>
          </w:p>
        </w:tc>
        <w:tc>
          <w:tcPr>
            <w:tcW w:w="308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46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EE"/>
            </w:tcBorders>
            <w:gridSpan w:val="2"/>
          </w:tcPr>
          <w:p>
            <w:pPr>
              <w:spacing w:after="0"/>
              <w:rPr>
                <w:sz w:val="19"/>
                <w:szCs w:val="19"/>
                <w:color w:val="auto"/>
              </w:rPr>
            </w:pPr>
          </w:p>
        </w:tc>
        <w:tc>
          <w:tcPr>
            <w:tcW w:w="820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0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760" w:type="dxa"/>
            <w:vAlign w:val="bottom"/>
            <w:gridSpan w:val="1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682"/>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2023 under Part I, Item IA, “Risk Factors.”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26,528,792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40,912,575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1,307,345</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27,936,137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42,002,440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Pr>
          <w:p>
            <w:pPr>
              <w:spacing w:after="0"/>
              <w:rPr>
                <w:sz w:val="20"/>
                <w:szCs w:val="20"/>
                <w:color w:val="auto"/>
              </w:rPr>
            </w:pPr>
          </w:p>
        </w:tc>
      </w:tr>
      <w:tr>
        <w:trPr>
          <w:trHeight w:val="281"/>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42,812,338</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40" w:type="dxa"/>
            <w:vAlign w:val="bottom"/>
            <w:shd w:val="clear" w:color="auto" w:fill="CFF0FC"/>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553,192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1,805,320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3,929,848</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4,483,040</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3,340,417</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82,016,823</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64,483,040</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85,357,240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50"/>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369,433,114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368,357,239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(391,104,515 )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(396,815,428 )</w:t>
            </w:r>
          </w:p>
        </w:tc>
      </w:tr>
      <w:tr>
        <w:trPr>
          <w:trHeight w:val="20"/>
        </w:trPr>
        <w:tc>
          <w:tcPr>
            <w:tcW w:w="7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(21,670,702 )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(28,457,490 )</w:t>
            </w:r>
          </w:p>
        </w:tc>
      </w:tr>
      <w:tr>
        <w:trPr>
          <w:trHeight w:val="241"/>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42,812,338</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56,899,750</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-3933825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-2991485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-2973705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-2991485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-1713865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49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1,887,913</w:t>
            </w:r>
          </w:p>
        </w:tc>
        <w:tc>
          <w:tcPr>
            <w:tcW w:w="2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3,443,537</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9,915,699</w:t>
            </w:r>
          </w:p>
        </w:tc>
        <w:tc>
          <w:tcPr>
            <w:tcW w:w="2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7,984,566</w:t>
            </w:r>
          </w:p>
        </w:tc>
        <w:tc>
          <w:tcPr>
            <w:tcW w:w="100" w:type="dxa"/>
            <w:vAlign w:val="bottom"/>
          </w:tcPr>
          <w:p>
            <w:pPr>
              <w:spacing w:after="0"/>
              <w:rPr>
                <w:sz w:val="22"/>
                <w:szCs w:val="22"/>
                <w:color w:val="auto"/>
              </w:rPr>
            </w:pPr>
          </w:p>
        </w:tc>
      </w:tr>
      <w:tr>
        <w:trPr>
          <w:trHeight w:val="257"/>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2,478,787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2,635,583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7,410,532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7,963,067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4,366,700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6,079,120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17,326,231</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15,947,633</w:t>
            </w:r>
          </w:p>
        </w:tc>
        <w:tc>
          <w:tcPr>
            <w:tcW w:w="100" w:type="dxa"/>
            <w:vAlign w:val="bottom"/>
          </w:tcPr>
          <w:p>
            <w:pPr>
              <w:spacing w:after="0"/>
              <w:rPr>
                <w:sz w:val="21"/>
                <w:szCs w:val="21"/>
                <w:color w:val="auto"/>
              </w:rPr>
            </w:pPr>
          </w:p>
        </w:tc>
      </w:tr>
      <w:tr>
        <w:trPr>
          <w:trHeight w:val="27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(4,366,700 )</w:t>
            </w:r>
          </w:p>
        </w:tc>
        <w:tc>
          <w:tcPr>
            <w:tcW w:w="32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(6,079,120 )</w:t>
            </w: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(17,326,231 )</w:t>
            </w:r>
          </w:p>
        </w:tc>
        <w:tc>
          <w:tcPr>
            <w:tcW w:w="300" w:type="dxa"/>
            <w:vAlign w:val="bottom"/>
            <w:shd w:val="clear" w:color="auto" w:fill="CFF0FC"/>
          </w:tcPr>
          <w:p>
            <w:pPr>
              <w:spacing w:after="0"/>
              <w:rPr>
                <w:sz w:val="23"/>
                <w:szCs w:val="23"/>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(15,947,633 )</w:t>
            </w: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24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(13,108 )</w:t>
            </w:r>
          </w:p>
        </w:tc>
        <w:tc>
          <w:tcPr>
            <w:tcW w:w="32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(5,096 )</w:t>
            </w: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(12,309 )</w:t>
            </w:r>
          </w:p>
        </w:tc>
        <w:tc>
          <w:tcPr>
            <w:tcW w:w="300" w:type="dxa"/>
            <w:vAlign w:val="bottom"/>
            <w:shd w:val="clear" w:color="auto" w:fill="CFF0FC"/>
          </w:tcPr>
          <w:p>
            <w:pPr>
              <w:spacing w:after="0"/>
              <w:rPr>
                <w:sz w:val="23"/>
                <w:szCs w:val="23"/>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(20,988 )</w:t>
            </w: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313,967</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1,032,630</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1,078,522</w:t>
            </w:r>
          </w:p>
        </w:tc>
        <w:tc>
          <w:tcPr>
            <w:tcW w:w="100" w:type="dxa"/>
            <w:vAlign w:val="bottom"/>
          </w:tcPr>
          <w:p>
            <w:pPr>
              <w:spacing w:after="0"/>
              <w:rPr>
                <w:sz w:val="22"/>
                <w:szCs w:val="22"/>
                <w:color w:val="auto"/>
              </w:rPr>
            </w:pPr>
          </w:p>
        </w:tc>
      </w:tr>
      <w:tr>
        <w:trPr>
          <w:trHeight w:val="27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4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(2,084,911 )</w:t>
            </w:r>
          </w:p>
        </w:tc>
        <w:tc>
          <w:tcPr>
            <w:tcW w:w="240" w:type="dxa"/>
            <w:vAlign w:val="bottom"/>
            <w:shd w:val="clear" w:color="auto" w:fill="CFF0FC"/>
          </w:tcPr>
          <w:p>
            <w:pPr>
              <w:spacing w:after="0"/>
              <w:rPr>
                <w:sz w:val="24"/>
                <w:szCs w:val="24"/>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(4,562,223 )</w:t>
            </w:r>
          </w:p>
        </w:tc>
        <w:tc>
          <w:tcPr>
            <w:tcW w:w="30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(6,092,795 )</w:t>
            </w:r>
          </w:p>
        </w:tc>
      </w:tr>
      <w:tr>
        <w:trPr>
          <w:trHeight w:val="25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83"/>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(7,820,446 )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(20,982,894 )</w:t>
            </w:r>
          </w:p>
        </w:tc>
      </w:tr>
      <w:tr>
        <w:trPr>
          <w:trHeight w:val="251"/>
        </w:trPr>
        <w:tc>
          <w:tcPr>
            <w:tcW w:w="49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8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r>
      <w:tr>
        <w:trPr>
          <w:trHeight w:val="231"/>
        </w:trPr>
        <w:tc>
          <w:tcPr>
            <w:tcW w:w="4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6,148,276</w:t>
            </w:r>
          </w:p>
        </w:tc>
        <w:tc>
          <w:tcPr>
            <w:tcW w:w="100" w:type="dxa"/>
            <w:vAlign w:val="bottom"/>
            <w:tcBorders>
              <w:top w:val="single" w:sz="8" w:color="CFF0FC"/>
            </w:tcBorders>
          </w:tcPr>
          <w:p>
            <w:pPr>
              <w:spacing w:after="0"/>
              <w:rPr>
                <w:sz w:val="20"/>
                <w:szCs w:val="20"/>
                <w:color w:val="auto"/>
              </w:rPr>
            </w:pPr>
          </w:p>
        </w:tc>
      </w:tr>
      <w:tr>
        <w:trPr>
          <w:trHeight w:val="28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r>
      <w:tr>
        <w:trPr>
          <w:trHeight w:val="231"/>
        </w:trPr>
        <w:tc>
          <w:tcPr>
            <w:tcW w:w="4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7,578,267</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6,148,276</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-2262505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-2262505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-2262505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-899795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-882015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-882015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-899795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-882015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-548005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-530860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-548005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-530860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-548005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-530860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-196850</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-179070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-196850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-196850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3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346,785,322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(366,810,075 )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(20,024,219 )</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376,459</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(6,970,412 )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(6,970,412 )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5,340,193</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347,161,781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(373,780,487 )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(26,618,172 )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378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Issuance of common stock and warrants pursuant to</w:t>
            </w: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 private placement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19,999,852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shd w:val="clear" w:color="auto" w:fill="CFF0FC"/>
          </w:tcPr>
          <w:p>
            <w:pPr>
              <w:spacing w:after="0"/>
              <w:rPr>
                <w:sz w:val="21"/>
                <w:szCs w:val="21"/>
                <w:color w:val="auto"/>
              </w:rPr>
            </w:pPr>
          </w:p>
        </w:tc>
      </w:tr>
      <w:tr>
        <w:trPr>
          <w:trHeight w:val="21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issuance of common stock and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(309,602 )</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(309,602 )</w:t>
            </w:r>
          </w:p>
        </w:tc>
      </w:tr>
      <w:tr>
        <w:trPr>
          <w:trHeight w:val="25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performance-based restricted stock units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228,213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608,915</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(6,192,036 )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(6,192,036 )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367,460,923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(379,972,523 )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(12,510,901 )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371,943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371,943</w:t>
            </w:r>
          </w:p>
        </w:tc>
        <w:tc>
          <w:tcPr>
            <w:tcW w:w="100" w:type="dxa"/>
            <w:vAlign w:val="bottom"/>
            <w:shd w:val="clear" w:color="auto" w:fill="CFF0FC"/>
          </w:tcPr>
          <w:p>
            <w:pPr>
              <w:spacing w:after="0"/>
              <w:rPr>
                <w:sz w:val="19"/>
                <w:szCs w:val="19"/>
                <w:color w:val="auto"/>
              </w:rPr>
            </w:pPr>
          </w:p>
        </w:tc>
      </w:tr>
      <w:tr>
        <w:trPr>
          <w:trHeight w:val="21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issuance of common stock and</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(86,691 )</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(86,691 )</w:t>
            </w:r>
          </w:p>
        </w:tc>
      </w:tr>
      <w:tr>
        <w:trPr>
          <w:trHeight w:val="25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(7,820,446 )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(7,820,446 )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367,746,175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(387,792,969 )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(20,046,095 )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(396,815,428 )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(28,457,490 )</w:t>
            </w:r>
          </w:p>
        </w:tc>
      </w:tr>
      <w:tr>
        <w:trPr>
          <w:trHeight w:val="24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(8,568,805 )</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(8,568,805 )</w:t>
            </w:r>
          </w:p>
        </w:tc>
      </w:tr>
      <w:tr>
        <w:trPr>
          <w:trHeight w:val="20"/>
        </w:trPr>
        <w:tc>
          <w:tcPr>
            <w:tcW w:w="3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368,796,088</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(405,384,233 )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(36,587,446 )</w:t>
            </w:r>
          </w:p>
        </w:tc>
      </w:tr>
      <w:tr>
        <w:trPr>
          <w:trHeight w:val="219"/>
        </w:trPr>
        <w:tc>
          <w:tcPr>
            <w:tcW w:w="3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329,318</w:t>
            </w: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329,318</w:t>
            </w:r>
          </w:p>
        </w:tc>
        <w:tc>
          <w:tcPr>
            <w:tcW w:w="100" w:type="dxa"/>
            <w:vAlign w:val="bottom"/>
            <w:tcBorders>
              <w:top w:val="single" w:sz="8" w:color="CFF0FC"/>
            </w:tcBorders>
          </w:tcPr>
          <w:p>
            <w:pPr>
              <w:spacing w:after="0"/>
              <w:rPr>
                <w:sz w:val="19"/>
                <w:szCs w:val="19"/>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(8,233,487 )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(8,233,487 )</w:t>
            </w:r>
          </w:p>
        </w:tc>
      </w:tr>
      <w:tr>
        <w:trPr>
          <w:trHeight w:val="20"/>
        </w:trPr>
        <w:tc>
          <w:tcPr>
            <w:tcW w:w="37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369,125,406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(413,617,720 )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(44,491,615 )</w:t>
            </w:r>
          </w:p>
        </w:tc>
      </w:tr>
      <w:tr>
        <w:trPr>
          <w:trHeight w:val="20"/>
        </w:trPr>
        <w:tc>
          <w:tcPr>
            <w:tcW w:w="3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307,708</w:t>
            </w:r>
          </w:p>
        </w:tc>
        <w:tc>
          <w:tcPr>
            <w:tcW w:w="100" w:type="dxa"/>
            <w:vAlign w:val="bottom"/>
            <w:shd w:val="clear" w:color="auto" w:fill="CFF0FC"/>
          </w:tcPr>
          <w:p>
            <w:pPr>
              <w:spacing w:after="0"/>
              <w:rPr>
                <w:sz w:val="19"/>
                <w:szCs w:val="19"/>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100" w:type="dxa"/>
            <w:vAlign w:val="bottom"/>
          </w:tcPr>
          <w:p>
            <w:pPr>
              <w:spacing w:after="0"/>
              <w:rPr>
                <w:sz w:val="21"/>
                <w:szCs w:val="21"/>
                <w:color w:val="auto"/>
              </w:rPr>
            </w:pPr>
          </w:p>
        </w:tc>
      </w:tr>
      <w:tr>
        <w:trPr>
          <w:trHeight w:val="2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369,433,114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(391,104,515 )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(21,670,702 )</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-4011295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-4011295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-4011295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-4011295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-2776855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-2776855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-2776855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-2776855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-1988185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-1988185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-1988185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-1988185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-1019175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-1002030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-1019175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-1002030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-1019175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-1019175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-1002030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-685165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-685165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-685165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-685165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(20,982,894 )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1,075,875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1,357,317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4,562,223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6,092,795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Remeasurement of liability related to sale of future royalties</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(26,579,046 )</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Refundable regulatory fee</w:t>
            </w:r>
          </w:p>
        </w:tc>
        <w:tc>
          <w:tcPr>
            <w:tcW w:w="3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3,117,218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(317,480 )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(373,103 )</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(1,252,128 )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425,403</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2,394,751</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1,546,681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(14,383,783 )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(8,793,347 )</w:t>
            </w:r>
          </w:p>
        </w:tc>
      </w:tr>
      <w:tr>
        <w:trPr>
          <w:trHeight w:val="241"/>
        </w:trPr>
        <w:tc>
          <w:tcPr>
            <w:tcW w:w="76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66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and warrants in private placement</w:t>
            </w:r>
          </w:p>
        </w:tc>
        <w:tc>
          <w:tcPr>
            <w:tcW w:w="3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19,999,994</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(396,293 )</w:t>
            </w:r>
          </w:p>
        </w:tc>
      </w:tr>
      <w:tr>
        <w:trPr>
          <w:trHeight w:val="23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19,603,701</w:t>
            </w:r>
          </w:p>
        </w:tc>
        <w:tc>
          <w:tcPr>
            <w:tcW w:w="100" w:type="dxa"/>
            <w:vAlign w:val="bottom"/>
            <w:tcBorders>
              <w:top w:val="single" w:sz="8" w:color="CFF0FC"/>
            </w:tcBorders>
          </w:tcPr>
          <w:p>
            <w:pPr>
              <w:spacing w:after="0"/>
              <w:rPr>
                <w:sz w:val="20"/>
                <w:szCs w:val="20"/>
                <w:color w:val="auto"/>
              </w:rPr>
            </w:pPr>
          </w:p>
        </w:tc>
      </w:tr>
      <w:tr>
        <w:trPr>
          <w:trHeight w:val="241"/>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(14,383,783 )</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10,810,354</w:t>
            </w:r>
          </w:p>
        </w:tc>
        <w:tc>
          <w:tcPr>
            <w:tcW w:w="100" w:type="dxa"/>
            <w:vAlign w:val="bottom"/>
            <w:shd w:val="clear" w:color="auto" w:fill="CFF0FC"/>
          </w:tcPr>
          <w:p>
            <w:pPr>
              <w:spacing w:after="0"/>
              <w:rPr>
                <w:sz w:val="20"/>
                <w:szCs w:val="20"/>
                <w:color w:val="auto"/>
              </w:rPr>
            </w:pPr>
          </w:p>
        </w:tc>
      </w:tr>
      <w:tr>
        <w:trPr>
          <w:trHeight w:val="243"/>
        </w:trPr>
        <w:tc>
          <w:tcPr>
            <w:tcW w:w="7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36,193,606</w:t>
            </w:r>
          </w:p>
        </w:tc>
        <w:tc>
          <w:tcPr>
            <w:tcW w:w="100" w:type="dxa"/>
            <w:vAlign w:val="bottom"/>
          </w:tcPr>
          <w:p>
            <w:pPr>
              <w:spacing w:after="0"/>
              <w:rPr>
                <w:sz w:val="20"/>
                <w:szCs w:val="20"/>
                <w:color w:val="auto"/>
              </w:rPr>
            </w:pPr>
          </w:p>
        </w:tc>
      </w:tr>
      <w:tr>
        <w:trPr>
          <w:trHeight w:val="28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26,628,792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47,003,960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8"/>
        </w:trPr>
        <w:tc>
          <w:tcPr>
            <w:tcW w:w="76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26,528,792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46,903,960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r>
      <w:tr>
        <w:trPr>
          <w:trHeight w:val="281"/>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26,628,792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47,003,960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-3034030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-2390775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-1765300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-814070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September 30, 2024 and for the Three and Nine Months Ended September 30,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(“CRL”) regarding the NDA for roluperidone. Since receiving the CRL, the Company has continued to have interactions with the FDA with the goal of addressing the questions raised in the CRL.</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has exclusive rights to develop and commercialize MIN-301, a compound for the treatment of Parkinson’s disease. In addition, Minerva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2024, the Company had an accumulated deficit of approximately $391.1 million and net cash used in operating activities was approximately $14.4 million during the nine months ended September 30, 2024.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had cash, cash equivalents, and restricted cash of $26.6 million, which it believes will be sufficient to meet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April 10, 2024, the Company received a deficiency letter from The Nasdaq Stock Market LLC (“Nasdaq”) notifying the Company that for the last 31 consecutive business days, the market value of listed securities (“MVLS requirement”) for its common stock had been below the minimum MVLS requirement of $35 million pursuant to Nasdaq Listing Rule 5550(b)(2) (the “Rule”). In accordance with the listing rules of Nasdaq, the Company was provided with a grace period of 180 calendar days, or until October 7, 2024, to regain compliance.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8, 2024, the Company received a second written notice from Nasdaq indicating that, based upon the Company’s continued non-compliance with the Rule, the staff of Nasdaq had determined to delist the Company’s securities from The Nasdaq Capital Market unless the Company timely requests a hearing before a Nasdaq Hearings Panel (the “Panel”). As a result, the Company has timely requested a hearing before the Panel, which had the effect of staying the delisting action pending the completion of the hearing and the expiration of any additional extension period granted by the Panel following the hearing. Under the Nasdaq Listing Rules, the Panel has the discretion to grant a further extension not to exceed April 5, 2025. Notwithstanding, there can be no assurance that the Panel will grant the Company a further extension or that the Company will ultimately regain compliance with all applicable requirements for continued listing on The Nasdaq Capital Market. During the pendency of the requested hearing before the Panel, the Company’s common stock will remain listed and trading on The Nasdaq Capital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2024, the results of operations for the three and nine months ended September 30, 2024 and 2023 and cash flows for the nine months ended September 30, 2024 and 2023. The results of operations for the three and nine months ended September 30, 2024 are not necessarily indicative of the results to be expected for the full year. The consolidated balance sheet as of December 31, 2023 was derived from the audited annual financial statements. The accompanying unaudited condensed consolidated financial statements and notes thereto should be read in conjunction with the audited consolidated financial statements for the year ended December 31, 2023 included in the Company’s Annual Report on Form 10-K filed with the SEC on February 22, 2024.</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September 30, 2024 and December 31, 2023.</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2,333,232</w:t>
            </w:r>
          </w:p>
        </w:tc>
        <w:tc>
          <w:tcPr>
            <w:tcW w:w="5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777,680</w:t>
            </w:r>
          </w:p>
        </w:tc>
        <w:tc>
          <w:tcPr>
            <w:tcW w:w="80" w:type="dxa"/>
            <w:vAlign w:val="bottom"/>
            <w:shd w:val="clear" w:color="auto" w:fill="CFF0FC"/>
          </w:tcPr>
          <w:p>
            <w:pPr>
              <w:spacing w:after="0"/>
              <w:rPr>
                <w:sz w:val="20"/>
                <w:szCs w:val="20"/>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966,723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590,769</w:t>
            </w:r>
          </w:p>
        </w:tc>
        <w:tc>
          <w:tcPr>
            <w:tcW w:w="80" w:type="dxa"/>
            <w:vAlign w:val="bottom"/>
          </w:tcPr>
          <w:p>
            <w:pPr>
              <w:spacing w:after="0"/>
              <w:rPr>
                <w:sz w:val="20"/>
                <w:szCs w:val="20"/>
                <w:color w:val="auto"/>
              </w:rPr>
            </w:pP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441,536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166,648</w:t>
            </w:r>
          </w:p>
        </w:tc>
        <w:tc>
          <w:tcPr>
            <w:tcW w:w="80" w:type="dxa"/>
            <w:vAlign w:val="bottom"/>
            <w:shd w:val="clear" w:color="auto" w:fill="CFF0FC"/>
          </w:tcPr>
          <w:p>
            <w:pPr>
              <w:spacing w:after="0"/>
              <w:rPr>
                <w:sz w:val="21"/>
                <w:szCs w:val="21"/>
                <w:color w:val="auto"/>
              </w:rPr>
            </w:pP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3,929,848</w:t>
            </w:r>
          </w:p>
        </w:tc>
        <w:tc>
          <w:tcPr>
            <w:tcW w:w="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1,535,097</w:t>
            </w:r>
          </w:p>
        </w:tc>
        <w:tc>
          <w:tcPr>
            <w:tcW w:w="8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INCOME (LOSS) PER SHARE OF COMMON STOCK</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income (loss) per share is calculated by dividing the net income (loss) by the weighted average number of shares of common stock outstanding. Diluted income (loss) per share is computed by dividing the net income (loss) by the weighted average number of shares of common stock outstanding, plus potential outstanding common stock for the period. Potential outstanding common stock includes stock options,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shares issuable are dilutive.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2023, in connection with the Private Placement (as defined and described in Note 6, Stockholders’ Deficit),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income (loss) per share as of September 30,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(loss) per share for common stockholders: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(7,820,446 )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(20,982,894 )</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8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7,578,267</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ordinary share: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-1113790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-1113790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-1113790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-1113790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-659765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-659765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-659765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-659765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September 30, 2024 and 2023 have been excluded from the calculation of weighted average shares outstanding as their effect on the calculation of income (loss) per share is antidilutive: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2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7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1,060,109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735,929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1,010,377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735,929</w:t>
            </w:r>
          </w:p>
        </w:tc>
        <w:tc>
          <w:tcPr>
            <w:tcW w:w="80" w:type="dxa"/>
            <w:vAlign w:val="bottom"/>
            <w:shd w:val="clear" w:color="auto" w:fill="CFF0FC"/>
          </w:tcPr>
          <w:p>
            <w:pPr>
              <w:spacing w:after="0"/>
              <w:rPr>
                <w:sz w:val="20"/>
                <w:szCs w:val="20"/>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20"/>
                <w:szCs w:val="20"/>
                <w:color w:val="auto"/>
              </w:rPr>
            </w:pPr>
          </w:p>
        </w:tc>
      </w:tr>
      <w:tr>
        <w:trPr>
          <w:trHeight w:val="247"/>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on the balance sheet as a liability related to the sale of future royalties (the “Royalty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8" w:right="4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(42847922MDD3003) that has an estimated study completion date of November 30, 2027, which is significantly different from the assumption the Company used in its original estimates. As a result, the Company has made a significant revision to its estimates for the timing and amount of future royalty payments to be earned over the life of the Janssen Agreement and noted that the estimate of undiscounted royalty payments is now less than the original carrying value of the upfront payment received. Therefore, under the retrospective interest model, as of September 30,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and Warrants</w:t>
      </w:r>
    </w:p>
    <w:p>
      <w:pPr>
        <w:spacing w:after="0" w:line="22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June 30, 2023, the Private Placement closed and the Company received aggregate gross proceeds from the Private Placement of $20.0 million. The Company incurred approximately $0.4 million in offering expenses during 2023, which were included as a component of additional paid-in capital, resulting in net proceeds of $19.6 million from the Private Placement.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nine months ended September 30, 2024, no shares of the Company’s common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stock were issued or sold under the Sales Agreement. As of September 30, 2024, an aggregate of $22.6 million was eligible for sale pursuant to the Sales Agreement under the Company’s effective registration statement on Form S-3 (File No. 333-267424).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nine months ended September 30, 2024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00" w:type="dxa"/>
            <w:vAlign w:val="bottom"/>
          </w:tcPr>
          <w:p>
            <w:pPr>
              <w:spacing w:after="0"/>
              <w:rPr>
                <w:sz w:val="12"/>
                <w:szCs w:val="12"/>
                <w:color w:val="auto"/>
              </w:rPr>
            </w:pPr>
          </w:p>
        </w:tc>
        <w:tc>
          <w:tcPr>
            <w:tcW w:w="8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1,157,229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(90,625 )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(6,495 )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1,060,109</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477,643</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459,486</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-384810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-367665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September 30, 2024 was $8.26 per share. Total unrecognized compensation costs related to non-vested stock options at September 30, 2024 were approximately $2.2 million and are expected to be recognized within future operating results over a weighted-average period of 2.6 years.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13" w:name="page14"/>
    <w:bookmarkEnd w:id="13"/>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nine months ended September 30, 2024. For stock options granted during the nine months ended September 30, 2023, the Company utilized the following assumptions: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26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320" w:type="dxa"/>
            <w:vAlign w:val="bottom"/>
          </w:tcPr>
          <w:p>
            <w:pPr>
              <w:spacing w:after="0"/>
              <w:rPr>
                <w:sz w:val="16"/>
                <w:szCs w:val="16"/>
                <w:color w:val="auto"/>
              </w:rPr>
            </w:pPr>
          </w:p>
        </w:tc>
        <w:tc>
          <w:tcPr>
            <w:tcW w:w="26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5.50</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4.68%</w:t>
            </w:r>
          </w:p>
        </w:tc>
      </w:tr>
      <w:tr>
        <w:trPr>
          <w:trHeight w:val="24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September 30, 2024, 228,213 PRSUs have vested, 20,218 have been cancelled, and 228,209 remain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84,776</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185,075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361,270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667,558</w:t>
            </w:r>
          </w:p>
        </w:tc>
        <w:tc>
          <w:tcPr>
            <w:tcW w:w="80" w:type="dxa"/>
            <w:vAlign w:val="bottom"/>
            <w:shd w:val="clear" w:color="auto" w:fill="CFF0FC"/>
          </w:tcPr>
          <w:p>
            <w:pPr>
              <w:spacing w:after="0"/>
              <w:rPr>
                <w:sz w:val="20"/>
                <w:szCs w:val="20"/>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222,932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186,868</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714,605</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689,759</w:t>
            </w:r>
          </w:p>
        </w:tc>
        <w:tc>
          <w:tcPr>
            <w:tcW w:w="80" w:type="dxa"/>
            <w:vAlign w:val="bottom"/>
          </w:tcPr>
          <w:p>
            <w:pPr>
              <w:spacing w:after="0"/>
              <w:rPr>
                <w:sz w:val="21"/>
                <w:szCs w:val="21"/>
                <w:color w:val="auto"/>
              </w:rPr>
            </w:pPr>
          </w:p>
        </w:tc>
      </w:tr>
      <w:tr>
        <w:trPr>
          <w:trHeight w:val="236"/>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307,708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371,943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1,075,875</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1,357,317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approximately 491 rentable square feet of office space located at 1500 District Avenue, Burlington, MA 01803. In January 2024, the Company renewed the month-to-month lease agreement commencing on February 1, 2024, with a monthly payment of $8,697. The Company has elected to not recognize the lease agreement on the balance sheet as the term of the agreement is 12 months or 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2023 as filed with the Securities and Exchange Commission on February 22, 2024.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Phase 3 development of seltorexant and as a result,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Since receiving the CRL, we have continued to have interactions with the FDA with the goal of addressing the questions raised in the CRL.</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September 30, 2024 and December 31, 2023, we had an accumulated deficit of $391.1 million and $396.8 million, respectively. For the nine months ended September 30, 2024 and 2023, we recorded net income of $5.7 million and a net loss of $21.0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Response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26, 2024, the FDA issued a CRL to our NDA for roluperidone for the treatment of negative symptoms in patients with schizophrenia.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CRL, the FDA cited the following clinical deficiencies:</w:t>
      </w:r>
    </w:p>
    <w:p>
      <w:pPr>
        <w:spacing w:after="0" w:line="99" w:lineRule="exact"/>
        <w:rPr>
          <w:sz w:val="20"/>
          <w:szCs w:val="20"/>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one study (MIN-101C03) demonstrated statistical significance on the primary efficacy endpoint, it is insufficient on its own to establish substantial evidence of effectiveness.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on concomitant antipsychotic administration.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NDA submission lacks data needed to establish that the change in negative symptoms of schizophrenia with roluperidone treatment was clinically meaningful.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submitted safety database included an inadequate number of subjects exposed to roluperidone at the proposed dose (64 mg) for at least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t>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the observed effect on negative symptoms with roluperidone treatment corresponds to a clinically meaningful change, and to demonstrate the long-term safety of the proposed dose.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clinical deficiencies described above, the FDA also provided comments on, among other items, clinical pharmacology, product quality, biopharmaceutics, and nonclinical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(MIN-101C18)</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first quarter of 2024, we completed a clinical trial initiated in October 2023 to evaluate the safety, tolerability, pharmacodynamics and pharmacokinetics of the co-administration of roluperidone and olanzapine in adult subjects with moderate to severe negative symptoms of schizophrenia. This clinical trial (NCT06107803) was designed to investigate the pharmacodynamic and pharmacokinetic effects and safety of the concomitant therapy of roluperidone with an established and widely used antipsychotic.</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enrolled 17 male and female subjects with moderate to severe negative symptoms of schizophrenia for this study. Out of the 17 enrolled subjects, 13 completed all 17 days of daily dosing with roluperidone 64 mg (for 7 days) and roluperidone with olanzapine 10 mg (for 10 additional days). Two subjects withdrew consent after enrollment, one patient was discontinued due to a major protocol deviation, and one was discontinued due to a treatment-unrelated serious adverse event. Roluperidone administered concomitantly with olanzapine was generally well tolerated and no unexpected safety signals were detected, with few treatment-emergent adverse events (TEAEs) reported, most of which were mild, and all resolved without sequelae. We observed no emergent clinically significant electrocardiogram or laboratory abnormalities during the study. We observed no symptomatic worsening during the administration of roluperidone alone (7 days) or when administered in combination with olanzapine at 10 mg (10 days). The study demonstrated that pharmacokinetic interactions between the two drugs were not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gain associated with the adjustment to the carrying amount of the liability related to the sale of future royalties.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versus September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$1.9 million and $3.4 million for the three months ended September 30, 2024 and 2023, respectively, a decrease of approximately $1.5 million. The decrease in research and development expenses was primarily due to lower costs associated with the FDA’s review of our NDA for roluperidone and lower compensation expenses. Non-cash stock compensation costs included in research and development expenses were $0.1 million and $0.2 million for the three months ended September 30,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$2.5 million and $2.6 million for the three months ended September 30, 2024 and 2023, respectively, a decrease of approximately $0.1 million. The decrease in general and administrative expenses was primarily due to lower compensation expenses. Non-cash stock compensation costs included in general and administrative expenses were $0.2 million for both the three months ended September 30, 2024 and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Foreign exchange losses were $13 thousand and $5 thousand for the three months ended September 30, 2024 and 2023, respectively, a decrease of $8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Investment income was $314 thousand and $349 thousand for the three months ended September 30, 2024 and 2023, respectively, a decrease of approximately $35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zero and $2.1 million for the three months ended September 30, 2024 and 2023, respectively, a decrease of $2.1 million. The decrease was primarily due to the change in the effective annual interest rate of the liability related to the sale of future royalties, whereby we no longer recognize interest on the liability as the effective annual interest rate is negative.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income was $26.6 million and zero for the three months ended September 30, 2024 and 2023, respectively, an increase of $26.6 million, due to the gain associated with the adjustment to the carrying amount of the liability related to the sale of future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30,2024 versus September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$9.9 million and $8.0 million for the nine months ended September 30, 2024 and 2023, respectively, an increase of approximately $1.9 million. The increase in research and development expenses was primarily due to higher subcontractor fees related to costs associated with our drug substance validation campaign, and the conduct of the MIN-101C18 study, partially offset by lower compensation expenses. Non-cash stock compensation costs included in research and development expenses were $0.4 million and $0.7 million for the nine months ended September 30,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$7.4 million and $8.0 million for the nine months ended September 30, 2024 and 2023, respectively, a decrease of approximately $0.6 million. The decrease in general and administrative expenses was primarily due to lower compensation expenses and professional service fees. Non-cash stock compensation costs included in general and administrative expenses were $0.7 million for both the nine months ended September 30,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Foreign exchange losses were $12 thousand and $21 thousand for the nine months ended September 30, 2024 and 2023, respectively, an increase of $9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Investment income was $1.0 million and $1.1 million for the nine months ended September 30, 2024 and 2023, respectively, a decrease of approximately $0.1 million,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$4.6 million and $6.1 million for the nine months ended September 30, 2024 and 2023, respectively, a decrease of $1.5 million. The decrease was primarily due to the change in the effective annual interest rate of the liability related to the sale of future royalties, whereby we no longer recognize interest on the liability as the effective annual interest rate is negative.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income was $26.6 million and zero for the nine months ended September 30, 2024 and 2023, respectively, an increase of $26.6 million, due to the gain associated with the adjustment to the carrying amount of the liability related to the sale of future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September 30, 2024, we had an accumulated deficit of approximately $391.1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September 30, 2024, we had approximately $26.6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18" w:name="page19"/>
    <w:bookmarkEnd w:id="18"/>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Common Stock and Warrants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27, 2023, we entered into a securities purchase agreement with certain institutional accredited investors, pursuant to which we agreed to issue and sell in a private placement (i) an aggregate of 1,425,000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30, 2023, we received aggregate gross proceeds under the Private Placement of $20.0 million and incurred approximately $0.4 million in offering expenses. Pursuant to the securities purchase agreement, we filed a registration statement on Form S-3 (File No. 333-273686), which was declared effective by the SEC on August 9, 2023, covering the resale of the Registrable Securities (as defined in the securities purchase agreement). In connection with the private placement, on August 29, 2023, Boehringer Ingelheim International GmbH, an investor in the private placement, designated an observer to attend, subject to certain exceptions, meetings of our board of directors and our committees, until the earlier of (i) the occurrence of a Change of Control and (ii) the date that it and its affiliates collectively hold less than 10%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no shares of our common stock were issued or sold under the Sales Agreement. As of September 30, 2024, an aggregate of $22.6 million was eligible for sale pursuant to the Sales Agreement under our effective registration statement on Form S-3 (File No. 333-267424).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p>
      <w:pPr>
        <w:ind w:right="6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(14.4 )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24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r>
      <w:tr>
        <w:trPr>
          <w:trHeight w:val="25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(14.4 )</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FF0FC"/>
          </w:tcPr>
          <w:p>
            <w:pPr>
              <w:spacing w:after="0"/>
              <w:rPr>
                <w:sz w:val="22"/>
                <w:szCs w:val="22"/>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$14.4 million during the nine months ended September 30, 2024 was primarily due to our net income of $5.7 million, non-cash interest expense for the sale of future royalties of $4.6 million, a $2.4 million increase in accrued expenses and stock-based compensation expense of $1.1 million, offset by the adjustment to the carrying amount of the liability related to the sale of future royalties of $26.6 million, a $1.3 million decrease in accounts payable and a $0.3 million increase in prepaid expenses.</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$8.8 million during the nine months ended September 30, 2023 was primarily due to our net loss of $21.0 million and a $0.4 million increase in prepaid expenses, partially offset by non-cash interest expense for the sale of future royalties of $6.1 million, a $3.1 million decrease in refundable regulatory fees, a $1.5 million increase in accrued expenses, stock-based compensation expense of $1.4 million, and an approximately $0.5 million increase in accounts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nine months ended September 30,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nine months ended September 30, 2024.</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$19.6 million during the nine months ended September 30, 2023 was primarily due to the net proceeds from our Private Placement closed in June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2023,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2023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2024. Based on the evaluation of our disclosure controls and procedures as of September 30, 2024,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2023, as filed with the Securities and Exchange Commission (“SEC”) on February 22, 2024. The risk factors set forth below are risk factors containing changes, which may be material, from the risk factors previously disclosed in Item 1A of our Annual Report on Form 10-K for the fiscal year ended December 31, 2023, as filed with the SEC.</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September 30, 2024, we had an accumulated deficit of approximately $391.1 million.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2. Management’s Discussion and Analysis of Financial Condition and Results of Operations—Clinical and Regulatory Updates—Complete Response Letter” for more information. While we have continued to have interactions with the FDA since receiving the CRL, with the goal of addressing questions raised in the CRL,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2" w:name="page23"/>
    <w:bookmarkEnd w:id="22"/>
    <w:p>
      <w:pPr>
        <w:ind w:right="580"/>
        <w:spacing w:after="0" w:line="282" w:lineRule="auto"/>
        <w:rPr>
          <w:sz w:val="20"/>
          <w:szCs w:val="20"/>
          <w:color w:val="auto"/>
        </w:rPr>
      </w:pPr>
      <w:r>
        <w:rPr>
          <w:rFonts w:ascii="Times New Roman" w:cs="Times New Roman" w:eastAsia="Times New Roman" w:hAnsi="Times New Roman"/>
          <w:sz w:val="18"/>
          <w:szCs w:val="18"/>
          <w:color w:val="auto"/>
        </w:rPr>
        <w:t>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September 30, 2024, we had cash, cash equivalents, and restricted cash of $26.6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79" w:lineRule="exact"/>
        <w:rPr>
          <w:sz w:val="20"/>
          <w:szCs w:val="20"/>
          <w:color w:val="auto"/>
        </w:rPr>
      </w:pPr>
    </w:p>
    <w:p>
      <w:pPr>
        <w:ind w:left="1020" w:right="5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3" w:name="page24"/>
    <w:bookmarkEnd w:id="23"/>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an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PDUFA goal date of February 26, 2024. The FDA also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Operations—Clinical and Regulatory Updates—Type C Meeting” for more information. On February 26, 2024, the FDA issued a CRL to our NDA for roluperidone. See the section titled “Item 2. Management’s Discussion and Analysis of Financial Condition and Results of Operations—Clinical and Regulatory Updates—Complete Response Letter” for more information. See also the risk factor above titled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incurred significant losses since our inception. We expect to continue to incur losses over the next several years and may never achieve or maintain profitability.” </w:t>
      </w:r>
      <w:r>
        <w:rPr>
          <w:rFonts w:ascii="Times New Roman" w:cs="Times New Roman" w:eastAsia="Times New Roman" w:hAnsi="Times New Roman"/>
          <w:sz w:val="18"/>
          <w:szCs w:val="18"/>
          <w:color w:val="auto"/>
        </w:rPr>
        <w:t>As a result of the CRL, we potentially need additional studies. Additional studies and data would impose increased costs and delays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9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the European Commission,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European Commission, the FDA or other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European Commission, FDA or other regulatory authorities may significantly change in a manner rendering our clinical data insufficient for approval.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4" w:name="page25"/>
    <w:bookmarkEnd w:id="24"/>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fewer business development opportunities and potential liabilities arising from stockholder litigation or other disputes.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reported, on April 10, 2024, we received a deficiency letter from Nasdaq notifying us that for the last 31 consecutive business days, the market value of listed securities (“MVLS requirement”) for our common stock had been below the minimum MVLS requirement of $35 million pursuant to Nasdaq Listing Rule 5550(b)(2) (the “Rule”). In accordance with the listing rules of Nasdaq, we were provided with a grace period of 180 calendar days, or until October 7, 2024, to regain compliance.</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previously reported, on October 8, 2024, we received a second written notice from Nasdaq indicating that, based upon our continued non-compliance with the Rule, the staff of Nasdaq had determined to delist our securities from The Nasdaq Capital Market unless we timely request a hearing before a Nasdaq Hearings Panel (the “Panel”). As a result, we have timely requested a hearing before the Panel, which had the effect of staying the delisting action pending the completion of the hearing and the expiration of any additional extension period granted by the Panel following the hearing. Under the Nasdaq Listing Rules, the Panel has the discretion to grant a further extension not to exceed April 5, 2025. Notwithstanding, there can be no assurance that the Panel will grant us a further extension or that we will ultimately regain compliance with all applicable requirements for continued listing on The Nasdaq Capital Market.</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in our Annual Report on Form 10-K for the year ended December 31, 2023.</w:t>
      </w:r>
    </w:p>
    <w:p>
      <w:pPr>
        <w:spacing w:after="0" w:line="17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policies, industry standards,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Although the CCPA and other state laws exempt some data processed in the context of clinical trials, these developments further complicate compliance efforts and increase legal risk and compliance costs for us and the third parties with whom we work.</w:t>
      </w:r>
    </w:p>
    <w:p>
      <w:pPr>
        <w:spacing w:after="0" w:line="19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addition, data privacy and security laws have been proposed at the federal, state, and local levels in recent years, which could further complicate compliance efforts, and we expect more states to pass similar laws in the future.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Compliance with the FADP and its revised ordinances may result in an increase of costs of compliance, risks of noncompliance and penalties for noncompliance.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6" w:name="page27"/>
    <w:bookmarkEnd w:id="26"/>
    <w:p>
      <w:pPr>
        <w:ind w:right="120"/>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data processing practices and to those of any third parties that process personal data on our behalf.</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and data related to clinical trials), intellectual property, and trade secrets (collectively, sensitive information).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ind w:right="20"/>
        <w:spacing w:after="0" w:line="254" w:lineRule="auto"/>
        <w:rPr>
          <w:sz w:val="20"/>
          <w:szCs w:val="20"/>
          <w:color w:val="auto"/>
        </w:rPr>
      </w:pPr>
      <w:r>
        <w:rPr>
          <w:rFonts w:ascii="Times New Roman" w:cs="Times New Roman" w:eastAsia="Times New Roman" w:hAnsi="Times New Roman"/>
          <w:sz w:val="18"/>
          <w:szCs w:val="18"/>
          <w:color w:val="auto"/>
        </w:rPr>
        <w:t>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We also share or receive sensitive information with or from third parties. Our ability to monitor these third parties’ information security practices is limited, and these third parties may not have adequate information security measures in place. While we may be entitled to damages if our third-party service providers or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the third parties with whom we work, will be effective. We take steps designed to detect, mitigate, and remediate vulnerabilities in our information systems (such as our hardware and/or software, including that of third parties with whom we work), but we may not be able to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If we (or a third party with whom we work)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8"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7"/>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2"/>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93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c>
          <w:tcPr>
            <w:tcW w:w="6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9"/>
          </w:tcPr>
          <w:p>
            <w:pPr>
              <w:spacing w:after="0"/>
              <w:rPr>
                <w:sz w:val="17"/>
                <w:szCs w:val="17"/>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Amended and Restated Bylaws of the Registrant (incorporated by reference to Exhibit 3.2 to the Registrant’s quarterly report on Form 10-</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Q (File No. 001-36517) filed with the SEC on November 4, 2019).</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9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(incorporated by reference to Exhibit 3.1 to the Registration’s current report on Form 8-K (File No. 001-36517) filed with the SEC on</w:t>
              </w:r>
            </w:hyperlink>
          </w:p>
        </w:tc>
        <w:tc>
          <w:tcPr>
            <w:tcW w:w="32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June 17,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24"/>
                <w:szCs w:val="24"/>
                <w:color w:val="auto"/>
              </w:rPr>
            </w:pPr>
          </w:p>
        </w:tc>
        <w:tc>
          <w:tcPr>
            <w:tcW w:w="9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880" w:type="dxa"/>
            <w:vAlign w:val="bottom"/>
            <w:gridSpan w:val="6"/>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24"/>
                <w:szCs w:val="24"/>
                <w:color w:val="auto"/>
              </w:rPr>
            </w:pPr>
          </w:p>
        </w:tc>
        <w:tc>
          <w:tcPr>
            <w:tcW w:w="9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7"/>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60" w:type="dxa"/>
            <w:vAlign w:val="bottom"/>
          </w:tcPr>
          <w:p>
            <w:pPr>
              <w:spacing w:after="0"/>
              <w:rPr>
                <w:sz w:val="24"/>
                <w:szCs w:val="24"/>
                <w:color w:val="auto"/>
              </w:rPr>
            </w:pPr>
          </w:p>
        </w:tc>
        <w:tc>
          <w:tcPr>
            <w:tcW w:w="9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Sarbanes-Oxley Act of 2002.</w:t>
            </w:r>
          </w:p>
        </w:tc>
        <w:tc>
          <w:tcPr>
            <w:tcW w:w="6600" w:type="dxa"/>
            <w:vAlign w:val="bottom"/>
            <w:gridSpan w:val="12"/>
          </w:tcPr>
          <w:p>
            <w:pPr>
              <w:spacing w:after="0"/>
              <w:rPr>
                <w:sz w:val="17"/>
                <w:szCs w:val="17"/>
                <w:color w:val="auto"/>
              </w:rPr>
            </w:pPr>
          </w:p>
        </w:tc>
      </w:tr>
      <w:tr>
        <w:trPr>
          <w:trHeight w:val="39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3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60" w:type="dxa"/>
            <w:vAlign w:val="bottom"/>
          </w:tcPr>
          <w:p>
            <w:pPr>
              <w:spacing w:after="0"/>
              <w:rPr>
                <w:sz w:val="24"/>
                <w:szCs w:val="24"/>
                <w:color w:val="auto"/>
              </w:rPr>
            </w:pPr>
          </w:p>
        </w:tc>
        <w:tc>
          <w:tcPr>
            <w:tcW w:w="9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 taxonomy extension information contained in Exhibits 101.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20" w:firstLine="8"/>
        <w:spacing w:after="0" w:line="255" w:lineRule="auto"/>
        <w:tabs>
          <w:tab w:leader="none" w:pos="1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30" w:name="page31"/>
    <w:bookmarkEnd w:id="3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30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81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Remy Luthringer,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Frederick Ahlholm</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70" Type="http://schemas.openxmlformats.org/officeDocument/2006/relationships/hyperlink" Target="https://www.sec.gov/Archives/edgar/data/0001598646/000104746914005459/a2219972zex-3_1.htm" TargetMode="External"/><Relationship Id="rId171" Type="http://schemas.openxmlformats.org/officeDocument/2006/relationships/hyperlink" Target="https://www.sec.gov/Archives/edgar/data/0001598646/000156459019039496/nerv-ex32_112.htm" TargetMode="External"/><Relationship Id="rId172"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2024-11-05T06:11:01Z</dcterms:created>
  <dcterms:modified xsi:type="dcterms:W3CDTF">2024-11-05T06:11:01Z</dcterms:modified>
</cp:coreProperties>
</file>