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6" w:lineRule="exact"/>
        <w:rPr>
          <w:rFonts w:ascii="MS PGothic" w:cs="MS PGothic" w:eastAsia="MS PGothic" w:hAnsi="MS PGothic"/>
          <w:sz w:val="18"/>
          <w:szCs w:val="18"/>
          <w:color w:val="auto"/>
        </w:rPr>
      </w:pPr>
    </w:p>
    <w:p>
      <w:pPr>
        <w:ind w:left="40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2023</w:t>
      </w:r>
    </w:p>
    <w:p>
      <w:pPr>
        <w:spacing w:after="0" w:line="72"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520" w:right="820" w:hanging="512"/>
        <w:spacing w:after="0" w:line="285" w:lineRule="auto"/>
        <w:tabs>
          <w:tab w:leader="none" w:pos="4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6320" w:type="dxa"/>
            <w:vAlign w:val="bottom"/>
            <w:gridSpan w:val="3"/>
          </w:tcPr>
          <w:p>
            <w:pPr>
              <w:jc w:val="center"/>
              <w:ind w:left="1627"/>
              <w:spacing w:after="0"/>
              <w:rPr>
                <w:sz w:val="20"/>
                <w:szCs w:val="20"/>
                <w:color w:val="auto"/>
              </w:rPr>
            </w:pPr>
            <w:r>
              <w:rPr>
                <w:rFonts w:ascii="Times New Roman" w:cs="Times New Roman" w:eastAsia="Times New Roman" w:hAnsi="Times New Roman"/>
                <w:sz w:val="16"/>
                <w:szCs w:val="16"/>
                <w:b w:val="1"/>
                <w:bCs w:val="1"/>
                <w:color w:val="auto"/>
              </w:rPr>
              <w:t>Commission File Number 001-36517</w:t>
            </w:r>
          </w:p>
        </w:tc>
        <w:tc>
          <w:tcPr>
            <w:tcW w:w="1160" w:type="dxa"/>
            <w:vAlign w:val="bottom"/>
          </w:tcPr>
          <w:p>
            <w:pPr>
              <w:spacing w:after="0"/>
              <w:rPr>
                <w:sz w:val="18"/>
                <w:szCs w:val="18"/>
                <w:color w:val="auto"/>
              </w:rPr>
            </w:pPr>
          </w:p>
        </w:tc>
      </w:tr>
      <w:tr>
        <w:trPr>
          <w:trHeight w:val="87"/>
        </w:trPr>
        <w:tc>
          <w:tcPr>
            <w:tcW w:w="29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464"/>
        </w:trPr>
        <w:tc>
          <w:tcPr>
            <w:tcW w:w="6320" w:type="dxa"/>
            <w:vAlign w:val="bottom"/>
            <w:gridSpan w:val="3"/>
          </w:tcPr>
          <w:p>
            <w:pPr>
              <w:ind w:left="1720"/>
              <w:spacing w:after="0"/>
              <w:rPr>
                <w:sz w:val="20"/>
                <w:szCs w:val="20"/>
                <w:color w:val="auto"/>
              </w:rPr>
            </w:pPr>
            <w:r>
              <w:rPr>
                <w:rFonts w:ascii="Times New Roman" w:cs="Times New Roman" w:eastAsia="Times New Roman" w:hAnsi="Times New Roman"/>
                <w:sz w:val="38"/>
                <w:szCs w:val="38"/>
                <w:b w:val="1"/>
                <w:bCs w:val="1"/>
                <w:color w:val="auto"/>
                <w:w w:val="99"/>
              </w:rPr>
              <w:t>Minerva Neurosciences, Inc.</w:t>
            </w:r>
          </w:p>
        </w:tc>
        <w:tc>
          <w:tcPr>
            <w:tcW w:w="1160" w:type="dxa"/>
            <w:vAlign w:val="bottom"/>
          </w:tcPr>
          <w:p>
            <w:pPr>
              <w:spacing w:after="0"/>
              <w:rPr>
                <w:sz w:val="24"/>
                <w:szCs w:val="24"/>
                <w:color w:val="auto"/>
              </w:rPr>
            </w:pPr>
          </w:p>
        </w:tc>
      </w:tr>
      <w:tr>
        <w:trPr>
          <w:trHeight w:val="212"/>
        </w:trPr>
        <w:tc>
          <w:tcPr>
            <w:tcW w:w="6320" w:type="dxa"/>
            <w:vAlign w:val="bottom"/>
            <w:gridSpan w:val="3"/>
          </w:tcPr>
          <w:p>
            <w:pPr>
              <w:jc w:val="center"/>
              <w:ind w:left="162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160" w:type="dxa"/>
            <w:vAlign w:val="bottom"/>
          </w:tcPr>
          <w:p>
            <w:pPr>
              <w:spacing w:after="0"/>
              <w:rPr>
                <w:sz w:val="18"/>
                <w:szCs w:val="18"/>
                <w:color w:val="auto"/>
              </w:rPr>
            </w:pPr>
          </w:p>
        </w:tc>
      </w:tr>
      <w:tr>
        <w:trPr>
          <w:trHeight w:val="100"/>
        </w:trPr>
        <w:tc>
          <w:tcPr>
            <w:tcW w:w="29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151"/>
        </w:trPr>
        <w:tc>
          <w:tcPr>
            <w:tcW w:w="6320" w:type="dxa"/>
            <w:vAlign w:val="bottom"/>
            <w:gridSpan w:val="3"/>
          </w:tcPr>
          <w:p>
            <w:pPr>
              <w:jc w:val="center"/>
              <w:ind w:right="396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1160" w:type="dxa"/>
            <w:vAlign w:val="bottom"/>
          </w:tcPr>
          <w:p>
            <w:pPr>
              <w:spacing w:after="0"/>
              <w:rPr>
                <w:sz w:val="24"/>
                <w:szCs w:val="24"/>
                <w:color w:val="auto"/>
              </w:rPr>
            </w:pPr>
          </w:p>
        </w:tc>
      </w:tr>
      <w:tr>
        <w:trPr>
          <w:trHeight w:val="238"/>
        </w:trPr>
        <w:tc>
          <w:tcPr>
            <w:tcW w:w="632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1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192"/>
        </w:trPr>
        <w:tc>
          <w:tcPr>
            <w:tcW w:w="6320" w:type="dxa"/>
            <w:vAlign w:val="bottom"/>
            <w:gridSpan w:val="3"/>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75"/>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 w:type="dxa"/>
            <w:vAlign w:val="bottom"/>
            <w:tcBorders>
              <w:top w:val="single" w:sz="8" w:color="auto"/>
              <w:bottom w:val="single" w:sz="8" w:color="auto"/>
            </w:tcBorders>
          </w:tcPr>
          <w:p>
            <w:pPr>
              <w:spacing w:after="0"/>
              <w:rPr>
                <w:sz w:val="23"/>
                <w:szCs w:val="23"/>
                <w:color w:val="auto"/>
              </w:rPr>
            </w:pPr>
          </w:p>
        </w:tc>
        <w:tc>
          <w:tcPr>
            <w:tcW w:w="3880" w:type="dxa"/>
            <w:vAlign w:val="bottom"/>
            <w:tcBorders>
              <w:top w:val="single" w:sz="8" w:color="auto"/>
              <w:bottom w:val="single" w:sz="8" w:color="auto"/>
              <w:right w:val="single" w:sz="8" w:color="auto"/>
            </w:tcBorders>
            <w:gridSpan w:val="4"/>
          </w:tcPr>
          <w:p>
            <w:pPr>
              <w:jc w:val="center"/>
              <w:ind w:right="339"/>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NERV</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gridSpan w:val="3"/>
          </w:tcPr>
          <w:p>
            <w:pPr>
              <w:jc w:val="center"/>
              <w:ind w:right="779"/>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6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67"/>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YES</w:t>
            </w:r>
          </w:p>
        </w:tc>
        <w:tc>
          <w:tcPr>
            <w:tcW w:w="2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7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28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20"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0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34"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756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aggregate value of the Company’s Common Stock held by non-affiliates of the Company was approximately $36.9 million as of June 30, 2023, when the last reported sales price was $9.14 per share.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February 19, 2024 was 6,993,406.</w:t>
      </w:r>
    </w:p>
    <w:p>
      <w:pPr>
        <w:spacing w:after="0" w:line="7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73" w:lineRule="exact"/>
        <w:rPr>
          <w:sz w:val="24"/>
          <w:szCs w:val="24"/>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2024 Annual Meeting of Stockholders to be filed pursuant to Regulation 14A with the Securities and Exchange Commission are incorporated by reference into Part III of this Report. Such proxy statement will be filed with the Securities and Exchange Commission not later than 120 days following the end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016"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80" w:type="dxa"/>
            <w:vAlign w:val="bottom"/>
            <w:gridSpan w:val="11"/>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MINERVA NEUROSCIENCES, INC.</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gridSpan w:val="9"/>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8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EE"/>
            </w:tcBorders>
            <w:vMerge w:val="continue"/>
          </w:tcPr>
          <w:p>
            <w:pPr>
              <w:spacing w:after="0"/>
              <w:rPr>
                <w:sz w:val="14"/>
                <w:szCs w:val="14"/>
                <w:color w:val="auto"/>
              </w:rPr>
            </w:pPr>
          </w:p>
        </w:tc>
        <w:tc>
          <w:tcPr>
            <w:tcW w:w="58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EE"/>
            </w:tcBorders>
            <w:gridSpan w:val="6"/>
          </w:tcPr>
          <w:p>
            <w:pPr>
              <w:spacing w:after="0"/>
              <w:rPr>
                <w:sz w:val="18"/>
                <w:szCs w:val="18"/>
                <w:color w:val="auto"/>
              </w:rPr>
            </w:pPr>
          </w:p>
        </w:tc>
        <w:tc>
          <w:tcPr>
            <w:tcW w:w="7500" w:type="dxa"/>
            <w:vAlign w:val="bottom"/>
            <w:gridSpan w:val="1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800" w:type="dxa"/>
            <w:vAlign w:val="bottom"/>
            <w:gridSpan w:val="21"/>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200" w:type="dxa"/>
            <w:vAlign w:val="bottom"/>
            <w:gridSpan w:val="16"/>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7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520" w:type="dxa"/>
            <w:vAlign w:val="bottom"/>
            <w:gridSpan w:val="4"/>
          </w:tcPr>
          <w:p>
            <w:pPr>
              <w:spacing w:after="0"/>
              <w:rPr>
                <w:sz w:val="18"/>
                <w:szCs w:val="18"/>
                <w:color w:val="auto"/>
              </w:rPr>
            </w:pPr>
          </w:p>
        </w:tc>
        <w:tc>
          <w:tcPr>
            <w:tcW w:w="80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8740" w:type="dxa"/>
            <w:vAlign w:val="bottom"/>
            <w:gridSpan w:val="20"/>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EE"/>
            </w:tcBorders>
            <w:gridSpan w:val="3"/>
          </w:tcPr>
          <w:p>
            <w:pPr>
              <w:spacing w:after="0"/>
              <w:rPr>
                <w:sz w:val="18"/>
                <w:szCs w:val="18"/>
                <w:color w:val="auto"/>
              </w:rPr>
            </w:pPr>
          </w:p>
        </w:tc>
        <w:tc>
          <w:tcPr>
            <w:tcW w:w="308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6200" w:type="dxa"/>
            <w:vAlign w:val="bottom"/>
            <w:gridSpan w:val="9"/>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06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76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220" w:type="dxa"/>
            <w:vAlign w:val="bottom"/>
            <w:gridSpan w:val="17"/>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40" w:type="dxa"/>
            <w:vAlign w:val="bottom"/>
            <w:gridSpan w:val="2"/>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440" w:type="dxa"/>
            <w:vAlign w:val="bottom"/>
            <w:gridSpan w:val="8"/>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24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Person Transactions and Director Independence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594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00" w:type="dxa"/>
            <w:vAlign w:val="bottom"/>
            <w:gridSpan w:val="5"/>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7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460" w:type="dxa"/>
            <w:vAlign w:val="bottom"/>
            <w:gridSpan w:val="3"/>
          </w:tcPr>
          <w:p>
            <w:pPr>
              <w:spacing w:after="0"/>
              <w:rPr>
                <w:sz w:val="18"/>
                <w:szCs w:val="18"/>
                <w:color w:val="auto"/>
              </w:rPr>
            </w:pP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1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20" w:type="dxa"/>
            <w:vAlign w:val="bottom"/>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service marks, and copyrights appearing in this Annual Report on Form 10-K are the property of their respective owners.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Annual Report on Form 10-K under Part I, Item IA, “Risk Factors.”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summary of risks below provides an overview of the principal risks that we are exposed to in the normal course of our business activities. The below summary of risks is not exhaustive, and such summary should be considered in addition to the other risks described elsewhere in this report:</w:t>
      </w:r>
    </w:p>
    <w:p>
      <w:pPr>
        <w:spacing w:after="0" w:line="54" w:lineRule="exact"/>
        <w:rPr>
          <w:sz w:val="20"/>
          <w:szCs w:val="20"/>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continue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by issuing equity securities will cause dilution to existing stockholders. Raising additional funds through debt financings may involve restrictive covenants and raising funds through lending and licensing arrangements may restrict our operations or require us to relinquish proprietary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regarding fair value of intangible assets may result in an adverse impact on our results of operations;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give any assurance that any of our product candidates will receive regulatory approval in a timely manner or at all. The results of clinical trials conducted at sites outside the U.S. may not be accepted by the FDA and the results of clinical trials conducted at sites in the U.S. may not be accepted by comparable foreign regulatory authorities;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in clinical testing, we will be delayed in commercializing our product candidates, our costs may increase, and our business may be harmed. If we are unable to enroll subjects in clinical trials, we will be unable to complete these trials on a timely basis or at all. Our clinical trials may fail to demonstrate adequately the safety and efficacy of our product candidates, which could prevent or delay regulatory approval and commercialization, and also increase costs;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or comparable foreign regulatory authorities caused by funding shortages or global health concerns could negatively impact our business;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a product candidate or the approval may be for a narrower indication than we expect. We have no experience in advancing product candidates beyond Phase 3 clinical trials, which makes it difficult to assess our ability to develop and commercialize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 w:name="page4"/>
    <w:bookmarkEnd w:id="3"/>
    <w:p>
      <w:pPr>
        <w:ind w:left="503" w:right="1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our product candidate, MIN-301, has not yet been determined. Depending on the pathway, we may be subject to different regulatory requirements;</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any product that we or our collaborators develop are smaller than we believe, our revenue may be adversely affected and our business may suffer;</w:t>
      </w:r>
    </w:p>
    <w:p>
      <w:pPr>
        <w:spacing w:after="0" w:line="53" w:lineRule="exact"/>
        <w:rPr>
          <w:rFonts w:ascii="Times New Roman" w:cs="Times New Roman" w:eastAsia="Times New Roman" w:hAnsi="Times New Roman"/>
          <w:sz w:val="18"/>
          <w:szCs w:val="18"/>
          <w:color w:val="auto"/>
        </w:rPr>
      </w:pPr>
    </w:p>
    <w:p>
      <w:pPr>
        <w:ind w:left="503" w:right="9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us;</w:t>
      </w:r>
    </w:p>
    <w:p>
      <w:pPr>
        <w:spacing w:after="0" w:line="53" w:lineRule="exact"/>
        <w:rPr>
          <w:rFonts w:ascii="Times New Roman" w:cs="Times New Roman" w:eastAsia="Times New Roman" w:hAnsi="Times New Roman"/>
          <w:sz w:val="18"/>
          <w:szCs w:val="18"/>
          <w:color w:val="auto"/>
        </w:rPr>
      </w:pPr>
    </w:p>
    <w:p>
      <w:pPr>
        <w:ind w:left="503" w:right="5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drug candidates receives regulatory approval, it may fail to achieve the degree of market acceptance by physicians, patients,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503" w:right="1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 Even if we commercialize any of our product candidates, these products may become subject to unfavorable pricing regulations, third-party reimbursement practices or healthcare reform initiatives, which could harm our business;</w:t>
      </w:r>
    </w:p>
    <w:p>
      <w:pPr>
        <w:spacing w:after="0" w:line="75"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and future legislation may increase the difficulty and cost for us to commercialize our product candidates and affect the prices we may obtain;</w:t>
      </w:r>
    </w:p>
    <w:p>
      <w:pPr>
        <w:spacing w:after="0" w:line="53" w:lineRule="exact"/>
        <w:rPr>
          <w:rFonts w:ascii="Times New Roman" w:cs="Times New Roman" w:eastAsia="Times New Roman" w:hAnsi="Times New Roman"/>
          <w:sz w:val="18"/>
          <w:szCs w:val="18"/>
          <w:color w:val="auto"/>
        </w:rPr>
      </w:pPr>
    </w:p>
    <w:p>
      <w:pPr>
        <w:ind w:left="503" w:right="10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system failures. 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 Our disclosure controls and procedures may not prevent or detect all errors or acts of fraud;</w:t>
      </w:r>
    </w:p>
    <w:p>
      <w:pPr>
        <w:spacing w:after="0" w:line="71" w:lineRule="exact"/>
        <w:rPr>
          <w:rFonts w:ascii="Times New Roman" w:cs="Times New Roman" w:eastAsia="Times New Roman" w:hAnsi="Times New Roman"/>
          <w:sz w:val="18"/>
          <w:szCs w:val="18"/>
          <w:color w:val="auto"/>
        </w:rPr>
      </w:pPr>
    </w:p>
    <w:p>
      <w:pPr>
        <w:ind w:left="503" w:right="40" w:hanging="503"/>
        <w:spacing w:after="0" w:line="312" w:lineRule="auto"/>
        <w:tabs>
          <w:tab w:leader="none" w:pos="5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w:t>
      </w:r>
    </w:p>
    <w:p>
      <w:pPr>
        <w:spacing w:after="0" w:line="31" w:lineRule="exact"/>
        <w:rPr>
          <w:rFonts w:ascii="Times New Roman" w:cs="Times New Roman" w:eastAsia="Times New Roman" w:hAnsi="Times New Roman"/>
          <w:sz w:val="17"/>
          <w:szCs w:val="17"/>
          <w:color w:val="auto"/>
        </w:rPr>
      </w:pPr>
    </w:p>
    <w:p>
      <w:pPr>
        <w:ind w:left="503" w:right="2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and rules, contractual obligations, policies, industry standards, and other obligations related to data privacy and security.</w:t>
      </w:r>
    </w:p>
    <w:p>
      <w:pPr>
        <w:spacing w:after="0" w:line="53" w:lineRule="exact"/>
        <w:rPr>
          <w:rFonts w:ascii="Times New Roman" w:cs="Times New Roman" w:eastAsia="Times New Roman" w:hAnsi="Times New Roman"/>
          <w:sz w:val="18"/>
          <w:szCs w:val="18"/>
          <w:color w:val="auto"/>
        </w:rPr>
      </w:pPr>
    </w:p>
    <w:p>
      <w:pPr>
        <w:jc w:val="both"/>
        <w:ind w:left="503" w:right="68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71"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continue to expect to rely on third parties to conduct our future clinical trials. The failure of these third parties to successfully carry out their contractual duties or meet expected deadlines could substantially harm our business;</w:t>
      </w:r>
    </w:p>
    <w:p>
      <w:pPr>
        <w:spacing w:after="0" w:line="53"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w:t>
      </w:r>
    </w:p>
    <w:p>
      <w:pPr>
        <w:spacing w:after="0" w:line="6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certain of our licensing partners, and could be seriously harmed if our license agreements are terminated or breached;</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potential future milestone payments to the Company depend on the development and commercialization of seltorexant, and we may be obligated to make related payments to certain of our contractual partners even if certain of our other contractual partners breach their obligations to pay us;</w:t>
      </w:r>
    </w:p>
    <w:p>
      <w:pPr>
        <w:spacing w:after="0" w:line="67"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new collaborations, which could adversely affect our ability to develop future product candidates and commercialize future products;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53" w:lineRule="exact"/>
        <w:rPr>
          <w:rFonts w:ascii="Times New Roman" w:cs="Times New Roman" w:eastAsia="Times New Roman" w:hAnsi="Times New Roman"/>
          <w:sz w:val="18"/>
          <w:szCs w:val="18"/>
          <w:color w:val="auto"/>
        </w:rPr>
      </w:pPr>
    </w:p>
    <w:p>
      <w:pPr>
        <w:ind w:left="503" w:right="7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 consuming and unsuccessful;</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what the market price of our common stock will be and, as a result, it may be difficult for you to sell your shares of our common stock;</w:t>
      </w:r>
    </w:p>
    <w:p>
      <w:pPr>
        <w:spacing w:after="0" w:line="53"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by our existing stockholders in the public market could cause our stock price to fall;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litigation could result in substantial damages and may divert management’s time and attention from our business;</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dividends on our capital stock, and because we do not anticipate paying any cash dividends in the foreseeable future, capital appreciation, if any, of our common stock will be your sole source of gain on an investment in our common stock; and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The Nasdaq Capital Market which could negatively impact the price of our common stock, liquidity and our ability to access the capital markets.</w:t>
      </w:r>
    </w:p>
    <w:p>
      <w:pPr>
        <w:spacing w:after="0" w:line="162"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developing roluperidone (f/k/a MIN-101) for the treatment of negative symptoms in patients with schizophrenia and have exclusive rights to develop and commercialize MIN-301 for the treatment of Parkinson’s disease. In addition, we previously co-developed seltorexant (f/k/a MIN-202 or JNJ-42847922)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milestone payments, subject to completion of Phase 3 trials by Janssen and regulatory approvals. Janssen is currently conducting one Phase 3 study with seltorexant, completed a Phase 3 study during 2023, and discontinued a Phase 3 study during 2022.</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The FDA initially notified us that they would not accept the file for review, issuing a refusal to file letter (“RTF”) in October 2022. Subsequently, we requested a formal dispute resolution and appealed the RTF, following which, on April 27, 2023, the FDA filed our NDA for roluperidone. In May 2023, the FDA confirmed that the NDA for roluperidone was assigned a standard review classification and a Prescription Drug User Fee Act (“PDUFA”) goal date of February 26, 2024. The FDA advised that it identified potential review issues that had been previously cited in the RTF decision letter, which included those discussed at the Type C meeting in March 2022. See “—Clinical and Regulatory Updates” below for more information.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December 31, 2023 and 2022, we had an accumulated deficit of $396.8 million and $366.8 million, respectively. For the years ended December 31, 2023 and 2022, we recorded net losses of $30.0 million and $32.1 million, respectively.</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our product candidates have potential to improve the lives of a large number of affected patients and their families who are currently not well-served by available therapies. According to Datamonitor, an independent market research firm, in 2023 approximately 2.9 million people suffered from schizophrenia in the United States (“U.S.”), Japan, the United Kingdom (“UK”), and the four major European Union (“EU”) markets of France, Germany, Italy, and Spain. There is no approved treatment to address negative symptoms in patients with schizophrenia in the U.S., which is a significant driver of the cost burden of that disease. An estimated 69% of treated patients with schizophrenia have predominant/persistent negative symptoms. Negative symptoms also exist in other CNS diseases beyond schizophrenia, the existing treatments for which we believe are poorly addressed in a broad range of indications such as Alzheimer’s disease, Parkinson’s disease and depression.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strategy is to develop and commercialize first-in-class products that address critical unmet medical needs in the CNS therapeutic area. We are pursuing this strategy based on the following principles: selection of differentiated products with novel mechanisms of action that target therapeutic areas of high unmet need and significant disease burden; attention to patient safety and compliance; scientific rigor applied to patient selection and clinical trial conduct; engagement of highly trained clinical trial investigators; incorporation of patient and caregiver insights to drive clinical advancements; and integrity. With the experience and knowledge base of our clinicians and physicians, we have generated substantive data from randomized, double blind, placebo-controlled trials that support the clinical advancement of these products in defined patient populations and in multiple regulatory jurisdictions. In summary, key elements of our strategy are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p>
      <w:pPr>
        <w:ind w:left="1020" w:right="1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and develop differentiated products with innovative mechanisms of action based on biological and clinical insights into the unmet needs of patients;</w:t>
      </w:r>
    </w:p>
    <w:p>
      <w:pPr>
        <w:ind w:left="1020" w:right="28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randomized, double-blind, placebo-controlled data from completed trials to advance the clinical development of our product candidates in multiple regulatory jurisdictions;</w:t>
      </w:r>
    </w:p>
    <w:p>
      <w:pPr>
        <w:ind w:left="1020" w:right="12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roluperidone, which, if approved, will potentially be the first product approved to treat negative symptoms in patients with schizophrenia in the U.S. and, in the longer term as a potential treatment for other brain disorders in which negative symptoms represent a significant debilitating, unmet need;</w:t>
      </w:r>
    </w:p>
    <w:p>
      <w:pPr>
        <w:spacing w:after="0" w:line="1"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explore collaborations with leading pharmaceutical companies to maximize the value of our current product candidate portfolio, particularly in connection with pivotal clinical trials and subsequent regulatory review, approval and commercialization; and</w:t>
      </w:r>
    </w:p>
    <w:p>
      <w:pPr>
        <w:ind w:left="1020" w:right="780" w:hanging="503"/>
        <w:spacing w:after="0" w:line="26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our management team’s expertise and current intellectual property portfolio to identify and explore additional indications to investigate with our current portfolio of compounds and to acquire additional product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Minerva Neurosciences, Inc. was formed in November 2013 from the merger of Cyrenaic Pharmaceuticals, Inc. and Sonkei Pharmaceuticals, Inc. These two predecessor companies had exclusively licensed roluperidone and another compound from Mitsubishi Tanabe Pharma Corporation (“MTPC”). In February 2014 we acquired Mind-NRG Sarl (“Mind-NRG”), which owns exclusive rights to develop and commercialize MIN-301 globally.</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potential commercialization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Roluperidone (MIN-101)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86"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8"/>
          <w:szCs w:val="18"/>
          <w:color w:val="auto"/>
        </w:rPr>
        <w:t>Roluperidone is a compound that has been shown to block serotonin, sigma, and α</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adrenergic receptors that are involved in the regulation of mood, cognition, sleep and anxiety. We are developing roluperidone to treat patients with schizophrenia. Roluperidone has been designed to block a specific subtype of serotonin receptor called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When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is blocked, certain symptoms of schizophrenia, such as hallucinations, delusions, agitation and thought and movement disorders, as well as the side effects associated with antipsychotic treatments, can be minimized. Additionally, blocking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promotes slow wave sleep, a sleep stage often disrupted in patients with schizophrenia. Roluperidone has also been designed to block a specific subtype of sigma receptor called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which is involved in movement control, psychotic symptom control and learning and memory. Blocking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along with blocking the α</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adrenergic subtypes α</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and to a lesser extent α</w:t>
      </w:r>
      <w:r>
        <w:rPr>
          <w:rFonts w:ascii="Times New Roman" w:cs="Times New Roman" w:eastAsia="Times New Roman" w:hAnsi="Times New Roman"/>
          <w:sz w:val="24"/>
          <w:szCs w:val="24"/>
          <w:color w:val="auto"/>
          <w:vertAlign w:val="subscript"/>
        </w:rPr>
        <w:t>1B</w:t>
      </w:r>
      <w:r>
        <w:rPr>
          <w:rFonts w:ascii="Times New Roman" w:cs="Times New Roman" w:eastAsia="Times New Roman" w:hAnsi="Times New Roman"/>
          <w:sz w:val="18"/>
          <w:szCs w:val="18"/>
          <w:color w:val="auto"/>
        </w:rPr>
        <w:t>, also increases calcium levels in neurons in the brain, which can improve memory. Pre-clinical findings provide evidence of the effect of roluperidone on Brain-Derived Neurotrophic Factor (“BDNF”), which has been associated with neurogenesis, neuroplasticity, neuroprotection, synapse regulation, learning and memory.</w:t>
      </w:r>
    </w:p>
    <w:p>
      <w:pPr>
        <w:spacing w:after="0" w:line="20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believe the scientifically supported and innovative mechanisms of action of roluperidone may potentially address the unmet needs of schizophrenic patients, which include treatment of negative symptoms and cognitive impairment, without the side effects of existing therapies. Negative symptoms are lifelong debilitating symptoms and include: asociality, or the lack of motivation to engage in social interactions; anhedonia, or the inability to experience positive emotions; alogia, or failure to engage in normal conversation; avolition, or loss of energy and interest in activities; and blunted affect, or diminished emotional expression. We plan to seek approval of roluperidone initially as a first line treatment of negative symptoms in patients diagnosed with schizophrenia, and we also may study its use to treat all aspects of the disease, including positive symptoms and relapse prevention. We believe that roluperidone, if approved, could treat the majority of patients diagnosed with schizophrenia. An estimated 69% of patients diagnosed with schizophrenia have negative symptoms, with at least 42% of patients diagnosed with schizophrenia having prominent negative symptoms.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Beyond schizophrenia, we believe roluperidone may potentially possess therapeutic utility in brain disorders where negative symptoms are a core feature of the disease associated with a range of poor clinical outcomes. These potential indications include apathy in dementia, for which we have filed an Investigational New Drug (“IND”) application and been cleared by FDA, the majority of schizophrenia spectrum and other psychotic disorders, autism spectrum disorders, Alzheimer’s disease, Parkinson’s disease and depression.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Clinical and Regulatory Updates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1b Clinical Trial (MIN-101C18)</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October 2023, we initiated a clinical trial to evaluate the safety, tolerability, pharmacodynamics and pharmacokinetics of the co-administration of roluperidone and olanzapine in adult subjects with moderate to severe negative symptoms of schizophrenia. The main question this clinical trial aims to answer are the pharmacodynamic and pharmacokinetic effects and safety of the concomitant therapy of roluperidone with an established and widely used antipsychotic. Results from this study are expected to be available in the first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Drug Application Filed</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27, 2023, the FDA filed our NDA for roluperidone for the treatment of negative symptoms in patients with schizophrenia. The decision to file the NDA followed our request for formal dispute resolution and appeal of the RTF. The issues cited in the RTF decision included those discussed at the Type C meeting in March 2022. In granting the appeal, the FDA deciding official agreed with us that the issues cited in the RTF decision should be considered during the FDA’s review of the NDA.</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May 8, 2023, we received confirmation from the FDA that the NDA for roluperidone has been filed in accordance with the Appeal Granted letter dated April 27, 2023 and assigned a standard review classification and a PDUFA goal date of February 26, 2024. The FDA advised that it identified potential review issues that had been previously cited in the RTF decision letter, which included those discussed at a Type C meeting in March 2022, described further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NDA Fee Refund</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January 2023, we received a refund of our NDA filing fee of approximately $3.1 million from the FDA. This refund was made in accordance with the Federal Food Drug and Cosmetic Act, which allows a fee waiver for a small business submitting its first human drug application.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Drug Application Submission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August 2022, we submitted an NDA to the FDA for roluperidone for the treatment of negative symptoms in patients with schizophrenia. The NDA submission is supported by results from two late-stage, well-controlled studies in patients with moderate to severe negative symptoms and stable positive symptoms of schizophrenia, referred to as Study MIN-101C03 (the Phase 2b trial) and Study MIN-101C07 (the Phase 3 trial). Both studies were planned to constitute the bulk of evidence of roluperidone’s effectiveness for the indication of treating negative symptoms of schizophrenia. This plan relied on both studies having the same overall study design: both were multicenter, multinational, randomized, double-blind, placebo-controlled, parallel-group studies in which patients received either 32 mg or 64 mg doses of roluperidone. In both studies, if patients were taking antipsychotic treatments, they were discontinued and a washout period of two days was implemented before beginning the assigned study treatment. Both studies capture comparative placebo-controlled data through their 12-week double-blind period. Both studies also provide long-term exposure data regarding the safety and tolerability of roluperidone, as well as efficacy based on blinded doses of roluperidone, specifically intended to demonstrate the maintenance of improvement in negative symptoms and the low rate of worsening of positive symptoms following 24-week (Study MIN-101C03) and 40-week (Study MIN-101C07)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 As such, the data from these studies are the basis for the decision to submit the application at this stage of development as we believe they provide data to support the long-term safety and efficacy in adults in an area of high unmet medical need.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seeking approval for the 64 mg dose of roluperidone, and results described hereafter are for the 64 mg dose only.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Results of Study MIN-101C03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PANSS Marder’s Negative Symptoms Factor Score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8" w:name="page9"/>
    <w:bookmarkEnd w:id="8"/>
    <w:p>
      <w:pPr>
        <w:ind w:right="40"/>
        <w:spacing w:after="0" w:line="254" w:lineRule="auto"/>
        <w:rPr>
          <w:sz w:val="20"/>
          <w:szCs w:val="20"/>
          <w:color w:val="auto"/>
        </w:rPr>
      </w:pPr>
      <w:r>
        <w:rPr>
          <w:rFonts w:ascii="Times New Roman" w:cs="Times New Roman" w:eastAsia="Times New Roman" w:hAnsi="Times New Roman"/>
          <w:sz w:val="18"/>
          <w:szCs w:val="18"/>
          <w:color w:val="auto"/>
        </w:rPr>
        <w:t>The superiority of roluperidone over placebo was also demonstrated in Study MIN-101C07. Although the primary analysis (intent-to-treat (“ITT”)) of change from Baseline in the NSFS to Week 12 for roluperidone compared to placebo marginally missed statistical significance (p ≤ 0.064), the results were quantitatively superior for 64 mg roluperidone treatment. Furthermore, the analysis of the modified intent-to-treat (“mITT”) population (mITT data set excludes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(key secondary endpoint measuring vocational and social skills) reached statistical significance for both ITT and mITT populations (p ≤ 0.022 and p ≤ 0.017, respectively). Further improvements in the NSFS and PSP Total score were also seen during the 40-week OL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C Meeting</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April 2022, we received the official meeting minutes from the Type C meeting with the FDA held on March 2, 2022, in which the development of roluperidone for the treatment of negative symptoms in schizophrenia was discussed. Four main topics (listed below) were highlighted by the FDA for which they requested input and further clarification from us. Following the meeting, we provided additional data to address:</w:t>
      </w:r>
    </w:p>
    <w:p>
      <w:pPr>
        <w:spacing w:after="0" w:line="68" w:lineRule="exact"/>
        <w:rPr>
          <w:sz w:val="20"/>
          <w:szCs w:val="20"/>
          <w:color w:val="auto"/>
        </w:rPr>
      </w:pPr>
    </w:p>
    <w:p>
      <w:pPr>
        <w:ind w:left="1020" w:right="14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roluperidone administration on the efficacy and safety of antipsychotic drugs.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US and non-US schizophrenia patients. More specifically, the Division wanted to be reassured that data collected in MIN-101C03 in non-US patients is applicable to US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statistical evidence of efficacy of roluperidone on negative symptoms.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clinicians to identify patients who might benefit from roluperidone.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Chemistry, Manufacturing and Controls program</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chemistry, manufacturing and controls (“CMC”) scale-up program for roluperidone is ongoing to ensure consistency between the drug batches used during Phase 3 testing and those that will be available for potential marketing and commercialization and subsequent regulatory submission and review of an NDA for roluperidone. The CMC program requires validation of all aspects of the manufacturing processes required to result in a drug product that consistently meets approved quality standards.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2019 we entered into a long-term commercial supply agreement for roluperidone with Catalent, Inc. (“Catalent”), a leading global provider of advanced delivery technologies, development, and manufacturing solutions for drugs, biologics, gene therapies, and consumer health products. Under the terms of the agreement, Catalent manufactures and packages the finished dose form of roluperidone at its facility in Schorndorf, Germany. To date, Catalent has worked with us to enable the transfer from pilot to commercial-scale production. This has included analytical methods transfer and validation, process optimization, stability studies, and registration batch manufacturing, as well as packaging studies and the assessment of the influence of formulation factors on the product’s critical quality attributes as required by Quality by Design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Drug-Drug Interaction Studies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completed certain pharmacology trials that include a Drug-Drug Interaction study, which comprise a standard part of the NDA. We have studied interactions separately with molecules inhibiting two subtypes of the cytochrome P450 (CYP2D6 and CYP3A4). The data from this study show minimal to no interaction with the strong CYP3A4 inhibitor, and some interaction (&lt; 1.6-fold increase in exposure) with the moderate CYP2D6 inhibitor.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Dose Escalation Study with formulation employed in Phase 3 clinical trial</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completed a prospective, double-blind, placebo-controlled, randomized single-escalating dose study in healthy subjects to evaluate the investigational drug roluperidone as monotherapy administered at nine ascending doses (16, 32, 64, 96, 128, 160, 192, 224 and 256 mg). The highest dose tested is 4 multiples of the highest dose (64 mg) used in the Phase 3 trial.</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trial included a total of 90 subjects. 72 received 9 different doses of roluperidone, and 18 received placebo. All subjects who were dosed completed the study as planned except for one male subject who received placebo and subsequently withdrew his consent.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the findings from the trial suggest an expanded therapeutic window and a significantly improved safety margin for roluperidone. Furthermore, we believe these data suggest the potential for future testing of roluperidone in schizophrenic patients with an exacerbation of psychosis at higher doses than those used in the Phase 3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Brain-Derived Neurotrophic Factor (“BDNF”) Findings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completed non-clinical studies that provide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18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in cultured astrocytes. Furthermore, data showed that roluperidone enhanced BDNF gene expression at drug concentrations comparable to those observed in humans at tested doses. Based on these results, we believe that the effect of roluperidone on BDNF and GDNF may indicate its potential for disease modification and improved neuroplasticity, in addition to its observed effects on the serotoninergic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sigma</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and α</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and α</w:t>
      </w:r>
      <w:r>
        <w:rPr>
          <w:rFonts w:ascii="Times New Roman" w:cs="Times New Roman" w:eastAsia="Times New Roman" w:hAnsi="Times New Roman"/>
          <w:sz w:val="24"/>
          <w:szCs w:val="24"/>
          <w:color w:val="auto"/>
          <w:vertAlign w:val="subscript"/>
        </w:rPr>
        <w:t>1B</w:t>
      </w:r>
      <w:r>
        <w:rPr>
          <w:rFonts w:ascii="Times New Roman" w:cs="Times New Roman" w:eastAsia="Times New Roman" w:hAnsi="Times New Roman"/>
          <w:sz w:val="18"/>
          <w:szCs w:val="18"/>
          <w:color w:val="auto"/>
        </w:rPr>
        <w:t>- adrenergic neurotransmitter pathways.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Roluperidone License Agreement with MTPC</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entered into a license agreement with MTPC dated as of August 30, 2007, as amended (“Roluperidone License Agreement”). Under the terms of the Roluperidone License Agreement, we acquired an exclusive license to the lead compound known as CYR-101 (subsequently renamed MIN-101 and roluperidone), and other compounds with a similar structure and intended purpose and other data included within the valid claims of certain patents licensed to us under the Roluperidone License Agreement. The license is for world-wide rights other than certain countries in Asia, including China, Japan, India and South Korea. We will pay MTPC a tiered royalty for net sales of product by us or any of our affiliates or sublicensees containing the licensed compound at a range of percentages of the high single digits to the low teens depending on net sales of products under the Roluperidone License Agreement. We were also required to make certain milestone payments upon the achievement of certain development and commercial milestones, potentially up to $57.5 million for roluperidone and up to $59.5 million for additional products.</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January 2014 we renegotiated the structure of the license for roluperidone such that we are required to make milestone payments upon the achievement of one development milestone totaling $0.5 million and certain commercial milestones, which could total up to $47.5 million, in the aggregate, as well as the tiered royalty payments described above. In addition, in the event that we sell the rights to the license, MTPC will be entitled to a percentage of milestone payments in the low teens and a percentage of royalties received by us in the low double digits. This license agreement expires upon the expiration of our obligation to pay royalties, upon which we will have a fully paid-up, non-exclusive, perpetual, irrevocable license. Our obligation to pay royalties continues, on a country-by-country basis, until the 12 year anniversary from the launch of the product in each country in our territory.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Seltorexant (MIN-202)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 of Seltorexant and the Royalty Pharma Arrangement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Seltorexant is an innovative selective orexin 2 receptor antagonist that we co-developed with Janssen for the treatment of insomnia and MDD. Insomnia is the repeated difficulty with sleep initiation, maintenance or quality that occurs despite adequate time and opportunity for sleep, resulting in daytime impairment. Insomnia can be the primary condition for patients or a secondary symptom of, and contributor to, another medical or psychiatric condition, such as MDD or schizophrenia.</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Phase 3 trials by Janssen and regulatory approvals. Janssen is currently conducting one Phase 3 study with seltorexant, completed a Phase 3 study during 2023, and discontinued a Phase 3 study during 2022.</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Historical Clinical Developments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2019 we announced top-line results from a Phase 2b clinical trial in which flexibly dosed seltorexant (20 mg or 40 mg) was compared to flexibly dosed quetiapine XR (150 mg or 300 mg) for adjunctive treatment of patients with MDD. There were 102 patients enrolled, each with MDD not responding adequately to SSRIs and SNRIs. The primary endpoint was all cause discontinuation of therapy over 6 months. Mood improvement, measured using the MADRS, and safety and tolerability were evaluated. The primary intent of this exploratory trial was to generate data to assist with the planning of Phase 3 studies; it was not powered to detect statistical significance. Quetiapine XR was used as a comparator, because it is the only medication approved for the adjunctive treatment of MDD in both the U.S. and the European Union.</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May 2019 we announced positive top-line results from a Phase 2b trial of seltorexant as adjunctive therapy to antidepressants in adult patients with MDD who have responded inadequately to antidepressant therapy, including selective serotonin reuptake inhibitors (“SSRIs”) and/or serotonin-norepinephrine reuptake inhibitors (“SNRIs”). We believe these results represent the first clinical observation in a large, late-stage study that a selective orexin molecule can achieve a positive effect as an adjunctive treatment in patients with MDD who have an inadequate response to SSRIs and SNRIs. We believe these findings, if confirmed in Phase 3 studies, may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an opportunity to improve treatment response rates safely in most of these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MIN-301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 of MIN-301 and Strategic Development Deferral</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our acquisition of Mind-NRG in February 2014, we have exclusive rights to develop and commercialize MIN-301, a soluble recombinant form of the Neuregulin-1b1 (“NRG-1b1”), protein, for the treatment of Parkinson’s disease and potentially for other neurodegenerative disorders. We believe MIN-301 may have the potential to slow the onset of, and restore the brain tissue damage caused by, the disease. MIN-301 is produced by recombinant technology, which is a type of process that modifies the genetics of a biological organism to cause it to produce a particular product. MIN-301 is a peptide that contains the extracellular domain of the human neureglin-1 beta 1 protein and is produced using an Escherichia coli organism that is genetically engineered to express this peptide. Once administrated, this peptide binds to a particular receptor, ErbB4, which produces certain biological effects. For instance, binding to ErbB4 modulates the levels of certain neurotransmitters such as Gamma-Aminobutyric Acid (“GABA”) and glutamate in the brain, which are often unbalanced in individuals with Parkinson’s disease. Further, ErbB4 promotes oxygenation and metabolism of neurons and it is involved in the control of brain inflammation, which may indicate that MIN-301 could have the potential to reverse the damage caused by Parkinson’s disease.</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Current treatments for Parkinson’s disease improve the symptoms of patients, but none have been proven to delay the onset of the disease, slow or prevent the progression of the disease or reverse its effects. Due to MIN-301’s novel mechanism of action that targets neurological deficits, we believe MIN-301 may have the potential to address these unmet needs of patients and, if approved, may be used as an early-stage monotherapy as well as a complementary therapy to existing treatments.</w:t>
      </w:r>
    </w:p>
    <w:p>
      <w:pPr>
        <w:spacing w:after="0" w:line="18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2021, we made the strategic decision to focus our limited resources on moving forward our lead drug candidate, roluperidone, and deferred the development of MIN-301 until additional resources become available.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Development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Optimization of the bioanalytical method was accomplished during 2020 following the completion of a rat pharmacokinetic study. The new bioanalytical method facilitates the detection of MIN-301 concentrations at very low levels which we believe may enable further non-clinical testing of this compound.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Impairment of MIN-301 In-process Research and Development Asset</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 development for MIN-301 in conjunction with the acquisition of MIN-301 during 2014. No updates were made in respect of the development of MIN-301 during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 Competition in the Pharmaceutical Market for the Treatment of Schizophrenia</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Current drug therapies for the treatment of schizophrenia mainly target the positive symptoms of the disease. When patients present positive symptoms and require treatment, they are typically given either conventional “first-generation” antipsychotic medication, such as GlaxoSmithKline’s Thorazine Sanofi-Aventis’ Largactil (chlorpromazine) and Janssen’s Haldol (haloperidol), or second-generation “atypical antipsychotics,” such as Novartis’ Clozaril (clozapine), Janssen’s Risperdal (risperidone), AstraZeneca’s Seroquel (quetiapine), Eli Lilly’s Zyprexa (olanzapine) and Bristol-Myers Squibb’s Abilify (aripiprazole).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Both types of existing therapies have limited ability to improve negative symptoms and cognitive symptoms. In addition, existing therapies have extensive side effects such as weight gain, metabolic syndrome, sedation, nausea, movement disorders, restlessness, insomnia, impairment of cognitive skills, and prolactin increase. Since schizophrenia has a wide range of symptoms, multiple therapeutics are often prescribed in an attempt to address all aspects of the disease, compounding these side effects.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Given the focus of currently approved drug therapies for positive symptoms and their side effect profiles, we believe these therapies are unlikely to be directly competitive with roluperidone, which is intended to target primarily negative symptoms. However, new drug therapies in addition to roluperidone are being developed to address the limitations of current therapies. Several new pharmacological approaches have been investigated. One targets a neurotransmitter called glutamate and the other targets a neurotransmitter called nicotine. Glutamate is the most predominant neurotransmitter system in maintaining the brain in an active state and is involved in maintaining accurate vigilance, attention and contributing to some cognitive skills. Nicotine is among the most predominant neurotransmitter system involved in learning and some other cognitive skills.</w:t>
      </w:r>
    </w:p>
    <w:p>
      <w:pPr>
        <w:spacing w:after="0" w:line="18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Specific compounds under late-stage development that include negative symptoms as a target include Acadia Pharmaceuticals’ pimavanserin, a selective serotonin 5HT</w:t>
      </w:r>
      <w:r>
        <w:rPr>
          <w:rFonts w:ascii="Times New Roman" w:cs="Times New Roman" w:eastAsia="Times New Roman" w:hAnsi="Times New Roman"/>
          <w:sz w:val="24"/>
          <w:szCs w:val="24"/>
          <w:color w:val="auto"/>
          <w:vertAlign w:val="subscript"/>
        </w:rPr>
        <w:t>2A</w:t>
      </w:r>
      <w:r>
        <w:rPr>
          <w:rFonts w:ascii="Times New Roman" w:cs="Times New Roman" w:eastAsia="Times New Roman" w:hAnsi="Times New Roman"/>
          <w:sz w:val="18"/>
          <w:szCs w:val="18"/>
          <w:color w:val="auto"/>
        </w:rPr>
        <w:t xml:space="preserve"> inverse agonist (“SSIA”) that is approved for the treatment of hallucinations and delusions associated with Parkinson’s disease psychosis. In the fourth quarter of 2019 Acadia announced positive results from their pivotal ADVANCE study and in the third quarter of 2020, initiated a second pivotal study, ADVANCE-2. The Phase 3 program is evaluating the efficacy of pimavanserin in patients with predominantly negative symptoms of schizophrenia who have achieved adequate control of positive symptoms with their existing antipsychotic treatment. Acadia expects that top-line results will be available in the first quarter of 2024. In January 2019, Lundbeck indicated they would begin proof-of-concept studies for Lu AF11167, a PDE-10 inhibitor for the treatment of persistent negative symptoms in schizophrenia. In August 2020, Lundbeck announced they were discontinuing the trial based on the results of a futility interim analysis, which concluded that the trial was unlikely to achieve statistical significance on its primary endpoint, mean change from baseline to week 12 on the Brief Negative Symptom Scale (“BNSS”).</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products in clinical development, as a monotherapy or as an adjunctive treatment, whose targets include negative symptoms, (although not necessarily defined as a primary outcome of their clinical trials) are Roche’s RO6889450/RG-7906, Neurocrine’s NBI-1065844 (formerly Takeda’s TAK-831), SyneuRx’s NaBen, Avanir Pharmaceuticals’ AVP-786, and Karuna Therapeutics’ KarXT. In November 2023, the FDA accepted the KarXT NDA for filing and granted a PDUFA goal date of September 26, 2024. In addition, a number of academic groups are conducting studies with existing compounds for the treatment of negative symptoms of schizophrenia.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 Competition in the Pharmaceutical Market for the Treatment of Parkinson’s Disease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Current treatments for Parkinson’s disease are intended to improve the symptoms of patients. The cornerstone of Parkinson’s therapy is levodopa, as it is the most effective therapy for reducing symptoms of Parkinson’s disease. However, levodopa may cause unpleasant systemic side effects, such as dyskinesias, and is often used with dopaminergics to manage these side effects. While initially effective, symptoms become increasingly difficult to control over time, and patients experience a pattern of motor complications that include motor fluctuations, dyskinesias, off-period dystonia, freezing and falls. Accordingly, there are advantages to deferring their use to later stages of the disease, or using them with other therapies to reduce the side effects of motor fluctuations and dyskinesia that 50% of levodopa patients experience.</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Unlike currently available therapies, MIN-301, if approved, is intended to delay the onset of the disease, slow or prevent the progression of the disease or reverse its effects. Since MIN-301 is expected to target Parkinson’s disease, rather than merely its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symptoms, and current therapies are not fully effective at improving the symptoms of Parkinson’s disease without side effects, we believe that levodopa and other currently available generic products may not be directly competitive with MIN-301. While there are other drug therapies in development that will target the disease, such as gene and stem cell therapy and A2A receptor agonists, the majority of products in development for disease modifying treatments of Parkinson’s disease are still in early-stage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products and technologies that we believe are important to our business, including seeking and maintaining patent protection intended to cover the composition of our product candidates, their methods of use, related technology and other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portfolios for our product candidates, which we own or are exclusively licensed to us,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w:t>
      </w:r>
    </w:p>
    <w:p>
      <w:pPr>
        <w:spacing w:after="0" w:line="227"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own numerous granted patents and patent applications worldwide that provide strong protection for roluperidone. These include patents and applications directed to pharmaceutical compositions comprising roluperidone and methods of using roluperidone.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Compositions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own four granted U.S. patents, U.S. Patent Nos. 9,458,130, 9,730,920, 10,258,614 and 10,799,493, and patents in Australia, Chile, Colombia, Europe, Israel, Mexico, and Ukraine, as well as pending applications in the U.S., Australia, Brazil, Canada, Chile, Eurasia, Europe, Israel, New Zealand, Peru, Ukraine, and South Africa that cover a novel formulation comprising roluperidone. This novel formulation provides improved therapeutic response and minimizes the potential for transient QTc increases – and thus safety issues – when compared to previous formulations. Because of this improved safety profile, it is this formulation of roluperidone that is being used in Phase 3 clinical trials, and it is this formulation that we expect will be the basis for approval in the US and EU. The granted U.S. patents, as well as any other U.S. or foreign patents that may grant from these applications, will expire no earlier than November 30, 2035. These patents are listable in the FDA’s Orange Book and would, we believe, bar generic competition during their terms. In addition to the patent terms referenced above, a patent term extension of up to 5 years may also be available.</w:t>
      </w:r>
    </w:p>
    <w:p>
      <w:pPr>
        <w:spacing w:after="0" w:line="1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own pending applications in the U.S., Australia, Brazil, Canada, Chile, Colombia, Europe, Israel, Mexico, New Zealand, Peru, Russia, Ukraine, and South Africa that cover gastro-resistant, controlled release dosage formulations of roluperidone. The terms of any future granted patents in this patent family would expire no earlier than June 21, 2038.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of Use</w:t>
      </w:r>
    </w:p>
    <w:p>
      <w:pPr>
        <w:spacing w:after="0" w:line="22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We own U.S. Patent No. 9,732,059, three granted patents in Russia, a single patent in Canada, and a single patent in a number of European territories (Austria, Belgium, Denmark, Finland, France, Germany, Greece, Ireland, Italy, Luxembourg, Netherlands, Norway, Poland, Portugal, Spain, Sweden, Switzerland, Turkey, United Kingdom, Anguilla, Bermuda, Cayman Islands, Gibraltar, Jersey, Turks &amp; Caicos Islands, and British Virgin Islands), as well as pending applications in United States, Brazil, Canada, Europe, and Russia across two patent families that are directed to methods of use of roluperidone to treat negative and other symptoms of schizophrenia, sleep disorders, depression, and other sigma-2 disorders or conditions. U.S. Patent No. 9,732,059 covers the use of roluperidone to treat one or more negative symptoms of schizophrenia and will not expire until 2033. This patent is listable in the FDA’s Orange Book and would, we believe, bar generic competition during its term. A patent term extension of up to 5 years may also be available. The foreign patents, as well as any future U.S. or foreign patents granting in these families, are scheduled to expire no earlier than July 20, 2031.</w:t>
      </w:r>
    </w:p>
    <w:p>
      <w:pPr>
        <w:spacing w:after="0" w:line="1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also own U.S. and EP patent applications directed to the use of roluperidone to treat negative symptoms in non-schizophrenic patients. Any patents granting from these applications would expire no earlier than May 23, 2037.</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own a U.S. patent and pending applications in the U.S., Australia, Brazil, Canada, Chile, Europe, Israel, Mexico, New Zealand, Russia, Ukraine, United Kingdom, and South Africa directed to the use of roluperidone to treat negative symptoms, various disorders (including autism disorders, amblyopia, personality disorders, traumatic brain injury), as well as increasing neuroplasticity and promoting neuroprotection in subjects in need thereof. The U.S. Patent and any future U.S. or foreign patents granting from these applications would expire no earlier than August 21, 2039.</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MIN-301</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own a patent family that is directed to the use of MIN-301 for treating neurologic and psychiatric diseases, including Parkinson’s disease. This patent family includes patents granted in the U.S., Australia, Brazil, Canada, Europe (Austria, Belgium, Denmark, France, Germany, Greece, Ireland, Italy, Netherlands, Norway, Portugal, Spain, Sweden, Switzerland, Turkey and United Kingdom), Japan, Mexico and Russia. Applications are also pending in the United States and Brazil. Any existing and future granted patents in this family will expire no earlier than November 17, 2028. A patent term extension of up to five years may be available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Sigma Ligands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own applications in the U.S., Australia, Canada, China, Europe, Japan, and Hong Kong directed to sigma ligand compounds and their potential use in treating a variety of diseases and disorders, including pain disorders, CNS disorders (e.g., Parkinson’s disease and Alzheimer’s disease), viruses, and cancer. Any patents granting from these applications would expire no earlier than August 12, 2041. We also own a PCT application directed to the use of sigma ligand compounds in treating lysosomal storage disorders, including Niemann-Pick disease. Any patents granting from national phase applications that may be filed based upon this PCT application would expire no earlier than February 15, 2044. A patent term extension of up to five years may be available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our product candidates may also be eligible for data and marketing exclusivity protection in the U.S., EU and certain other countries. If our product candidates are approved and this protection is available, no competitor may use the data in our application for regulatory approval of our product candidates to obtain regulatory approval of a generic product during the data exclusivity period.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small molecules, such as roluperidone, the data and marketing exclusivity period is generally five years in the U.S., measured from the FDA approval date. If MIN-301 is approved as a biologic product, it may be eligible for a data and marketing exclusivity period of twelve years in the U.S. The data and marketing exclusivity periods in the U.S. may be extended by 6 months of pediatric exclusivity if a qualifying pediatric study is performed. Similar data and market exclusivity opportunities are available in the EU; for more information, see the section titled “—Government Regulation and Product Approval —</w:t>
      </w:r>
      <w:r>
        <w:rPr>
          <w:rFonts w:ascii="Times New Roman" w:cs="Times New Roman" w:eastAsia="Times New Roman" w:hAnsi="Times New Roman"/>
          <w:sz w:val="18"/>
          <w:szCs w:val="18"/>
          <w:i w:val="1"/>
          <w:iCs w:val="1"/>
          <w:color w:val="auto"/>
        </w:rPr>
        <w:t>Data and Marketing Exclusivity in the EU”</w:t>
      </w:r>
      <w:r>
        <w:rPr>
          <w:rFonts w:ascii="Times New Roman" w:cs="Times New Roman" w:eastAsia="Times New Roman" w:hAnsi="Times New Roman"/>
          <w:sz w:val="18"/>
          <w:szCs w:val="18"/>
          <w:color w:val="auto"/>
        </w:rPr>
        <w:t xml:space="preserve">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regulatory approval. Our product candidates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Except for most of Asia, we have global commercialization rights for roluperidone. We also own worldwide rights for MIN-301. We believe that it will be possible for us to access European and, in the case of roluperidone and MIN-301, other priority markets including the United States, Asia, and Latin America, through a focused, specialized sales force where the population dynamics would prove efficient. We may enter into sales, distribution or other marketing arrangements with third parties for priority markets or limited to certain territories for any of our drug candidates that obtain regulatory approval.</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receiving regulatory approvals, we expect to commence commercialization activities by building a focused sales and marketing organization, either alone or through collaborations with third parties, in the United States, EU and Latin America to sell our product candidates. We believe that such an organization will be able to target the community of physicians who are the key specialists in treating the patient populations for which our product candidates are being developed. Additionally, we plan to engage fully with all key constituencies involved in treatment decisions, including payors, patients and others.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Medicinal Products in the European Union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in the EU</w:t>
      </w:r>
    </w:p>
    <w:p>
      <w:pPr>
        <w:spacing w:after="0" w:line="227"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In the EU, clinical trials are governed by the Clinical Trials Regulation (EU) No 536/2014 (“CTR”), which entered into application on January 31, 2022, repealing and replacing the former Clinical Trials Directive 2001/20 (“CTD”) and related national implementing legislation of EU Member States.</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CTR is intended to harmonize and streamline clinical trial authorizations, simplify adverse-event reporting procedures, improve the supervision of clinical trials and increasing their transparency. Specifically, the Regulation, which is directly applicable in all EU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extent to which ongoing clinical trials will be governed by the CTR will depend on the duration of the individual clinical trial. For clinical trials in relation to which application for approval was made on the basis of the CTD before January 31, 2023, the CTD will continue to apply on a transitional basis until January 31, 2025. By that date, all ongoing trials will become subject to the provisions of the CTR. The CTR will apply to clinical trials from an earlier date if the clinical trial has already transitioned to the CTR framework.</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all cases, the clinical trials must be conducted in accordance with EU and national requirements governing clinical trials, including the Good Clinical Practice Directive 2005/28 and ethical principles that have their origin in the Declaration of Helsinki. Studies should also be conducted in accordance with all applicable European Medicines Agency (“EMA”), European Commission and national guidelines and investigational medicinal products used in clinical trials must be manufactured in accordance with Good Manufacturing Practices and in a GMP licensed facility, which can be subject to GMP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 in the EU</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a related marketing authorization (“MA”) has been granted. A company may submit a marketing authorization application (“MAA”), either on the basis of the centralized, or decentralized procedure or mutual recognition procedure.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obtain a MA for a product in the EEA (which is comprised of the 27 Member States of the European Union plus Norway, Iceland and Liechtenstein), an applicant must submit an MAA either under a centralized procedure administered by the EMA or one of the procedures administered by competent authorities in the EU Member States (decentralized procedure, national procedure or mutual recognition procedure). An MA may be granted only to an applicant established in the EU.</w:t>
      </w:r>
    </w:p>
    <w:p>
      <w:pPr>
        <w:spacing w:after="0" w:line="18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centralized procedure provides for the grant of a single MA by the European Commission that is valid for all EU Member States. Pursuant to Regulation (EC) No 726/2004, the centralized procedure is compulsory for specific products, including for (i) medicinal products derived from biotechnological processes, (ii)products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5" w:name="page16"/>
    <w:bookmarkEnd w:id="15"/>
    <w:p>
      <w:pPr>
        <w:ind w:right="40"/>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MAA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Decentralized Procedures – Human (“CMDh”) for review. The subsequent decision of the European Commission is binding on all EU Member States.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eCTD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spacing w:after="0" w:line="254"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EU, Regulation (EC) No 1901/2006 provides that all marketing authorization applications for new medicinal products must include the results of trials conducted in the pediatric population, in compliance with a pediatric investigation plan (“PIP”), agreed with the EMA’s Pediatric Committee (“PDCO”).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(“SPC”), if any is in effect at the time of authorization or, in the case of orphan medicinal products, a two-year extension of orphan market exclusivity.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Regulation in the EU</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Various requirements apply to the manufacturing and placing on the EU market of medicinal products. The manufacturing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 in the EU</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Data Disclosure</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jurisdictions have mandatory clinical trial information obligations incumbent on sponsors. In the EU, transparency requirements relating to clinical trial information are established in the CTR. The CTR establishes a general principle according to which information contained in CTIS shall be made publicly accessible unless confidentiality is justified on grounds of protecting personal data, or commercially confidential information, necessary to protect confidential communications between EU Member States in relation to the preparation of an assessment report, or necessary to ensure effective supervision of the conduct of a clinical trial by EU Member States. This confidentiality exception may be overruled if there is an overriding public interest in disclosure. The publication of data and documents in relation to the conduct of a clinical trial will take place in accordance with specific timelines. The timelines are established by the EMA and are determined based on the documents and the categorization of the clinical trial.</w:t>
      </w:r>
    </w:p>
    <w:p>
      <w:pPr>
        <w:spacing w:after="0" w:line="18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Regulation No. 1049/2001 on access to documents, or the ATD Regulation, and the related EMA policy 0043 on access to documents, provide for a wide right for EU-based interested parties to submit an access to documents request to the EMA to access certain information held by the EMA. Only very limited information is exempted from disclosure (i.e., commercially confidential information, which is construed increasingly narrowly and protected personal data). It is possible for competitors to access and use this data in their own research and development programs anywhere in the world, once these data are in the public domain.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FDA Approval Process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packaging, storage, recordkeeping, approval, labeling, advertising, promotion and marketing, distribution, post-approval monitoring and reporting, sampling, and import and export of pharmaceutical products. MIN-301, a peptide, may be regulated as a biologic and additionally subject to the Public Health Service Act. Failure to comply with applicable U.S. requirements may subject a company to a variety of administrative or judicial sanctions, such as FDA refusal to allow pending Investigational New Drug Applications (“INDs”), and approve NDAs, withdrawal of a marketing approval, imposition of clinical holds or termination of clinical trials, or issuance of Warning or Untitled Letters, product recalls, product seizures, refusal to allow imports or exports total or partial suspension of production or distribution, debarment, injunctions, fines, refusal of government contracts, exclusion from participation in federal and state healthcare programs, restitution, disgorgement, civil penalties and criminal prosecution, including criminal fines and imprisonment.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8" w:name="page19"/>
    <w:bookmarkEnd w:id="18"/>
    <w:p>
      <w:pPr>
        <w:ind w:right="20"/>
        <w:spacing w:after="0" w:line="256" w:lineRule="auto"/>
        <w:rPr>
          <w:sz w:val="20"/>
          <w:szCs w:val="20"/>
          <w:color w:val="auto"/>
        </w:rPr>
      </w:pPr>
      <w:r>
        <w:rPr>
          <w:rFonts w:ascii="Times New Roman" w:cs="Times New Roman" w:eastAsia="Times New Roman" w:hAnsi="Times New Roman"/>
          <w:sz w:val="18"/>
          <w:szCs w:val="18"/>
          <w:color w:val="auto"/>
        </w:rPr>
        <w:t>FDA approval is required before any new unapproved drug or dosage form, including a new use of a previously approved drug, can be marketed in the United States. Pharmaceutical product development in the United States typically involves, among other things,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significant financial investment, and the actual time and cost required may vary substantially based upon the type, complexity and novelty of the product or disease indicated for treatment.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pharmacology, stability,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any available clinical data or literature, and a proposed clinical trial protocol, among other items. Certain pre-clinical tests, such as animal tests of reproductive toxicity and carcinogenicity, may be conducted after the IND is submitted. A 30-day waiting period after the submission of each IND is required prior to the commencement of clinical testing in humans. If the FDA has not placed a clinical hold on the IND within this 30-day period, the clinical trial proposed in the IND may begin. Should FDA place a clinical hold on the IND, the IND sponsor and the FDA must resolve any outstanding concerns before the clinical trial may begin.</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a qualified investigator. Clinical trials must be conducted in compliance with federal regulations, good clinical practices (“GCP”), which include the ethical principles that all research subjects provide their informed consent in writing for their participation in any clinical trial, and that all trials be approved and monitored on an ongoing basis by an institutional review board (“IRB”). Clinical trials must also be conducted under protocols detailing the objectives of the trial, trial procedures, the parameters to be used in monitoring safety and the effectiveness criteria to be evaluated, and a statistical analysis plan. Each protocol involving testing in U.S. subjects and subsequent protocol amendments must be submitted to the FDA as part of the IND. The study protocol and informed consent information for subjects in clinical trials, along with all amendments, must also be submitted to an IRB for approval.</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subjects with the target disease or condition, the drug is tested to assess safety, metabolism, pharmacokinetics, pharmacological actions, side effects associated with increasing doses and, if possible, early evidence of effectiveness. Phase 2 usually involves trials in a limited subject population with the target disease or condition to evaluate the effectiveness of the drug for a particular indication or indications, dosage tolerance and optimum dosage, and identify possible adverse effects and safety risks. If a compound demonstrates evidence of effectiveness and an acceptable safety profile in Phase 2 evaluations, generally two adequate and well-controlled Phase 3 trials are undertaken to obtain additional information about clinical efficacy and safety in a larger number of subjects, typically at geographically dispersed clinical trial sites, to establish the overall benefit-risk relationship of the drug and to provide adequate information for the labeling of the drug. In some cases, the FDA may condition approval on the sponsor’s agreement to conduct additional clinical trials to further assess the drug’s safety and effectiveness after approval. Such post-approval trials are typically referred to as Phase 4 trials. Progress reports detailing the results of the clinical trials must be submitted at least annually to the FDA and more frequently if serious adverse events occur. Information about certain clinical trials, including a description of the study and study results must also be submitted within specific timeframes to the National Institutes of Health (“NIH”), for public dissemination on their clinicaltrials.gov website.</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the Current Good Manufacturing Practices (“cGMPs”). Investigational drugs and active pharmaceutical ingredients imported into the United States are also subject to regulation by FDA relating to their labeling and distribution. Further, the export of investigational drug products outside of the United States is subject to regulatory requirements of the receiving country as well as United States export requirements.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FDA may impose a clinical hold on a clinical trial, or impose other sanctions, at any time on various grounds, including a finding that the research subjects are being exposed to an unacceptable health risk or if it believes that the clinical trials are not being conducted in accordance with FDA requirements. Similarly, an IRB can suspend or terminate approval of a clinical trial at its institution if the clinical trial is not being conducted in accordance with the IRB’s requirements or if the drug has been associated with unexpected serious harm to subjects, or may impose other conditions on the conduct of the research.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Sponsors may also suspend or terminate a clinical trial based on safety concerns, a lack of evidence of drug efficacy, evolving business objectives and/or competitive climate.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40"/>
        <w:spacing w:after="0" w:line="258"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and proposed labeling, among other things. Under federal law, the submission of most marketing applications is subject to a substantial application user fee, and the sponsor of an approved application is also subject to annual program fees.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marketing application or supplement to a marketing application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(“REMS”), either during the application process or after the approval of the drug to mitigate any identified or suspected serious risks, and to identify any new risks that were not apparent in clinical investigations. The REMS plan could include medication guides, physician communication plans, assessment plans, and elements to assure safe use, such as restricted distribution methods, patient registries or other risk minimization tools.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the FDA has agreed to certain performance goals in the review of NDAs. The FDA has a goal of reviewing ninety percent of applications for non-priority drug products within 10 months of the FDA’s acceptance of the full application for filing. The review process may be extended by the FDA under certain circumstances.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FDCA and FDA guidance, before approving a drug for which no active ingredient (including any ester or salt of the active ingredients) has previously been approved by the FDA or a first-of-a-kind, first-in-class biologic, FDA must either refer that drug to an external advisory committee or provide in an action letter, a summary of the reasons why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the FDA will inspect the facility or the facilities at which the drug is manufactured. The FDA will not approve the product unless the facility, and all of its subcontractors and contract manufacturers, demonstrate compliance with cGMPs, and provide adequate assurance that they can consistently produce the product within required specifications, and the NDA contains data that provides substantial evidence that the drug is safe and effective for the indication sought in the proposed labeling. Additionally, the FDA will typically inspect one or more clinical trial sites to assure compliance with GCPs before approving a marketing application. After the FDA evaluates the marketing application and the manufacturing facilities, it may issue an approval letter, or a complete response letter. A complete response letter generally outlines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those deficiencies have been addressed to the FDA’s satisfaction in a resubmission of the NDA, the FDA may issue an approval letter.</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with specific prescribing information for specific indications. As a condition of NDA approval, the FDA may require substantial post-approval testing and surveillance to monitor the drug’s safety or efficacy and may impose other conditions, including labeling restrictions, limitations on the approved indications, contraindications, warnings or precautions, such as boxed warnings, distribution restrictions or other risk-management mechanisms under a REMS which can materially affect the potential market and profitability of the drug. The FDA may prevent or limit further marketing of a product based on the results of post-marketing trials or surveillance programs. Further, if there are any modifications to the drug, including changes in indications, labeling, manufacturing processes or facilities, or new safety issues arise, a new or supplemental NDA or a post-implementation notification or other report may be required or requested depending on the change, which may require additional data or additional pre-clinical studies and clinical trials. Once granted, product approvals may be withdrawn if compliance with regulatory standards is not maintained or problems are identified following initial marketing.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approvals from the FDA or comparable foreign regulatory authorities are subject to pervasive and continuing regulation by the FDA, or comparable foreign regulatory authorities including, among other things, requirements relating to recordkeeping, periodic reporting, product sampling and distribution, advertising and promotion, and reporting of adverse experiences with the product and drug shortages. After approval, most changes to the approved product, such as adding new indications, manufacturing changes or other labeling claims, are subject to further testing requirements and prior review and approval by the FDA or comparable foreign regulatory authorities.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announced and unannounced inspections by the FDA, state agencies, as well as comparable foreign regulatory authorities for compliance with cGMP and other regulatory requirements. Changes to the manufacturing process are strictly regulated and may require prior approval from or notification to the FDA or comparable foreign regulatory authorities before being implemented. FDA and comparable foreign regulatory authorities also require investigation and correction of any deviations from cGMP and impose reporting and documentation requirements upon the sponsor and any third-party manufacturers that the sponsor may decide to use.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and comparable foreign regulatory authorities strictly regulate marketing, labeling, advertising and promotion of products that are placed on the market. Although physicians, in the practice of medicine, may prescribe approved drugs for unapproved indications if in their professional medical judgment they believe it to be appropriate, pharmaceutical companies may only market and promote their drug products for the FDA approved indications and in accordance with the provisions of the approved label. The FDA and other regulatory authorities actively enforce the laws prohibiting the marketing and promotion of off-label uses, and a company that is found to have improperly marketed or promoted off-label uses may be subject to significant liability, including, among others, criminal and civil penalties under the FDCA and False Claims Act, exclusion from participation in federal healthcare programs, and mandatory compliance programs. Equivalent limitations and penalties are provided in the EU both at the EU and at national level in individual EU Member States.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Moreover, the Drug Quality and Security Act imposes obligations on manufacturers of pharmaceutical products, among others, related to product and tracking and tracing.</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new MAAs in the European Union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RMPs and PSURs can be made available to third parties requesting access, subject to limited redactions and related conditions.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EU Member State and can differ from one country to another. All advertising and promotional activities for the product must be consistent with the approved summary of product characteristics in connection with an MA. The SmPC is the document that provides information to physicians concerning the safe and effective use of the product. Promotional activity that does not comply with the SmPC is considered off-label and is prohibited in the EU. Direct-to-consumer advertising of prescription only medicines is also prohibited in the European Union.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United Kingdom’s, or UK, withdrawal from the EU on January 31, 2020, commonly referred to as Brexit, has changed the regulatory relationship between the UK and the EU. The Medicines and Healthcare products Regulatory Agency, or MHRA, is now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UK’s standalone regulator for medicinal products and medical devices. Great Britain (England, Scotland and Wales) is now a third country to the EU.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Ireland will, with regard to EU regulations, continue to follow the EU regulatory rules for now.</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governed by the Medicines for Human Use (Clinical Trials) Regulations 2004, as amended, which is derived from the CTD, as implemented into UK national law through secondary legislation.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determine how closely the UK regulations will align with the CTR. In October 2023, the MHRA announced a new Notification Scheme for clinical trials which enables a more streamlined and risk-proportionate approach to initial clinical trial applications for Phase 4 and low-risk Phase 3 clinical trial applications.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Marketing authorizations in the UK are governed by the Human Medicines Regulations (SI 2012/1916), as amended. Since January 1, 2021, an applicant for the EU centralized procedure marketing authorization can no longer be established in the UK. As a result, since this date, companies established in the UK cannot use the EU centralized procedure and instead must follow one of the UK national authorization procedures or one of the remaining post-Brexit international cooperation procedures to obtain a marketing authorization to market products in the UK. All existing EU marketing authorizations for centrally authorized products were automatically converted or grandfathered into UK marketing authorization, effective in Great Britain only, free of charge on January 1, 2021, unless the marketing authorization holder opted-out of this possibility. Northern Ireland currently remains within the scope of EU authorizations in relation to centrally authorized medicinal products. Accordingly, until the Windsor Framework is implemented in Northern Ireland on January 1, 2025, products falling within the scope of the EU centralized procedure can only be authorized through UK national authorization procedures in Great Britain.</w:t>
      </w:r>
    </w:p>
    <w:p>
      <w:pPr>
        <w:spacing w:after="0" w:line="18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MHRA has also introduced changes to national marketing authorization procedures. This includes introduction of procedures to prioritize access to new medicines that will benefit patients, including a 150-day assessment route, a rolling review procedure and the International Recognition Procedures which entered into application on January 1, 2024. Since January 1, 2024, the MHRA may rely on the International Recognition Procedure, or IRP, when reviewing certain types of marketing authorization applications. This procedure is available for applicants for marketing authorization who have already received an authorization for the same product from a reference regulator. These include the FDA, the EMA, and national competent authorities of individual EEA countries. A positive opinion from the EMA and CHMP, or a positive end of procedure outcome from the mutual recognition or decentralized procedures are considered to be authorizations for the purposes of the IRP.</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There is no pre-marketing authorization orphan designation for medicinal products in the UK.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Great Britain, rather than the EU,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Great Britain.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Fraud and Abuse, Data Privacy and Security and Transparency Laws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pharmaceutical products, other federal and state healthcare laws restrict business practices in the biopharmaceutical industry. These laws include, without limitation, state and federal anti-kickback and false claims laws, data privacy and security laws, as well as transparency laws regarding payments or other items of value provided to healthcare providers.</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“ACA”), to a stricter standard such that a person or entity does not need to have actual knowledge of the statute or specific intent to violate it in order to have committed a violation. Further, the ACA codified case law that a claim including items or services resulting from a violation of the federal Anti-Kickback Statute constitutes a false or fraudulent claim for purposes of the civil False Claims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t>The federal false claims laws, including the civil False Claims Act, which can be enforced through civil whistleblower or qui tam actions, impose civil and criminal penalties on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 Further, 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the federal Health Insurance Portability and Accountability Act of 1996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Moreover, 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and covered subcontractors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states and foreign countries also have statutes or regulations similar to the fraud and abuse laws described above, including certain state laws which apply to items and services reimbursed under Medicaid and other state programs, or, in several states, apply regardless of the payor. We may also be subject to state laws governing the privacy and security of health information in certain circumstances, many of which differ from each other in significant ways and often are not preempted by the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 regulatory laws described above or any other laws that apply to us, we may be subject to penalties, including potentially significant criminal and civil and/or administrative penalties, damages, fines, disgorgement, individual imprisonment, exclusion from participation in government healthcare programs, contractual damages, reputational harm, administrative burdens,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are sold in a foreign country, we may be subject to similar foreign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payors provide coverage for and establish adequate reimbursement levels for our product candidates, once approved.</w:t>
      </w:r>
    </w:p>
    <w:p>
      <w:pPr>
        <w:spacing w:after="0" w:line="17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Government health administration authorities, private health insurers and other third-party payors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Sales of our product candidates will therefore depend substantially, both domestically and abroad, on the extent to which the costs of our product candidates will be covered by third-party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18"/>
          <w:szCs w:val="18"/>
          <w:color w:val="auto"/>
        </w:rPr>
        <w:t>payors. The market for our product candidates will depend significantly on access to third-party payors’ formularies without prior authorization, step therapy, or other limitations such as approved lists of treatments for which third-party payors provide coverage and reimbursement. Also, third-party payors are developing increasingly sophisticated methods of controlling healthcare costs. Coverage and reimbursement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with no assurance that adequate coverage and reimbursement will be obtained.</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United States, the European Union and other potentially significant markets for our product candidates, government authorities and other third-party payors are developing increasingly sophisticated methods of controlling healthcare costs and are increasingly imposing additional requirements and restrictions on coverage.</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national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organizations, competition within therapeutic classes, availability of generic equivalents or biosimilars, judicial decisions and governmental laws related to Medicare, Medicaid and healthcare reform, pharmaceutical coverage and reimbursement policies and pricing in general. The cost containment measures that healthcare payors and providers are instituting and the effect of any healthcare reform implemented in the future could significantly reduce our revenues from the sale of any approved product candidates. We cannot provide any assurances that we will be able to obtain and maintain governmental or private third-party coverage or adequate reimbursement for our product candidates in whole or in part.</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August 16, 2022, President Biden signed the Inflation Reduction Act of 2022 (“IRA”) into law which, among other things, (1) directs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Other EU Member States may approve a specific price for a product, or they may instead adopt a system of direct or indirect controls on the profitability of the company placing the product on the market.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640"/>
        <w:spacing w:after="0" w:line="282" w:lineRule="auto"/>
        <w:rPr>
          <w:sz w:val="20"/>
          <w:szCs w:val="20"/>
          <w:color w:val="auto"/>
        </w:rPr>
      </w:pPr>
      <w:r>
        <w:rPr>
          <w:rFonts w:ascii="Times New Roman" w:cs="Times New Roman" w:eastAsia="Times New Roman" w:hAnsi="Times New Roman"/>
          <w:sz w:val="18"/>
          <w:szCs w:val="18"/>
          <w:color w:val="auto"/>
        </w:rPr>
        <w:t>Other EU Member States allow companies to fix their own prices for products but monitor and control prescription volumes and issue guidance to physicians to limit prescriptions.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some EEA countries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enacting or have enacted a number of additional legislative and regulatory proposals designed to change the healthcare system in ways that could affect our ability to sell our products profitably.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the pharmaceutical industry has been a particular focus of these efforts and has been significantly affected by major legislative initiatives, including the ACA, which substantially changed healthcare financing and delivery by both governmental and private insurers, and significantly impacted the pharmaceutical industry. The ACA contains provisions that may potentially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There have been executive, judicial and congressional challenges to the ACA, as well as to repeal or replace certain aspects of the ACA. For example, on June 17, 2021, the U.S. Supreme Court dismissed a challenge on procedural grounds that argued the ACA is unconstitutional in its entirety because the “individual mandate” was repealed by Congress. In addition,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unclear how any such challenges and additional healthcare reform measures of the Biden administration will impact the ACA and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Congress is considering additional health reform measures.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Individual EU Member States will continue to be responsible for assessing non-clinical (e.g., economic, social, ethical) aspects of health technologies, and making decisions on pricing and reimbursement.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Foreign Corrupt Practices Act</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2023, we had 9 full-time employees. In addition, we are or have engaged with a number of consultants and companies, including Pharma Partnering in Research &amp; Strategy SAS (“PPRS”), that provide expertise in the key functions involved with the development of our products. None of our employees is subject to a collective bargaining agreement and we consider our relationship with our employees to be good.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and Development</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the skills and experience of our employees are an essential driver of our business and important to our future prospects. We face intense competition for qualified individuals from numerous pharmaceutical and biotechnology companies, universities, governmental entities and other research institutions, and we believe that our future success will depend in part on our continued ability to attract and retain highly skilled employees. To attract qualified applicants and retain our employees, we offer our employees what we believe to be competitive salaries, comprehensive benefit packages, equity compensation awards, and discretionary bonuses based on a combination of seniority, individual performance and corporate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including annual reports on Form 10-K, quarterly reports on Form 10-Q, current reports on Form 8-K, and any other filings required by the SEC. We make available on our website (www.minervaneurosciences.com) our annual report on Form 10-K, quarterly reports on Form 10-Q, current reports on Form 8-K, and all amendments to those reports as soon as reasonably practicable after such material is electronically filed with or furnished to the SEC. These materials are available free of charge on or through our website via the Investor Relations page at www.minervaneurosciences.com. References to our website address in this report are intended to be inactive textual references only, and none of the information contained on our website is part of this report or incorporated in this report by reference.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authorities,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In August 2022, we submitted a New Drug Application (“NDA”) with the U.S. Food and Drug Administration (“FDA”) for our lead product candidate, roluperidone.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 namely: (i) the potential impact of roluperidone administration on the efficacy and safety of antipsychotic drugs, or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 (ii) the comparability of US and non-US schizophrenia patients, or more specifically, the Division wanted to be reassured that data collected in MIN-101C03 in non-US patients is applicable to US patients; (iii) supporting statistical evidence of efficacy of roluperidone on negative symptoms; and (iv) the ability of clinicians to identify patients who might benefit from roluperidone. See also the section titled “Item 7. Management’s Discussion and Analysis of Financial Condition and Results of Operations—Clinical and Regulatory Updates—Type C Meeting” for more information. While the FDA filed the NDA for roluperidone, we may never succeed in any or all these activities and, even if we do, we may never generate sufficient revenue to achieve profitability.</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to date, and we may never generate product revenue or achieve profitability. Our net loss was $30.0 million and $32.1 million for the fiscal years ended December 31, 2023 and 2022, respectively. As of December 31, 2023, we had an accumulated deficit of approximately $396.8 million.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7" w:name="page28"/>
    <w:bookmarkEnd w:id="27"/>
    <w:p>
      <w:pPr>
        <w:ind w:right="260"/>
        <w:spacing w:after="0" w:line="25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December 31, 2023, we had cash, cash equivalents, and restricted cash of $41.0 million. We believe that our existing cash, cash equivalents, and restricted cash will be sufficient to meet our cash commitments for at least the next 12 months after the date that the year-end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or on reasonable terms, if at all, and our ability to raise additional capital may be adversely impacted by global economic conditions, including the recent disruptions to and volatility in the credit and financial markets in the U.S. and worldwide resulting from the COVID-19 pandemic, geopolitical conflicts, such as the war in Ukraine and hostilities in the Middle East, and other factors. Our future funding requirements, both short and long-term, will depend on many factors, including:</w:t>
      </w:r>
    </w:p>
    <w:p>
      <w:pPr>
        <w:spacing w:after="0" w:line="81" w:lineRule="exact"/>
        <w:rPr>
          <w:sz w:val="20"/>
          <w:szCs w:val="20"/>
          <w:color w:val="auto"/>
        </w:rPr>
      </w:pPr>
    </w:p>
    <w:p>
      <w:pPr>
        <w:ind w:left="1020" w:right="56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ind w:left="10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ind w:left="1020" w:right="30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9" w:lineRule="exact"/>
        <w:rPr>
          <w:rFonts w:ascii="Times New Roman" w:cs="Times New Roman" w:eastAsia="Times New Roman" w:hAnsi="Times New Roman"/>
          <w:sz w:val="18"/>
          <w:szCs w:val="18"/>
          <w:color w:val="auto"/>
        </w:rPr>
      </w:pPr>
    </w:p>
    <w:p>
      <w:pPr>
        <w:ind w:left="1020" w:right="640" w:hanging="503"/>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equity securities will cause dilution to existing stockholders. Raising additional funds through debt financings may involve restrictive covenants and raising funds through lending and licensing arrangements may restrict our operations or require us to relinquish proprietary rights.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We cannot guarantee that future financing will be available in sufficient amounts or on terms acceptable to us, if at all. If we raise additional equity financing, our stockholders may experience significant dilution of their ownership interests, the terms of these securities may include liquidation or other preferences that could adversely affect the rights of a common stockholder, and the per-share value of our common stock could decline. If we engage in debt financing, we may be required to accept terms that restrict or limit our ability to take specific actions, such as incurring additional indebtedness, making capital expenditures or declaring dividends, and other restrictive covenants that could adversely impact our ability to conduct our business. If we raise additional funds through collaborations, strategic alliances or marketing, distribution or licensing arrangements with third parties, we may have to relinquish valuable rights to our future revenue streams, research programs or any future product candidate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estimates regarding fair value of intangible assets may result in an adverse impact on our results of operations.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any significant change in market conditions, estimates or judgments used to determine expected future cash flows that indicate a reduction in carrying value may give rise to impairment in the period that the change becomes known.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 development for MIN-301 in conjunction with the acquisition of MIN-301 during 2014. No updates were made in respect of the development of MIN-301 during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(“NOL”) carryforwards may be limited.</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use our federal and state NOL carryforwards to offset potential future taxable income is dependent upon our generation of future taxable income before the expiration dates of the NOL carryforwards, and we cannot predict with certainty when, or whether, we will generate sufficient taxable income to use all of our NOL carryforwards. As of December 31, 2023, we had approximately $126.2 million of federal net operating losses that will begin to expire in 2036, if not utilized. Of the total federal net operating loss, approximately $104.8 million has an unlimited carryforward and therefore will not expire. As of December 31, 2023, we had approximately $7.7 million of New Jersey and approximately $116.3 million of Massachusetts operating losses that will begin to expire in 2029 and 2037, respectively, if not utilized. Accordingly, certain of our federal and state NOL carryforwards could expire unused and be unavailable to offset future income tax liabilities. Under current law, federal NOL carryforwards generated in taxable years beginning after December 31, 2017, may be carried forward indefinitely, but the deductibility of such NOL carryforwards is limited to 80% of taxable income. Many states have similar laws.</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federal NOL carryforwards may become subject to an annual limitation in the event of certain cumulative changes in our ownership.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substantial changes in ownership have occurred, there could be annual limitations on the amount of NOL carryforwards that can be realized in future periods. It is possible that some or all of our existing or future NOL carryforwards could be limited by the provisions of Section 382 of the Code as a result of future changes in ownership, including as a result of subsequent sales of securities by us or our stockholders. Further,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or tax rulings could materially affect our financial position, results of operations, and cash flows.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Tax Cuts and Jobs Act Tax Act enacted in 2017 (the “Tax Act”) made broad and complex changes to the U.S. tax code, including changes to U.S. federal tax rates, additional limitations on the deductibility of interest, both positive and negative changes to the utilization of future NOL carryforwards, allowing for the expensing of certain capital expenditures, and putting into effect the migration from a “worldwide” system of taxation to a territorial system. Moreover, the IRA provides for a minimum tax equal to 15% of the adjusted financial statement income of certain large corporations, as well as a 1% excise tax on certain share buybacks by public corporations that would be imposed on such corporations. The issuance of additional regulatory or accounting guidance related to the Tax Act or the IRA could materially affect our tax obligations and effective tax rate. In addition, many countries in Europe, as well as a number of other countries and organizations (including the Organization for Economic Cooperation and Development and the European Commission), have recently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 These proposals, recommendations and enactments include changes to the existing framework in respect of income taxes, as well as new types of non-income taxes (such as taxes based on a percentage of revenue or taxes applicable to digital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9" w:name="page30"/>
    <w:bookmarkEnd w:id="29"/>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services) which could apply to our business. These types of changes to the taxation of our activities could increase our worldwide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an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On April 27, 2023, the FDA filed our NDA for roluperidone following our request for formal dispute resolution and appeal of the refusal-to-file letter. On May 8, 2023, we received confirmation from the FDA that our NDA for roluperidone had been assigned a standard review classification and a Prescription Drug User Fee Act (“PDUFA”) goal date of February 26, 2024. The FDA also advised that it identified potential review issues that had been previously cited in the RTF decision letter, which included those discussed at the Type C meeting in March 2022, namely: (i) the potential impact of roluperidone administration on the efficacy and safety of antipsychotic drugs, or more specifically,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 (ii) the comparability of US and non-US schizophrenia patients, or more specifically, the Division wanted to be reassured that data collected in MIN-101C03 in non-US patients is applicable to US patients; (iii) supporting statistical evidence of efficacy of roluperidone on negative symptoms; and (iv) the ability of clinicians to identify patients who might benefit from roluperidone. See also the section titled “Item 1. Business—Our Clinical-Stage Programs—Clinical and Regulatory Updates—Type C Meeting” for more information. Even though the NDA has been filed by the FDA, the review issues may prevent approval and result in a Complete Response Letter, potentially requiring additional studies. Additional studies and data would impose increased costs and delays in the regulatory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9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the design or implementation of our clinical trials.</w:t>
      </w:r>
    </w:p>
    <w:p>
      <w:pPr>
        <w:spacing w:after="0" w:line="27" w:lineRule="exact"/>
        <w:rPr>
          <w:rFonts w:ascii="Times New Roman" w:cs="Times New Roman" w:eastAsia="Times New Roman" w:hAnsi="Times New Roman"/>
          <w:sz w:val="18"/>
          <w:szCs w:val="18"/>
          <w:color w:val="auto"/>
        </w:rPr>
      </w:pPr>
    </w:p>
    <w:p>
      <w:pPr>
        <w:ind w:left="1020" w:right="50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EMA, the European Commission, the FDA or other comparable regulatory authorities that a product candidate is safe and effective for its proposed indication.</w:t>
      </w:r>
    </w:p>
    <w:p>
      <w:pPr>
        <w:ind w:left="1020" w:right="2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EMA, the European Commission, FDA or other regulatory authorities for approval.</w:t>
      </w: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any safety risks.</w:t>
      </w:r>
    </w:p>
    <w:p>
      <w:pPr>
        <w:spacing w:after="0" w:line="9" w:lineRule="exact"/>
        <w:rPr>
          <w:rFonts w:ascii="Times New Roman" w:cs="Times New Roman" w:eastAsia="Times New Roman" w:hAnsi="Times New Roman"/>
          <w:sz w:val="18"/>
          <w:szCs w:val="18"/>
          <w:color w:val="auto"/>
        </w:rPr>
      </w:pPr>
    </w:p>
    <w:p>
      <w:pPr>
        <w:ind w:left="1020" w:right="60" w:hanging="503"/>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European Commission, the FDA or other regulatory authorities may disagree with our interpretation of data from pre-clinical studies or clinical trials.</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0" w:name="page31"/>
    <w:bookmarkEnd w:id="30"/>
    <w:p>
      <w:pPr>
        <w:ind w:left="1020" w:right="3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an NDA or other submission or to obtain regulatory approval in the United States or elsewhere.</w:t>
      </w:r>
    </w:p>
    <w:p>
      <w:pPr>
        <w:ind w:left="1020" w:right="64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ind w:left="1020" w:right="60" w:hanging="503"/>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European Commission, FDA or other regulatory authorities may significantly change in a manner rendering our clinical data insufficient for approval.</w:t>
      </w:r>
    </w:p>
    <w:p>
      <w:pPr>
        <w:spacing w:after="0" w:line="1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 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For example, our Phase 3 trial of roluperidone for the treatment of negative symptoms of schizophrenia failed to meet its primary endpoint despite our Phase 2b trial of the same design achieving statistical significance on the same endpoint. Inconsistencies such as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positive results in earlier trials.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comparable foreign regulatory authorities.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conduct our future clinical trials outside the United States. Although the FDA may accept data from clinical trials conducted outside the United States, acceptance of this data would be subject to certain conditions imposed by the FDA. For example, the study population must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an application for regulatory approval, and it is not unusual for the FDA to require some Phase 3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 Similar requirements and consequences apply outside the United States in relation to acceptance by for foreign regulatory authorities of data from clinical trials conducted outside their territory.</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completion of clinical development can be delayed or halted for a number of reasons, including:</w:t>
      </w:r>
    </w:p>
    <w:p>
      <w:pPr>
        <w:spacing w:after="0" w:line="117" w:lineRule="exact"/>
        <w:rPr>
          <w:sz w:val="20"/>
          <w:szCs w:val="20"/>
          <w:color w:val="auto"/>
        </w:rPr>
      </w:pPr>
    </w:p>
    <w:p>
      <w:pPr>
        <w:ind w:left="1020" w:right="5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left="1020" w:right="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20" w:right="7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failing to conduct the trial in accordance with regulatory requirements;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 parties, such as CROs, to satisfy their contractual duties or meet expected deadlines;</w:t>
      </w:r>
    </w:p>
    <w:p>
      <w:pPr>
        <w:spacing w:after="0" w:line="9"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identification and auditing of central or other laboratories and the transfer and validation of assays or tests to be used;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subjects complete participation in a trial or return for post-treatment follow-up;</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approval or Ethics Committee positive opinions as part of the decision on the authorization of the clinical trial issued by EU Member States including input from the national competent authorities and Ethics Committee to conduct a trial at a prospective site, or complying with conditions imposed by IRBs, Ethics Committees or comparable foreign regulatory authorities;</w:t>
      </w:r>
    </w:p>
    <w:p>
      <w:pPr>
        <w:spacing w:after="0" w:line="1"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subjects to participate in clinical trials for a variety of reasons, including competition from other programs for the treatment of similar conditions;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adverse events experienced by subjects in a clinical trial;</w:t>
      </w:r>
    </w:p>
    <w:p>
      <w:pPr>
        <w:spacing w:after="0" w:line="9"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our product candidate roluperidone;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investigators and clinical sites;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and</w:t>
      </w:r>
    </w:p>
    <w:p>
      <w:pPr>
        <w:spacing w:after="0" w:line="9" w:lineRule="exact"/>
        <w:rPr>
          <w:rFonts w:ascii="Times New Roman" w:cs="Times New Roman" w:eastAsia="Times New Roman" w:hAnsi="Times New Roman"/>
          <w:sz w:val="18"/>
          <w:szCs w:val="18"/>
          <w:color w:val="auto"/>
        </w:rPr>
      </w:pPr>
    </w:p>
    <w:p>
      <w:pPr>
        <w:ind w:left="1020" w:right="200" w:hanging="503"/>
        <w:spacing w:after="0" w:line="26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imposed by competent authorities, including national regulatory authorities of EU Member States, the FDA or IRBs or Ethics Committees.</w:t>
      </w:r>
    </w:p>
    <w:p>
      <w:pPr>
        <w:spacing w:after="0" w:line="1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national competent authorities of EU Member States or the FDA due to a number of factors, including:</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the trial protocols and applicable laws;</w:t>
      </w:r>
    </w:p>
    <w:p>
      <w:pPr>
        <w:spacing w:after="0" w:line="27"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inspection of the clinical trial operations or trial sites by the national competent authorities of EU Member States, FDA or other comparable foreign regulatory authorities that ultimately result in the imposition of a clinical hold;</w:t>
      </w: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national competent authorities of EU Member States,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or foreign regulatory authorities caused by funding shortages or global health concerns could negatively impact our business.</w:t>
      </w:r>
    </w:p>
    <w:p>
      <w:pPr>
        <w:spacing w:after="0" w:line="15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ability of the FDA to review and approve proposed clinical trials or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Similar considerations are applicable to foreign regulatory authorities.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right="60"/>
        <w:spacing w:after="0" w:line="258" w:lineRule="auto"/>
        <w:rPr>
          <w:sz w:val="20"/>
          <w:szCs w:val="20"/>
          <w:color w:val="auto"/>
        </w:rPr>
      </w:pPr>
      <w:r>
        <w:rPr>
          <w:rFonts w:ascii="Times New Roman" w:cs="Times New Roman" w:eastAsia="Times New Roman" w:hAnsi="Times New Roman"/>
          <w:sz w:val="18"/>
          <w:szCs w:val="18"/>
          <w:color w:val="auto"/>
        </w:rPr>
        <w:t>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or comparable foreign regulatory authorities may also slow the time necessary for new product candidates to be reviewed and/or approved,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such as the COVID-19 pandemic,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advancing product candidates beyond Phase 3, which makes it difficult to assess our ability to develop and commercialize our product candidates.</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no experience in progressing clinical trials past Phase 3, obtaining regulatory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enroll subjects in clinical trials, we will be unable to complete these trials on a timely basis or at 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timely completion of clinical trials largely depends on subject enrollment. Many factors affect subject enrollment,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subject population;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we enroll;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subjects;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subject consents;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and</w:t>
      </w:r>
    </w:p>
    <w:p>
      <w:pPr>
        <w:spacing w:after="0" w:line="9" w:lineRule="exact"/>
        <w:rPr>
          <w:rFonts w:ascii="Times New Roman" w:cs="Times New Roman" w:eastAsia="Times New Roman" w:hAnsi="Times New Roman"/>
          <w:sz w:val="18"/>
          <w:szCs w:val="18"/>
          <w:color w:val="auto"/>
        </w:rPr>
      </w:pPr>
    </w:p>
    <w:p>
      <w:pPr>
        <w:ind w:left="1020" w:right="240" w:hanging="503"/>
        <w:spacing w:after="0" w:line="26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roluperidone due to the mental health of the subjects that we will need to enroll, related diagnoses and drop-out rates.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 Phase 2b trial in MDD with respect to a drug that we were previously developing, MIN-117, failed to achieve its primary endpoint, and we decided to discontinue development of MIN-117 for MDD.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regulatory approval. For instance, prior clinical studies indicated that roluperidone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ind w:right="60"/>
        <w:spacing w:after="0" w:line="258" w:lineRule="auto"/>
        <w:rPr>
          <w:sz w:val="20"/>
          <w:szCs w:val="20"/>
          <w:color w:val="auto"/>
        </w:rPr>
      </w:pPr>
      <w:r>
        <w:rPr>
          <w:rFonts w:ascii="Times New Roman" w:cs="Times New Roman" w:eastAsia="Times New Roman" w:hAnsi="Times New Roman"/>
          <w:sz w:val="18"/>
          <w:szCs w:val="18"/>
          <w:color w:val="auto"/>
        </w:rPr>
        <w:t>In the case of our product candidate roluperidone, we are seeking to develop a treatment for schizophrenia, which adds a layer of complexity to our clinical trials and may delay regulatory approval. The cause and pathophysiology of schizophrenia are not fully understood, and our results rely on subjective feedback from patients, caregivers and healthcare providers,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our product candidates are not shown to be both safe and effective in clinical trials, we will not be able to obtain regulatory approval or commercialize our product candidates.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For instance, at the present time we are prioritizing the development of the most advanced of our product candidates, roluperidone. As a result, we have suspended further development of MIN-301, and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 product candidate or the approval may be for a narrower indication than we expect.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authorities may not complete their review processes in a timely manner, or we may not be able to obtain regulatory approval from the relevant regulatory authorities.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or comparable foreign strategies, additional safety monitoring,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approved products would further be subject to ongoing requirements imposed by the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if there are any modifications to the drug, including changes in indications, labeling, manufacturing processes or facilities, or if new safety issues arise, a new or supplemental NDA, marketing authorization application or comparable foreign application, post-implementation notification, application for a variation or an existing marketing authorization, or other reporting may be required or requested, which may require additional data or additional pre-clinical studies and clinical trials.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75" w:lineRule="exact"/>
        <w:rPr>
          <w:sz w:val="20"/>
          <w:szCs w:val="20"/>
          <w:color w:val="auto"/>
        </w:rPr>
      </w:pPr>
    </w:p>
    <w:p>
      <w:pPr>
        <w:ind w:left="1020" w:right="1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restrict or suspend marketing of such product or the manufacturing process for any component thereof, or withdraw, recall or seize, such product;</w:t>
      </w: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vary, or suspend approvals of such product;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otherwise restrict the product’s indicated use, label, or marketing;</w:t>
      </w:r>
    </w:p>
    <w:p>
      <w:pPr>
        <w:spacing w:after="0" w:line="9"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issue safety alerts, Dear Healthcare Provider letters, press releases or other communications containing warnings about such product;</w:t>
      </w:r>
    </w:p>
    <w:p>
      <w:pPr>
        <w:ind w:left="1020" w:hanging="503"/>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issue a conditional approval and we may fail to fulfill the requirements of the conditional approval;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 or surveillance;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including contracted facilities, are subject to continual review and periodic inspections by national competent authorities of EU Member States, the FDA and other comparable foreign regulatory authorities for compliance with current Good Manufacturing Practices (“cGMP”), regulations and standards. The European Union cGMP guidelines are as set forth in Commission Directive 2017/1572 of October 15, 2017. Despite our efforts to audit and verify regulatory compliance, third-party manufacturing vendors may be found on regulatory inspection by the FDA or other comparable foreign regulatory authorities to be noncompliant with cGMP regulations. This may result in shutdown of the third-party vendor or invalidation of drug product lots or processes. In some cases, a product recall may be warranted or required, which would materially affect our ability to supply and market our drug products. If we or a regulatory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regulatory approval, a regulatory authority may, depending on the stage of product development and approval:</w:t>
      </w:r>
    </w:p>
    <w:p>
      <w:pPr>
        <w:spacing w:after="0" w:line="7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adverse inspectional findings;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and update labels or package inserts;</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criminal and/or administrative penalties, damages or monetary fines or imprisonment;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vary or withdraw regulatory approval;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vary or terminate any ongoing clinical studies;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 us from submitting or assisting in the submission of new regulatory applications;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or delay approval of pending applications or supplements to applications filed by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government contracts;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5" w:name="page36"/>
    <w:bookmarkEnd w:id="35"/>
    <w:p>
      <w:pPr>
        <w:ind w:left="1020" w:right="4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authorities. Additionally, comparable foreign regulatory authorities will heavily scrutinize advertising and promotion of any product candidate that obtains approval outside of the United States.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Promotional activity that does not comply with the SmPC is considered off-label and is prohibited in the EU. Direct-to-consumer advertising of prescription medicinal products is also prohibited in the EU. Enforcement of advertising and promotional requirements relating to medicinal products in the EU is carried out at the national level by the national competent authorities of EU Member States. Furthermore, national or industry codes of conduct or practice, such as the Association of the British Pharmaceutical Industry (the United Kingdom innovative pharmaceutical industry trade association) code of practice, may established additional, stricter requirements than applicable legislative requirements.</w:t>
      </w:r>
    </w:p>
    <w:p>
      <w:pPr>
        <w:spacing w:after="0" w:line="19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 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 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8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ind w:right="40"/>
        <w:spacing w:after="0" w:line="253" w:lineRule="auto"/>
        <w:rPr>
          <w:sz w:val="20"/>
          <w:szCs w:val="20"/>
          <w:color w:val="auto"/>
        </w:rPr>
      </w:pPr>
      <w:r>
        <w:rPr>
          <w:rFonts w:ascii="Times New Roman" w:cs="Times New Roman" w:eastAsia="Times New Roman" w:hAnsi="Times New Roman"/>
          <w:sz w:val="18"/>
          <w:szCs w:val="18"/>
          <w:color w:val="auto"/>
        </w:rPr>
        <w:t>The policies of the FDA, the competent authorities of the EU Member States, the European Commission and other comparable regulatory authorities with respect to drugs or clinical trials may change and additional government regulations may be enacted. As an example, the regulatory landscape related to clinical trials in the EU has evolved. The EU Clinical Trials Regulation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CTR provides a three-year transition period. The extent to which ongoing clinical trials will be governed by the CTR varies. For clinical trials in relation to which application for approval was made on the basis of the Clinical Trials Directive before January 31, 2023, the Clinical Trials Directive will continue to apply on a transitional basis for three years until January 31, 2025. By that date, all ongoing trials will become subject to the provisions of the CTR. Our compliance with the CTR requirements and that of our third-party service providers, such as CROs, may impact our developments plans.</w:t>
      </w:r>
    </w:p>
    <w:p>
      <w:pPr>
        <w:spacing w:after="0" w:line="19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April 26, 2023, the European Commission adopted a proposal for a new Directive and Regulation to revise the existing pharmaceutical legislation. If adopted in the form proposed, the recent European Commission proposals to revise the existing EU laws governing authorization of drugs may result in a decrease in data and market exclusivity for our product candidates in the EU.</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pathway for our product candidate, MIN-301, has not yet been determined in the US. Depending on the pathway, we may be subject to different regulatory requirements.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MIN-301 is a peptide, and, as a peptide, may be subject to the Public Health Service Act (“PHSA”), and the Food, Drug, and Cosmetic Act (“FDCA”). We have yet to meet with the FDA regarding the approval pathway for this product candidate. Based on the definition of a biologic in the PHSA, we believe that MIN-301 meets the definition of a biologic and, thus, we will need to submit a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 requirements, including different regulatory and testing requirements, shorter or longer periods of market exclusivity, and different approval processes for generic drug and biosimilar competitors.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are intended for the treatment of schizophrenia, MDD, and Parkinson’s disease. Our projections of both the number of people who have these disorders or diseases,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notification to the FDA or comparable foreign regulatory authorities or approval from the FDA or comparable foreign regulatory authorities.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European Union and the United States. We also expect to seek regulatory approval in additional foreign countries. To market and sell our products in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European Commission or FDA approval. The regulatory approval process outside the European Union and United States generally includes risks substantially similar to those associated with obtaining European Commission or FDA approval. In addition, in many countries outside the United States, we must secure product price and reimbursement approvals before regulatory authorities will approve the product for sale in that country or within a short time after receiving such regulatory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do not receive applicable regulatory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authority. Our failure to obtain approval of any of our product candidates by regulatory authorities in another country may significantly diminish the commercial prospects of that product candidate and our business prospects could decline.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us.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or comparable foreign regulatory authorities, standards for interchangeability, the structure of government and commercial managed care formularies, and applicable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receives regulatory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If any of our drug candidates receives regulatory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perceived and potential advantages compared to alternative treatments, including any similar generics and biosimilars;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relative to alternative treatment;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drugs for sale at competitive prices relative to alternative treatments;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distribution support;</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drugs together with other medications.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7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currently have a limited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We may not be successful in doing so on commercially reasonable terms or at all.</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1020" w:right="54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clinical benefits of our products to achieve market acceptance;</w:t>
      </w:r>
    </w:p>
    <w:p>
      <w:pPr>
        <w:ind w:left="1020" w:right="18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personnel on legal compliance matters and monitoring their actions;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personnel failing to comply with the applicable legal requirements;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ind w:right="160"/>
        <w:spacing w:after="0" w:line="261" w:lineRule="auto"/>
        <w:rPr>
          <w:sz w:val="20"/>
          <w:szCs w:val="20"/>
          <w:color w:val="auto"/>
        </w:rPr>
      </w:pPr>
      <w:r>
        <w:rPr>
          <w:rFonts w:ascii="Times New Roman" w:cs="Times New Roman" w:eastAsia="Times New Roman" w:hAnsi="Times New Roman"/>
          <w:sz w:val="18"/>
          <w:szCs w:val="18"/>
          <w:color w:val="auto"/>
        </w:rPr>
        <w:t>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5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laws that govern regulatory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regulatory approval.</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In the European Union (“EU”), the pricing and reimbursement schemes of drugs is governed by the national legislation of each EU Member State and also vary widely from country to country. In these countries, pricing negotiations with governmental authorities can take considerable time after receipt of regulatory approval for a product.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there can be considerable pressure by governments and other stakeholders on prices and reimbursement levels, including as part of cost containment measures in the current economic climate in the European Union. There is very limited harmonization between EU Member States regarding pricing and reimbursement practices.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drugs established in other countries as “reference prices” to help determine the price of the product in their own territory. Reference pricing used by various EU Member States and parallel distribution, or arbitrage between low-priced and high-priced EU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 Consequently, a downward trend in prices of drugs in some countries could contribute to similar downward trends elsewhere.</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reimbursement of our drugs is unavailable or limited in scope or amount, or if pricing is set at unsatisfactory levels, our business could be materially harmed.</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120"/>
        <w:spacing w:after="0" w:line="261" w:lineRule="auto"/>
        <w:rPr>
          <w:sz w:val="20"/>
          <w:szCs w:val="20"/>
          <w:color w:val="auto"/>
        </w:rPr>
      </w:pPr>
      <w:r>
        <w:rPr>
          <w:rFonts w:ascii="Times New Roman" w:cs="Times New Roman" w:eastAsia="Times New Roman" w:hAnsi="Times New Roman"/>
          <w:sz w:val="18"/>
          <w:szCs w:val="18"/>
          <w:color w:val="auto"/>
        </w:rPr>
        <w:t>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European Commission,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August 16, 2022, President Biden signed the Inflation Reduction Act of 2022 (“IRA”) into law which, among other things, (1) directs HHS to negotiate the price of certain single-source drugs and biologics covered under Medicare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line="252" w:lineRule="auto"/>
        <w:rPr>
          <w:sz w:val="20"/>
          <w:szCs w:val="20"/>
          <w:color w:val="auto"/>
        </w:rPr>
      </w:pPr>
      <w:r>
        <w:rPr>
          <w:rFonts w:ascii="Times New Roman" w:cs="Times New Roman" w:eastAsia="Times New Roman" w:hAnsi="Times New Roman"/>
          <w:sz w:val="18"/>
          <w:szCs w:val="18"/>
          <w:color w:val="auto"/>
        </w:rPr>
        <w:t>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spacing w:after="0" w:line="1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regulatory approval of our product candidates, restrict or regulate post-approval activities and affect our ability to profitably sell any product candidate for which we obtain regulatory approval.</w:t>
      </w:r>
    </w:p>
    <w:p>
      <w:pPr>
        <w:spacing w:after="0" w:line="18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of 2010 (collectively, “ACA”) broadened access to health insurance, reduced or constrained the growth of healthcare spending, enhanced remedies against healthcare fraud and abuse, add imposed new transparency requirements for healthcare and health insurance industries, imposed new taxes and fees on pharmaceutical manufacturers and imposed additional health policy reforms. Since the ACA’s enactment,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additional healthcare reform measures of the Biden administration will impact the ACA and our business.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Further, Congress is considering additional health reform measures. We expect that healthcare reform measures that may be adopted in the future may result in more rigorous coverage criteria and lower reimbursement, and in additional downward pressure on the price that may be charged for any of our product candidates, if approved.</w:t>
      </w:r>
    </w:p>
    <w:p>
      <w:pPr>
        <w:spacing w:after="0" w:line="17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100"/>
        <w:spacing w:after="0" w:line="252"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or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 In light of the fact that the United Kingdom has left the EU, Regulation No 2021/2282 on HTA will not apply in the United Kingdom.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w:t>
      </w:r>
    </w:p>
    <w:p>
      <w:pPr>
        <w:spacing w:after="0" w:line="1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foreign currency and exchange rate risks.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we plan to continue to conduct our clinical trials in Europe, we are exposed to currency fluctuations and exchange rate risks. The costs of our CROs may be incurred in Euros and we may pay them in Euros, or other currencies, however, we expect to keep the substantial portion of our cash, cash equivalents, marketable securities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 our clinical development,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own one Swiss subsidiary, expect to engage in significant cross-border activities, and we will be subject to risks related to international operations, including:</w:t>
      </w:r>
    </w:p>
    <w:p>
      <w:pPr>
        <w:spacing w:after="0" w:line="54" w:lineRule="exact"/>
        <w:rPr>
          <w:sz w:val="20"/>
          <w:szCs w:val="20"/>
          <w:color w:val="auto"/>
        </w:rPr>
      </w:pPr>
    </w:p>
    <w:p>
      <w:pPr>
        <w:ind w:left="1020" w:right="30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conduct of clinical trials of investigational drugs and obtaining and maintaining approval of drugs in foreign countries;</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certain countries;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9"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foreign economies and markets, such as the instability caused by geopolitical conflicts including the war in Ukraine and hostilities in the Middle East, or public health issues or pandemics, such as the COVID-19 pandemic;</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laws of various jurisdictions, including with respect to intercompany transfer pricing arrangements and taxable nexus;</w:t>
      </w:r>
    </w:p>
    <w:p>
      <w:pPr>
        <w:spacing w:after="0" w:line="9" w:lineRule="exact"/>
        <w:rPr>
          <w:rFonts w:ascii="Times New Roman" w:cs="Times New Roman" w:eastAsia="Times New Roman" w:hAnsi="Times New Roman"/>
          <w:sz w:val="18"/>
          <w:szCs w:val="18"/>
          <w:color w:val="auto"/>
        </w:rPr>
      </w:pPr>
    </w:p>
    <w:p>
      <w:pPr>
        <w:ind w:left="1020" w:right="42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left="1020" w:right="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obligations and tighter restrictions on privacy and the collection, use, and other processing of personal data, including patient data; and</w:t>
      </w:r>
    </w:p>
    <w:p>
      <w:pPr>
        <w:ind w:left="1020" w:right="420" w:hanging="503"/>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political instability, hostilities, war and terrorism, such as the war in Ukraine and hostilities in the Middle East, or natural disasters including pandemics, earthquakes, typhoons, floods and fires.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have a negative effect on global economic conditions, financial markets and our business, which could reduce the price of our common stock.</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Brexit, the UK and the EU signed a EU-UK Trade and Cooperation Agreement, or TCA, which became provisionally applicable on January 1, 2021 and entered into force on May 1, 2021. This agreement provides details on how some aspects of the UK and EU’s relationship will operate going forwards however there are still uncertainties. The TCA primarily focuses on ensuring free trade between the EU and the UK in relation to goods, including medicinal products. Among the changes that have occurred are that Great Britain (England, Scotland and Wales) is treated as a “third country”, a country that is not a member of the EU and whose citizens do not enjoy the EU right to free movement. Northern Ireland continues to follow many aspects of the EU regulatory rules, particularly in relation to trade in goods. As part of the TCA, the EU and the UK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However, the EU continues to apply EU laws that require batch testing and batch release to take place in the EU territory. This means that medicinal products that are tested and released in the UK must be retested and re-released when entering the EU market for commercial use.</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it relates to marketing authorizations, Great Britain has a separate regulatory submission process, approval process and a separate national marketing authorization. Northern Ireland continues, however, to be covered by the marketing authorizations granted by the European Commission. For example, the scope of a marketing authorization for a medicinal product granted by the European Commission or by the competent authorities of EU Member States no longer encompasses Great Britain (England, Scotland and Wales). In these circumstances, a separate marketing authorization granted by the UK competent authorities is required to place medicinal products on the market in Great Britain. Northern Ireland continues, however, to be covered by the marketing authorizations granted by the European Commission.</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reached a political agreement on the so-called “Windsor Framework”. The Framework is intended to revise the Northern Ireland Protocol to address some of the perceived shortcomings in its operation. The agreement was adopted at the Withdrawal Agreement Joint Committee on March 24, 2023. If the changes are adopted in the form proposed, medicinal products to be placed on the market in the UK will be authorized solely in accordance with UK laws. Northern Ireland would be reintegrated back into a UK-only regulatory environment under the authority of the MHRA with respect to all medicinal products. The implementation of the Windsor Framework would occur in stages, with new arrangements relating to the supply of medicinal products into Northern Ireland anticipated to take effect in 2025.</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significant proportion of the regulatory framework in the UK applicable to medicinal products is currently derived from EU Directives and Regulations. The potential for UK legislation to diverge from EU legislation following Brexit could materially impact the regulatory regime with respect to the development, manufacture, import, approval, and commercialization of our product candidates in the UK or the EU. If we are slow or unable to adapt to changes in existing requirements or the adoption of new requirements or policies governing clinical trials, our development plans may be impacted.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these changes could increase our costs and otherwise adversely affect our business. Any delay in obtaining, or an inability to obtain, any regulatory approvals, as a result of Brexit or otherwise, would prevent us from commercializing our product candidates in the UK or the EU and restrict our ability to generate revenue and achieve and sustain profitability. In addition, we may be required to pay taxes or duties or be subjected to other hurdles in connection with the importation of our product candidates into the EU. If any of these outcomes occur, we may be forced to restrict or delay efforts to seek regulatory approval in the UK or the EU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and retaining highly qualified personnel, we may not be able to successfully implement our business strategy.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and performance-based restricted stock units. The value to employees of such equity grants that vest over time is significantly affected by movements in our stock price that are beyond our control, and may at any time be insufficient to counteract more lucrative offers from other companies. In addition, if performance conditions in these awards, to the extent applicable, are not met or if our stock-based compensation otherwise ceases to be viewed as a valuable benefit, our ability to attract, retain and motivate personnel could be weakened, which could harm our business.</w:t>
      </w:r>
    </w:p>
    <w:p>
      <w:pPr>
        <w:spacing w:after="0" w:line="18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Despite our efforts to retain valuable employees, members of our management, scientific and development teams generally may terminate their employment with us, with or without good reason, upon written notice to us. Pursuant to their employment arrangements, some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89"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As of December 31, 2023, we had 9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collaborators, contractors and other third parties;</w:t>
      </w: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systems; and</w:t>
      </w:r>
    </w:p>
    <w:p>
      <w:pPr>
        <w:spacing w:after="0" w:line="9" w:lineRule="exact"/>
        <w:rPr>
          <w:rFonts w:ascii="Times New Roman" w:cs="Times New Roman" w:eastAsia="Times New Roman" w:hAnsi="Times New Roman"/>
          <w:sz w:val="18"/>
          <w:szCs w:val="18"/>
          <w:color w:val="auto"/>
        </w:rPr>
      </w:pPr>
    </w:p>
    <w:p>
      <w:pPr>
        <w:ind w:left="1020" w:right="140" w:hanging="503"/>
        <w:spacing w:after="0" w:line="26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compliance infrastructure and processes to ensure compliance with complex regulations and industry standards regarding us and our product candidates.</w:t>
      </w:r>
    </w:p>
    <w:p>
      <w:pPr>
        <w:spacing w:after="0" w:line="1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mergers or joint ventures could disrupt our business and otherwise harm our business.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5" w:name="page46"/>
    <w:bookmarkEnd w:id="45"/>
    <w:p>
      <w:pPr>
        <w:ind w:right="160"/>
        <w:spacing w:after="0" w:line="261"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collaborators or suppliers as a result of such a transaction;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revisions, marketing or promotional restrictions;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outbreaks of contagious diseases, such as coronavirus, terrorism, war and telecommunication and electrical failures. For example, a cyber-attack on one of our external contractors during the summer of 2019 resulted in a disruption to patient recruitment in our Phase 3 clinical trial of roluperidone. Further similar events could occur and cause interruptions in our operations, and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comply with the SEC’s rules that implement Section 404 of the Sarbanes-Oxley Act and the Committee on Sponsoring Organizations,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November 2013, we operated without full-time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47" w:name="page48"/>
    <w:bookmarkEnd w:id="47"/>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and independent contractors, such as principal investigators, CROs, manufacturers, consultants, commercial partners and vendors, could include failures to comply with regulations of the FDA or comparable foreign regulatory authorities, to provide accurate information to the FDA or comparable foreign regulatory authorities to comply with manufacturing standards we have established, to comply with US federal and state healthcare fraud and abuse laws and comparable foreign regulatory requirements, to report financial information or data accurately or to disclose unauthorized activities to us. For example, in our Phase 3 trial of roluperidone for the treatment of negative symptoms of schizophrenia, one clinical site that recruited 17 patients reported implausible behavioral (schizophrenia symptoms) and physiological (blood pressure) data. As a result, these 17 patients were excluded and made part of an mITT analysis set.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comply with such laws or regulations. If any such actions are instituted against us, those actions could have a significant impact on our business, including the imposition of civil, criminal and administrative penalties, damages, monetary fines, disgorgement, individual imprisonment, possible exclusion from participation in Medicare, Medicaid and other federal healthcare programs or comparable foreign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 any of which could adversely affect our ability to operate.</w:t>
      </w:r>
    </w:p>
    <w:p>
      <w:pPr>
        <w:spacing w:after="0" w:line="18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as well as equivalent foreign legislation. If we are unable to comply, or have not fully complied, with such laws, we could face penalties, contractual damages, reputational harm, diminished profits and future earnings and curtailment or restructuring of our operations.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75" w:lineRule="exact"/>
        <w:rPr>
          <w:sz w:val="20"/>
          <w:szCs w:val="20"/>
          <w:color w:val="auto"/>
        </w:rPr>
      </w:pPr>
    </w:p>
    <w:p>
      <w:pPr>
        <w:ind w:left="1020" w:right="80" w:hanging="503"/>
        <w:spacing w:after="0" w:line="254"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3" w:lineRule="exact"/>
        <w:rPr>
          <w:rFonts w:ascii="Times New Roman" w:cs="Times New Roman" w:eastAsia="Times New Roman" w:hAnsi="Times New Roman"/>
          <w:sz w:val="18"/>
          <w:szCs w:val="18"/>
          <w:color w:val="auto"/>
        </w:rPr>
      </w:pPr>
    </w:p>
    <w:p>
      <w:pPr>
        <w:ind w:left="1020" w:right="32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ind w:left="1020" w:right="16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jc w:val="both"/>
        <w:ind w:left="1020" w:right="24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1"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2" w:lineRule="exact"/>
        <w:rPr>
          <w:rFonts w:ascii="Times New Roman" w:cs="Times New Roman" w:eastAsia="Times New Roman" w:hAnsi="Times New Roman"/>
          <w:sz w:val="18"/>
          <w:szCs w:val="18"/>
          <w:color w:val="auto"/>
        </w:rPr>
      </w:pPr>
    </w:p>
    <w:p>
      <w:pPr>
        <w:ind w:left="1020" w:right="40" w:hanging="503"/>
        <w:spacing w:after="0" w:line="265"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covered subcontractors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ind w:left="10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Centers for Medicare &amp; Medicaid Services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2" w:lineRule="exact"/>
        <w:rPr>
          <w:rFonts w:ascii="Times New Roman" w:cs="Times New Roman" w:eastAsia="Times New Roman" w:hAnsi="Times New Roman"/>
          <w:sz w:val="18"/>
          <w:szCs w:val="18"/>
          <w:color w:val="auto"/>
        </w:rPr>
      </w:pPr>
    </w:p>
    <w:p>
      <w:pPr>
        <w:ind w:left="1020" w:right="44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and other activities that potentially harm consumers.</w:t>
      </w:r>
    </w:p>
    <w:p>
      <w:pPr>
        <w:ind w:left="1020" w:right="40" w:hanging="503"/>
        <w:spacing w:after="0" w:line="265"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ind w:left="1020" w:righ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(3) require the reporting of information related to drug pricing, ,and (4) govern the privacy and security of health information in certain circumstances. State laws are not uniform, may differ from each other in significant ways and may be applied with differing effects.</w:t>
      </w:r>
    </w:p>
    <w:p>
      <w:pPr>
        <w:spacing w:after="0" w:line="1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any sales of our products or product candidates once commercialized outside the United States will also likely subject us to foreign equivalents of the healthcare laws mentioned above. Outside the United States,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These laws may include, for instance, the UK Bribery Act 2010 other national anti-corruption legislation related to EU Member States’ adherence to the OECD Convention on Combating Bribery of Foreign Public Officials in International Business Transactions, European Union consumer laws protecting against defective products, including the Product Liability Directive 85/374/EEC, the UK ABPI Code of Practice as well as the French “Bertrand Law” and related Decrees and Ordinances Imposing Transparency requirements on manufacturers in their interactions with French healthcare actors, and comparable requirements in other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9" w:name="page50"/>
    <w:bookmarkEnd w:id="49"/>
    <w:p>
      <w:pPr>
        <w:ind w:right="2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significant civil, criminal and administrative penalties, damages, monetary fines, disgorgement, individual imprisonment, possible exclusion from participation in Medicare, Medicaid and other federal healthcare programs or comparable foreign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Foreign Corrupt Practices Act.</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policies, industry standards,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recover significant statutory damages. Although the CCPA and other state laws exempt some data processed in the context of clinical trials, these developments further complicate compliance efforts and increase legal risk and compliance costs for us and the third parties upon whom we rely.</w:t>
      </w:r>
    </w:p>
    <w:p>
      <w:pPr>
        <w:spacing w:after="0" w:line="19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addition, data privacy and security laws have been proposed at the federal, state, and local levels in recent years, which could further complicate compliance efforts, and we expect more states to pass similar laws in the future.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including the European Union’s General Data Protection Regulation (“EU GDPR”) and the United Kingdom’s GDPR (“UK GDPR”) (collectively, “GDPR”), which impose strict requirements for processing personal data. Violators of these laws face significant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120"/>
        <w:spacing w:after="0" w:line="261" w:lineRule="auto"/>
        <w:rPr>
          <w:sz w:val="20"/>
          <w:szCs w:val="20"/>
          <w:color w:val="auto"/>
        </w:rPr>
      </w:pPr>
      <w:r>
        <w:rPr>
          <w:rFonts w:ascii="Times New Roman" w:cs="Times New Roman" w:eastAsia="Times New Roman" w:hAnsi="Times New Roman"/>
          <w:sz w:val="18"/>
          <w:szCs w:val="18"/>
          <w:color w:val="auto"/>
        </w:rPr>
        <w:t>penalties. For example, under the GDPR, companies may face temporary or definitive bans on data processing and other corrective actions; fines of up to 20 million Euros under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Swiss Federal Act on Data Protection, or the FADP, also applies to the collection and processing of personal data, including health-related information, by companies located in Switzerland, or in certain circumstances, by companies located outside of Switzerland. Compliance with the FADP and its revised ordinances may result in an increase of costs of compliance, risks of noncompliance and penalties for noncompliance.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data processing practices and to those of any third parties that process personal data on our behalf.</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ind w:right="80"/>
        <w:spacing w:after="0" w:line="258" w:lineRule="auto"/>
        <w:rPr>
          <w:sz w:val="20"/>
          <w:szCs w:val="20"/>
          <w:color w:val="auto"/>
        </w:rPr>
      </w:pPr>
      <w:r>
        <w:rPr>
          <w:rFonts w:ascii="Times New Roman" w:cs="Times New Roman" w:eastAsia="Times New Roman" w:hAnsi="Times New Roman"/>
          <w:sz w:val="18"/>
          <w:szCs w:val="18"/>
          <w:color w:val="auto"/>
        </w:rPr>
        <w:t>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proprietary, confidential, and sensitive data, including personal data (such as health-related data and data related to clinical trials), intellectual property, and trade secrets (collectively, sensitive information).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t>In particular, ransomware attacks, including by organized criminal threat actors, nation-states, and nation-state-supported actors,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We also share or receive sensitive information with or from third parties.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the third parties upon whom we rely, will be effective. For example, an external contractor experienced a cyberattack in 2019, which resulted in a disruption to patient recruitment in our Phase 3 clinical trial of roluperidone. We take steps designed to detect, mitigate, and remediate vulnerabilities in our information systems (such as our hardware and/or software, including that of third parties upon which we rely), but we may not be able to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87"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negatively impact our ability to grow and operate our business or disrupt our ability to develop and provide our products and services.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national competent authorities of EEA countries and comparable foreign regulatory authorities for all of our products in clinical development. Regulatory authorities enforce these GCPs through periodic unannounced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regulatory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also expect to rely on third-party manufacturers or third-party collaborators for the manufacturing of commercial supply of any other drug candidates for which we or our collaborators obtain regulatory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costs associated with changing suppliers, including additional regulatory filings;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ind w:right="20"/>
        <w:spacing w:after="0" w:line="252" w:lineRule="auto"/>
        <w:rPr>
          <w:sz w:val="20"/>
          <w:szCs w:val="20"/>
          <w:color w:val="auto"/>
        </w:rPr>
      </w:pPr>
      <w:r>
        <w:rPr>
          <w:rFonts w:ascii="Times New Roman" w:cs="Times New Roman" w:eastAsia="Times New Roman" w:hAnsi="Times New Roman"/>
          <w:sz w:val="18"/>
          <w:szCs w:val="18"/>
          <w:color w:val="auto"/>
        </w:rPr>
        <w:t>Moreover, the facilities used by our contract manufacturers to manufacture our products must be approved by the FDA pursuant to inspections that will be conducted after we submit our marketing application to the FDA. Other comparable foreign regulatory authorities have comparable requirements and powers. We, our contract manufacturers, any future collaborators and their contract manufacturers could be subject to periodic unannounced inspections by the FDA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While we are ultimately responsible for the manufacture of our product candidates, other than through our contractual arrangements, we do not control the manufacturing process of, and are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comparable regulatory authorities, we will not be able to secure and/or maintain regulatory approval for their manufacturing facilities. In addition, other than through our contractual agreements, we have limited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Further, our suppliers are subject to regulatory requirements, covering manufacturing, testing, quality control, and record keeping relating to our product candidates, and subject to ongoing inspections by the regulatory authorities.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If on regulatory inspection by the FDA or other comparable foreign regulatory authorities, one or more of our third-party manufacturing vendors are found to be to be noncompliant with cGMP regulation, this may result in shutdown of the third-party vendor or invalidation of drug product lots or processes. In some cases, a product recall may be warranted or required, which would materially affect our ability to supply and market our drug products.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regulatory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manufacturing of our drug candidates or drugs may adversely affect our future profit margins and our ability to commercialize any drugs that receive regulatory approval on a timely and competitive basis.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or will be subject to supranational, national,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5" w:name="page56"/>
    <w:bookmarkEnd w:id="55"/>
    <w:p>
      <w:pPr>
        <w:ind w:right="700"/>
        <w:spacing w:after="0" w:line="282" w:lineRule="auto"/>
        <w:rPr>
          <w:sz w:val="20"/>
          <w:szCs w:val="20"/>
          <w:color w:val="auto"/>
        </w:rPr>
      </w:pPr>
      <w:r>
        <w:rPr>
          <w:rFonts w:ascii="Times New Roman" w:cs="Times New Roman" w:eastAsia="Times New Roman" w:hAnsi="Times New Roman"/>
          <w:sz w:val="18"/>
          <w:szCs w:val="18"/>
          <w:color w:val="auto"/>
        </w:rPr>
        <w:t>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collaboration with Mitsubishi Tanabe Pharma Corporation (“MTPC”), and could be seriously harmed if our license agreement with MTPC was terminated.</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exclusively license roluperidone, our lead product candidate, from MTPC, with the rights to develop, sell and import roluperidone globally, excluding most of Asia. If our license agreement with MTPC was terminated, it could have a material impact on our operations.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potential future milestone payments from Royalty Pharma depend on the development and commercialization of seltorexant. We may be obligated to make payments to Royalty Pharma even if Janssen breaches its obligations to pay us.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January 19, 2021, we entered into an agreement with Royalty Pharma under which Royalty Pharma acquired our royalty interest in seltorexant for an upfront payment of $60 million and up to $95 million in future milestone payments that are contingent upon the achievement of certain clinical, regulatory and commercial milestones for seltorexant by Janssen Pharmaceutica NV, one of the Janssen Pharmaceutical Companies of Johnson &amp; Johnson (“Janssen”), or any other party in the event that Janssen sells seltorexant. For more information regarding this arrangement, see the sections titled “Item 1. Business—Overview” and “Item 1. Business—Our Clinical-Stage Programs—Seltorexant (MIN-202)” in this Annual Report on Form 10-K.</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Therefore, we will only realize future payments if Janssen achieves certain milestones over which we have no control. Some or all of the milestones may never be achieved, and we may never receive any such future payments.</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addition, if Janssen breaches its contractual obligations to pay royalties, we will be obligated to Royalty Pharma to provide makeup payments to compensate for the loss of those royalties, which payments could be substantial.</w:t>
      </w:r>
    </w:p>
    <w:p>
      <w:pPr>
        <w:spacing w:after="0" w:line="15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also seek to enter into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7" w:name="page58"/>
    <w:bookmarkEnd w:id="57"/>
    <w:p>
      <w:pPr>
        <w:ind w:right="280"/>
        <w:spacing w:after="0" w:line="282" w:lineRule="auto"/>
        <w:rPr>
          <w:sz w:val="20"/>
          <w:szCs w:val="20"/>
          <w:color w:val="auto"/>
        </w:rPr>
      </w:pPr>
      <w:r>
        <w:rPr>
          <w:rFonts w:ascii="Times New Roman" w:cs="Times New Roman" w:eastAsia="Times New Roman" w:hAnsi="Times New Roman"/>
          <w:sz w:val="18"/>
          <w:szCs w:val="18"/>
          <w:color w:val="auto"/>
        </w:rPr>
        <w:t>certain that it will be entitled to new chemical entity exclusivity. Such diminution of our proprietary position could have a material adverse effect on our business, results of operations and financial condition.</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license or acquire additional patents and intellectual property rights.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our patent rights relating to our product candidates may limit our ability to prevent third parties from competing against us.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 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w:t>
      </w:r>
    </w:p>
    <w:p>
      <w:pPr>
        <w:spacing w:after="0" w:line="1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79"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120"/>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ind w:left="1020" w:right="10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make the inventions covered by the issued patents or pending patent applications that we own or have exclusively licensed.</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file patent applications covering certain of our inventions.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9" w:lineRule="exact"/>
        <w:rPr>
          <w:rFonts w:ascii="Times New Roman" w:cs="Times New Roman" w:eastAsia="Times New Roman" w:hAnsi="Times New Roman"/>
          <w:sz w:val="18"/>
          <w:szCs w:val="18"/>
          <w:color w:val="auto"/>
        </w:rPr>
      </w:pPr>
    </w:p>
    <w:p>
      <w:pPr>
        <w:ind w:left="1020" w:right="46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ind w:left="1020" w:right="68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what the market price of our common stock will be and, as a result, it may be difficult for you to sell your shares of our common stock.</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As a result of this volatility, investors may not be able to sell their securities at a profit. The market price of our securities could be subject to wide fluctuations in response to a variety of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our preclinical or clinical trials or those of our competitors;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including adverse regulatory decision,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or commercialize any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limited market sizes or pricing for any of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strategic collaborations or enter into new collaborations;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1020" w:right="660" w:hanging="503"/>
        <w:spacing w:after="0" w:line="250"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or any inability to obtain additional funding;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9" w:lineRule="exact"/>
        <w:rPr>
          <w:rFonts w:ascii="Times New Roman" w:cs="Times New Roman" w:eastAsia="Times New Roman" w:hAnsi="Times New Roman"/>
          <w:sz w:val="18"/>
          <w:szCs w:val="18"/>
          <w:color w:val="auto"/>
        </w:rPr>
      </w:pPr>
    </w:p>
    <w:p>
      <w:pPr>
        <w:ind w:left="1020" w:right="500" w:hanging="503"/>
        <w:spacing w:after="0" w:line="250"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changes in the structure of healthcare payment systems, including coverage and reimbursement;</w:t>
      </w:r>
    </w:p>
    <w:p>
      <w:pPr>
        <w:ind w:left="1020" w:right="240" w:hanging="503"/>
        <w:spacing w:after="0" w:line="250"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 and litigation filed by us or filed against us pertaining to patent infringement or other violations of intellectual property rights;</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including in connection with the COVID-19 pandemic or the war in Ukraine, which has resulted in decreased stock prices for many companies notwithstanding the lack of a fundamental change in their underlying business models or prospects. Biopharmaceutical companies in particular have experienced extreme price and volume fluctuations that have often been unrelated or disproportionate to the operating performance of these companies. Broad market and industry factors, including potentially worsening economic conditions, increased inflation and other adverse effects or developments, including political, regulatory and other market conditions, may negatively affect the market price of shares of our common stock, regardless of our actual operating performance. The market price of shares of our common stock may decline, and you may lose some or all of your investment.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61" w:name="page62"/>
    <w:bookmarkEnd w:id="61"/>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our knowledge, our executive officers, directors, holders of 5% or more of our capital stock and their respective affiliates beneficially own approximately 49.2% of our voting stock as of December 31, 2023, including 19.3% held by funds affiliated with Federated Hermes, Inc. (“Federated”) and 18.2% held by BI (as defined below). Accordingly, Federated and BI will have significant influence in determining the outcome of any corporate transaction or other matter submitted to the stockholders for approval, including mergers, consolidations, and the sale of all or substantially all of our assets and other significant corporate actions. Unless full participation of all stockholders takes place in such stockholder meetings, Federated and/or BI may be able to approve such matters itself. This concentration of ownership may (i) delay or deter a change of control of our Company; (ii) deprive stockholders of an opportunity to receive a premium for their common stock as part of a sale of our Company; and (iii) affect the market price and liquidity of our common stock. In conjunction with the Private Placement (as defined below), we provided BI with the right to designate an observer at all meetings of our board of directors and any committee thereof so long as BI holds not less than 10% of shares of our common stock (including shares of common stock issuable upon exercise of pre-funded warrants), unless a change of control of the Company occurs sooner. The interests of our executive officers, directors, holders of 5% or more of our capital stock and their respective affiliates may not always coincide with the interests of other stockholders and they may act in a manner that advances their best interests and not necessarily those of other stockholders. The effect of these rights and these principal stockholders’ influence may impact the price that investors are willing to pay for our securities. If these principal stockholders sell a substantial number of shares of our common stock in the public market, the market price of our common stock could be adversely impacted. The perception among the public that these sales will occur could also contribute to a decline in the market price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 These sales, or the possibility that these sales may occur, might also make it more difficult for us to sell equity securities in the future at a time and price that we deem appropriate. See also the risk factor above titled “</w:t>
      </w:r>
      <w:r>
        <w:rPr>
          <w:rFonts w:ascii="Times New Roman" w:cs="Times New Roman" w:eastAsia="Times New Roman" w:hAnsi="Times New Roman"/>
          <w:sz w:val="18"/>
          <w:szCs w:val="18"/>
          <w:i w:val="1"/>
          <w:iCs w:val="1"/>
          <w:color w:val="auto"/>
        </w:rPr>
        <w:t>Our principal stockholders and management own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percentage of our stock and will be able to exert significant control over matters subject to stockholder approval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addition, in the future, we may issue shares of common stock, or other equity or debt securities convertible into common stock, in connection with a financing, acquisition, employee arrangement or otherwise. Any such issuance, including pursuant to any at-the-market agreements, such as the at-the-market offering program that we entered into with Jefferies LLC in September 2022, could result in substantial dilution to our existing stockholders and could cause the price of our common stock to decline.</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continue to have broad discretion over the use of the proceeds we received in our public offerings, private placements, warrant exercises and loans and might not apply the proceeds in ways that increase the value of your investment.</w:t>
      </w:r>
    </w:p>
    <w:p>
      <w:pPr>
        <w:spacing w:after="0" w:line="15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management will continue to have broad discretion to use the net proceeds from our public offerings, private placements, warrant exercises and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loans in ways that enhance stockholder value, we may fail to achieve the expected financial results, which could cause our stock price to decline.</w:t>
      </w:r>
    </w:p>
    <w:p>
      <w:pPr>
        <w:spacing w:after="0" w:line="16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that we will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2013 Equity Incentive Plan, our management is authorized to grant stock options and other equity-based awards of up to 2,078,917 shares to our employees, directors and consultants. To the extent that new awards are granted and exercised or settled, or we issue additional shares of common stock in the future, our stockholders may experience additional dilution, which could cause our stock price to fall.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(“SEC”), annual, quarterly and current reports with respect to our business and financial condition. In addition, changing laws, regulations and standards relating to corporate governance and public disclosure, including regulations implemented by the SEC and The Nasdaq Stock Market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1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the SEC’s disclosure rules, meaning that we have either: (i) a public float of less than $250 million; or (ii) annual revenues of less than $100 million during the most recently completed fiscal year; and no public float; or a public float of less than $700 million.</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shares less attractive as a result of our election to use the scaled-back disclosure permitted for smaller reporting companies, there may be a less active trading market for our common shares and our share price may be more volatile.</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also a non-accelerated filer under the Exchange Act of 1934, and we are not required to comply with the auditor attestation requirements of Section 404(b) of the Sarbanes-Oxley Act of 2002. Therefore, our internal controls over financial reporting will not receive the level of review provided by the process relating to the auditor attestation included in annual reports of issuers that are subject to the auditor attestation requirements. In addition, we cannot predict if investors will find our common shares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litigation could result in substantial damages and may divert management’s time and attention from our business.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We have and may become the target of securities litigation in the future. The outcome of litigation is necessarily uncertain, and we could be forced to expend significant resources in the defense of such suits, and we may not prevail. Monitoring and defending against legal actions is time-consuming for our management and detracts from management’s ability to fully focus our internal resources on our business activities. In addition, we may incur substantial legal fees and costs in connection with any such litigation. We have not established any reserves for any potential liability relating to any such potential lawsuits. It is possible that we could, in the future, incur judgments or enter into settlements of claims for monetary damages. We currently maintain insurance coverage for some of these potential liabilities. Other potential liabilities may not be covered by insurance, insurers may dispute coverage or the amount of insurance may not be enough to cover damages awarded. In addition, certain types of damages may not be covered by insurance, and insurance coverage for all or certain forms of liability may become unavailable or prohibitively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60"/>
        <w:spacing w:after="0" w:line="282" w:lineRule="auto"/>
        <w:rPr>
          <w:sz w:val="20"/>
          <w:szCs w:val="20"/>
          <w:color w:val="auto"/>
        </w:rPr>
      </w:pPr>
      <w:r>
        <w:rPr>
          <w:rFonts w:ascii="Times New Roman" w:cs="Times New Roman" w:eastAsia="Times New Roman" w:hAnsi="Times New Roman"/>
          <w:sz w:val="18"/>
          <w:szCs w:val="18"/>
          <w:color w:val="auto"/>
        </w:rPr>
        <w:t>expensive in the future. A decision adverse to our interests on one or more legal matters or litigation could result in the payment of substantial damages, or possibly fines, and could have a material adverse effect on our reputation, financial condition and results of operations.</w:t>
      </w:r>
    </w:p>
    <w:p>
      <w:pPr>
        <w:spacing w:after="0" w:line="15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such that not all members of the board are elected at one time;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authorized number of directors to be changed only by resolution of our board of directors;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removal of directors by the stockholders;</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may be established and shares of which may be issued without stockholder approval;</w:t>
      </w: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w:t>
      </w:r>
    </w:p>
    <w:p>
      <w:pPr>
        <w:spacing w:after="0" w:line="9"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than can be acted upon at stockholder meetings; and</w:t>
      </w:r>
    </w:p>
    <w:p>
      <w:pPr>
        <w:ind w:left="1020" w:right="120" w:hanging="503"/>
        <w:spacing w:after="0" w:line="26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the holders of at least 66 2/3% of the votes that all of our stockholders would be entitled to cast to amend or repeal our bylaws.</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pursuant to the Delaware General Corporation Law, our amended and restated certificate of incorporation, as amended, or our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amended and restated bylaws to be inapplicable or unenforceable in an action, we may incur additional costs associated with resolving such action in other jurisdictions, which could harm our business and financial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7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1020" w:right="520" w:hanging="503"/>
        <w:spacing w:after="0" w:line="25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Delisting from The Nasdaq Capital Market could also result in other negative consequences, including the potential loss of confidence by suppliers, customers and employees, the loss of institutional investor interest and fewer business development opportunities.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maintain compliance and remain in compliance in the future. In particular, our share price may continue to decline for a number of reasons, including many that are beyond our control. See the risk factor captioned “</w:t>
      </w:r>
      <w:r>
        <w:rPr>
          <w:rFonts w:ascii="Times New Roman" w:cs="Times New Roman" w:eastAsia="Times New Roman" w:hAnsi="Times New Roman"/>
          <w:sz w:val="18"/>
          <w:szCs w:val="18"/>
          <w:i w:val="1"/>
          <w:iCs w:val="1"/>
          <w:color w:val="auto"/>
        </w:rPr>
        <w:t>The market price of our stock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volatile, and you could lose all or part of your investment.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patient data, and data related to our clinical trials (“Information Systems and Data”).</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Company’s information security function and third-party service providers help identify, assess and manage the Company’s cybersecurity threats and risks, including through the use of the Company’s risk assessment process. The Company’s information security function and third-party service providers identify and assess risks from cybersecurity threats by monitoring and evaluating our threat environment and risk profile using various methods including, for example:</w:t>
      </w:r>
    </w:p>
    <w:p>
      <w:pPr>
        <w:spacing w:after="0" w:line="7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tools;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to reports and services that identify cybersecurity threats;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reports of threats and actors;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scans of the threat environment;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our and our industry’s risk profile;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threats reported to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audits;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threat assessments for internal and external threats;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vulnerability assessments to identify vulnerabilities;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external intelligence feeds.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incident response plan;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detection and response processes;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disaster recovery/business continuity plan;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encryption of certain data;</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controls;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tracking and disposal;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monitoring;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insurance;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cybersecurity staff.</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the Company's information security function works with management, including our Chief Operating Officer (“COO”) to prioritize our risk management processes and mitigate cybersecurity threats that are more likely to lead to a material impact to our business.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external IT service provider;</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firms, including legal counsel;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consultants;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cybersecurity service providers;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 firms.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contract research organizations and contract manufacturing organizations. As part of our vendor security due diligence and to manage cybersecurity risks associated with our use of certain vendors, we perform risk assessments on vendors and may include cybersecurity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66" w:name="page67"/>
    <w:bookmarkEnd w:id="66"/>
    <w:p>
      <w:pPr>
        <w:ind w:right="140"/>
        <w:spacing w:after="0" w:line="266" w:lineRule="auto"/>
        <w:rPr>
          <w:sz w:val="20"/>
          <w:szCs w:val="20"/>
          <w:color w:val="auto"/>
        </w:rPr>
      </w:pPr>
      <w:r>
        <w:rPr>
          <w:rFonts w:ascii="Times New Roman" w:cs="Times New Roman" w:eastAsia="Times New Roman" w:hAnsi="Times New Roman"/>
          <w:sz w:val="18"/>
          <w:szCs w:val="18"/>
          <w:color w:val="auto"/>
        </w:rPr>
        <w:t>obligations in our contracts with them. Depending on the nature of the services provided, the sensitivity of the Information Systems and Data at issue, and the identity of the provider, our vendor due diligence may involve different levels of assessment designed to help identify cybersecurity risks associated with a provider and we may impose contractual obligations related to cybersecurity on the provider.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 in this Annual Report on Form 10-K, including:</w:t>
      </w:r>
    </w:p>
    <w:p>
      <w:pPr>
        <w:spacing w:after="0" w:line="9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and operations would suffer in the event of system failures</w:t>
      </w:r>
      <w:r>
        <w:rPr>
          <w:rFonts w:ascii="Times New Roman" w:cs="Times New Roman" w:eastAsia="Times New Roman" w:hAnsi="Times New Roman"/>
          <w:sz w:val="18"/>
          <w:szCs w:val="18"/>
          <w:color w:val="auto"/>
        </w:rPr>
        <w:t>; and</w:t>
      </w:r>
    </w:p>
    <w:p>
      <w:pPr>
        <w:spacing w:after="0" w:line="29" w:lineRule="exact"/>
        <w:rPr>
          <w:rFonts w:ascii="Times New Roman" w:cs="Times New Roman" w:eastAsia="Times New Roman" w:hAnsi="Times New Roman"/>
          <w:sz w:val="18"/>
          <w:szCs w:val="18"/>
          <w:color w:val="auto"/>
        </w:rPr>
      </w:pPr>
    </w:p>
    <w:p>
      <w:pPr>
        <w:ind w:left="1020" w:right="8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COO.</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COO is responsible for managing our information security function and overseeing our third-party information technology service providers. The COO is also responsible for helping to integrate cybersecurity risk considerations into the Company’s overall risk management strategy, communicating key priorities to relevant personnel, and approving budgets. Our outsourced Chief Technology Officer, who has over 20 years in executive-level IT and cybersecurity roles, is responsible for developing and implementing our technology environment and cybersecurity framework, helping the Company prepare for cybersecurity incidents, approving and implementing certain cybersecurity processes, and reviewing security assessments and other security-related reports.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members of management depending on the circumstances, including the COO and Chief Financial Officer (“CFO”). The COO and CFO work with the other members of the Company’s incident response team to help the Company mitigate and remediate cybersecurity incidents of which they are notified. In addition, the Company will report to the audit committee of the board of directors for certain cybersecurity incidents.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updates from the CFO and finance department concerning the Company’s significant cybersecurity threats and risk and the processes the Company has implemented to address them. The audit committee also receives various updates, summaries or presentations related to cybersecurity threats, risk and mitigation.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1500 District Avenue, Burlington, MA 01803. We lease this facility, which consists of approximately 491 square feet of office space. The lease is on a month-to-month basis commencing on February 1, 2024, with a monthly payment of $8,697. The term of the previous lease agreements for this space was from July 15, 2022 through January 31, 2024. We believe that our existing facility is sufficient for our current needs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Form 10-K,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was traded on the Nasdaq Global Market under the symbol “NERV” from our initial public offering on July 1, 2014 until September 11, 2022. Effective September 12, 2022, our common stock began trading on The Nasdaq Capital Market under the symbol “NERV.”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the close of business on February 19, 2024, there were approximately 38 holders of record of our common stock, including Cede &amp; Co., a nominee for The Depository Trust Company (“DTC”), which holds shares of our common stock on behalf of an indeterminate number of beneficial owners. All of the shares of common stock held by brokerage firms, banks and other financial institutions as nominees for beneficial owners are deposited into participant accounts at DTC, and are considered to be held of record by Cede &amp; Co. as one stockholder. Because many of our shares are held by brokers and other institutions on behalf of stockholders, we are unable to estimate the total number of stockholders represented by these record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plan information required by this Item is incorporated by reference to the information in Part III, Item 12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developing roluperidone (f/k/a MIN-101) for the treatment of negative symptoms in patients with schizophrenia and have exclusive rights to develop and commercialize MIN-301 for the treatment of Parkinson’s disease. In addition, we previously co-developed seltorexant (f/k/a MIN-202 or JNJ-42847922)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milestone payments, subject to completion of Phase 3 trials by Janssen and regulatory approvals. Janssen is currently conducting one Phase 3 study with seltorexant, completed a Phase 3 study during 2023, and discontinued a Phase 3 study during 2022.</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The FDA initially notified us that they would not accept the file for review, issuing a refusal to file letter (“RTF”) in October 2022. Subsequently, we requested a formal dispute resolution and appealed the RTF, following which, on April 27, 2023, the FDA filed our NDA for roluperidone. In May 2023, the FDA confirmed that the NDA for roluperidone was assigned a standard review classification and a Prescription Drug User Fee Act (“PDUFA”) goal date of February 26, 2024. The FDA advised that it identified potential review issues that had been previously cited in the RTF decision letter, which included those discussed at the Type C meeting in March 2022. See “—Clinical and Regulatory Updates” below for more information.</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December 31, 2023 and 2022, we had an accumulated deficit of $396.8 million and $366.8 million, respectively. For the years ended December 31, 2023 and 2022, we recorded net losses of $30.0 million and $32.1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1b Clinical Trial (MIN-101C18)</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October 2023, we initiated a clinical trial to evaluate the safety, tolerability, pharmacodynamics and pharmacokinetics of the co-administration of roluperidone and olanzapine in adult subjects with moderate to severe negative symptoms of schizophrenia. The main question this clinical trial aims to answer are the pharmacodynamic and pharmacokinetic effects and safety of the concomitant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therapy of roluperidone with an established and widely used antipsychotic. Results from this study are expected to be available in the first quarter of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Application Filed</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27, 2023, the FDA filed our NDA for roluperidone for the treatment of negative symptoms in patients with schizophrenia. The decision to file the NDA followed our request for formal dispute resolution and appeal of the RTF. The issues cited in the RTF decision included those discussed at the Type C meeting in March 2022. In granting the appeal, the FDA deciding official agreed with us that the issues cited in the RTF decision should be considered during the FDA’s review of the NDA.</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May 8, 2023, we received confirmation from the FDA that the NDA for roluperidone has been filed in accordance with the Appeal Granted letter dated April 27, 2023 and assigned a standard review classification and a PDUFA goal date of February 26, 2024. The FDA advised that it identified potential review issues that had been previously cited in the RTF decision letter, which included those discussed at a Type C meeting in March 2022, described further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Fee Refund</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January 2023, we received a refund of our NDA filing fee of approximately $3.1 million from the FDA. This refund was made in accordance with the Federal Food Drug and Cosmetic Act, which allows a fee waiver for a small business submitting its first human drug application.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Application Submission</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August 2022, we submitted an NDA to the FDA for roluperidone for the treatment of negative symptoms in patients with schizophrenia. The NDA submission is supported by results from two late-stage, well-controlled studies in patients with moderate to severe negative symptoms and stable positive symptoms of schizophrenia, referred to as Study MIN-101C03 (the Phase 2b trial) and Study MIN-101C07 (the Phase 3 trial). Both studies were planned to constitute the bulk of evidence of roluperidone’s effectiveness for the indication of treating negative symptoms of schizophrenia. This plan relied on both studies having the same overall study design: both were multicenter, multinational, randomized, double-blind, placebo-controlled, parallel-group studies in which patients received either 32 mg or 64 mg doses of roluperidone. In both studies, if patients were taking antipsychotic treatments, they were discontinued and a washout period of two days was implemented before beginning the assigned study treatment. Both studies capture comparative placebo-controlled data through their 12-week double-blind period. Both studies also provide long-term exposure data regarding the safety and tolerability of roluperidone, as well as efficacy based on blinded doses of roluperidone, specifically intended to demonstrate the maintenance of improvement in negative symptoms and the low rate of worsening of positive symptoms following 24-week (Study MIN-101C03) and 40-week (Study MIN-101C07)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 As such, the data from these studies are the basis for the decision to submit the application at this stage of development as we believe they provide data to support the long-term safety and efficacy in adults in an area of high unmet medical need.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seeking approval for the 64 mg dose of roluperidone, and results described hereafter are for the 64 mg dose only.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Results of Study MIN-101C03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PANSS Marder’s Negative Symptoms Factor Score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superiority of roluperidone over placebo was also demonstrated in Study MIN-101C07. Although the primary analysis (intent-to-treat (“ITT”)) of change from Baseline in the NSFS to Week 12 for roluperidone compared to placebo marginally missed statistical significance (p ≤ 0.064), the results were quantitatively superior for 64 mg roluperidone treatment. Furthermore, the analysis of the modified intent-to-treat (“mITT”) population (mITT data set excludes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(key secondary endpoint measuring vocational and social skills) reached statistical significance for both ITT and mITT populations (p</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0.022 and p ≤ 0.017, respectively). Further improvements in the NSFS and PSP Total score were also seen during the 40-week OL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 C Meeting</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April 2022, we received the official meeting minutes from the Type C meeting with the FDA held on March 2, 2022, in which the development of roluperidone for the treatment of negative symptoms in schizophrenia was discussed. Four main topics (listed below) were highlighted by the FDA for which they requested input and further clarification from us. Following the meeting, we provided additional data to address:</w:t>
      </w:r>
    </w:p>
    <w:p>
      <w:pPr>
        <w:spacing w:after="0" w:line="68" w:lineRule="exact"/>
        <w:rPr>
          <w:sz w:val="20"/>
          <w:szCs w:val="20"/>
          <w:color w:val="auto"/>
        </w:rPr>
      </w:pPr>
    </w:p>
    <w:p>
      <w:pPr>
        <w:ind w:left="1020" w:right="1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roluperidone administration on the efficacy and safety of antipsychotic drugs.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US and non-US schizophrenia patients. More specifically, the Division wanted to be reassured that data collected in MIN-101C03 in non-US patients is applicable to US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statistical evidence of efficacy of roluperidone on negative symptoms.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clinicians to identify patients who might benefit from roluperidone.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Seltorexant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Phase 3 trials by Janssen and regulatory approvals. Janssen is currently conducting one Phase 3 study with seltorexant, completed a Phase 3 study during 2023, and discontinued a Phase 3 study during 2022.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sale of our rights to potential royalties, we will recognize non-cash interest expense related to the amortization of estimated future royalty payments to Royalty Pharma. Accordingly, for the three and twelve months ended December 31, 2023, we recognized $2.2 million and $8.3 million in non-cash interest expense related to this agreement.</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$60 million payment received from Royalty Pharma has been included on our balance sheet under Liability related to the sale of future royalties. As we recognize interest expense, the Liability related to the sale of future royalties will increase until such time that we begin to receive the related royalty payments. Under the terms of the agreement, all payments from Royalty Pharma to us,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2021, we made the strategic decision to focus our limited resources on moving forward our lead drug candidate, roluperidone, and deferred the development of MIN-301 until additional resources become available. 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 development for MIN-301 in conjunction with the acquisition of MIN-301 during 2014. No updates were made in respect of the development of MIN-301 during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historic direct costs relating to each of our product candidates are summarized as follows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Roluperidone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MIN-117</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MIN-301</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(Losses) Gains</w:t>
      </w:r>
    </w:p>
    <w:p>
      <w:pPr>
        <w:spacing w:after="0" w:line="22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Foreign exchange (losses) gains are comprised primarily of (losses) and gains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(loss) or gain.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consists of the non-cash interest expense associated with the Royalty Pharma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 Carryforwards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$126.2 million of federal net operating losses that will begin to expire in 2036, if not utilized. Of the total federal net operating loss, approximately $104.8 million has an unlimited carryforward and therefore will not expire. As of December 31, 2023, we had approximately $7.7 million of New Jersey and approximately $116.3 million of Massachusetts operating losses that will begin to expire in 2029 and 2037, respectively, if not utilized.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December 31, 2022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80" w:type="dxa"/>
            <w:vAlign w:val="bottom"/>
          </w:tcPr>
          <w:p>
            <w:pPr>
              <w:spacing w:after="0"/>
              <w:rPr>
                <w:sz w:val="20"/>
                <w:szCs w:val="20"/>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(23,119 )</w:t>
            </w:r>
          </w:p>
        </w:tc>
        <w:tc>
          <w:tcPr>
            <w:tcW w:w="3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(25,231 )</w:t>
            </w:r>
          </w:p>
        </w:tc>
      </w:tr>
      <w:tr>
        <w:trPr>
          <w:trHeight w:val="243"/>
        </w:trPr>
        <w:tc>
          <w:tcPr>
            <w:tcW w:w="6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(8,283 )</w:t>
            </w: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(7,407 )</w:t>
            </w:r>
          </w:p>
        </w:tc>
      </w:tr>
      <w:tr>
        <w:trPr>
          <w:trHeight w:val="20"/>
        </w:trPr>
        <w:tc>
          <w:tcPr>
            <w:tcW w:w="6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(32,109 )</w:t>
            </w: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-1130935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-1130935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$12.7 million and $14.6 million for the years ended December 31, 2023 and 2022, respectively, a decrease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$1.9 million. The decrease in research and development expenses was primarily due to lower costs related to the preparation of our NDA for roluperidone, which was submitted during 2022, and lower non-cash stock compensation costs, partially offset by higher compensation expenses. Non-cash stock compensation costs included in research and development expenses were $0.9 million and $2.0 million for the years ended December 31, 2023 and 2022,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$10.4 million and $10.6 million for the years ended December 31, 2023 and 2022, respectively, a decrease of $0.2 million. The decrease in general and administrative expenses was primarily due to lower non-cash stock compensation costs and insurance costs, partially offset by higher professional service fees and compensation expenses. Non-cash stock compensation costs included in general and administrative expenses were $1.1 million and $2.1 million for the years ended December 31,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Foreign exchange losses were $40 thousand and $28 thousand for the years ended December 31, 2023 and 2022, respectively, an increase of $12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Investment income was $1.4 million and $0.6 million for the years ended December 31, 2023 and 2022, respectively, an increase of approximately $0.8 million, primarily due to higher interest rates</w:t>
      </w:r>
      <w:r>
        <w:rPr>
          <w:rFonts w:ascii="Times New Roman" w:cs="Times New Roman" w:eastAsia="Times New Roman" w:hAnsi="Times New Roman"/>
          <w:sz w:val="18"/>
          <w:szCs w:val="18"/>
          <w:color w:val="FF000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$8.3 million and $7.4 million for the years ended December 31, 2023 and 2022, respectively, an increase of $0.9 million. The increase was primarily due to the amortization of non-cash interest expense for the difference between the balance of the liability related to the sale of future royalties and the estimated amount of future royalties to be received over the royalty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2023, we had an accumulated deficit of approximately $396.8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December 31, 2023, we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74" w:name="page75"/>
    <w:bookmarkEnd w:id="74"/>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had approximately $41.0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Common Stock and Warrants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27, 2023, we entered into a securities purchase agreement (the “Securities Purchase Agreement”) with certain institutional accredited investors (the “Investors”), pursuant to which we agreed to issue and sell to the Investors in a private placement (the “Private Placement”) (i) an aggregate of 1,425,000 shares (the “Shares”) of our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to be sold in the Private Placement, minus the $0.01 per share exercise price of each such pre-funded warrant. The pre-funded warrants are exercisable at any time after their original issuance and will not expire until exercised in full.</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pre-funded warrants issued in the Private Placement will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us, but not to any percentage in excess of 19.99%.</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30, 2023, the Private Placement closed and we received aggregate gross proceeds from the Private Placement of $20.0 million. We incurred approximately $0.4 million in offering expenses as of December 31, 2023, which have been included as a component of additional paid-in capital, resulting in net proceeds of $19.6 million as of December 31, 2023.</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Securities Purchase Agreement, we filed a registration statement on Form S-3 (File No. 333-273686), which was declared effective by the SEC on August 9, 2023, covering the resale of the Registrable Securities (as such term is defined in the Securities Purchase Agreement). We have agreed to use our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Securities Purchase Agreement, in connection with the Private Placement, Boehringer Ingelheim International GmbH (“BI”), an Investor in the Private Placement, has the right to designate an observer to attend, subject to certain exceptions, meetings of our board of directors and our committees, until the earlier of (i) the occurrence of a Change of Control and (ii) the date that it and its affiliates collectively hold less than 10% of our Common Stock (which shall be calculated by including in the amount of common stock held by such Investor and its affiliates any shares of common stock issuable upon exercise of any portion of the pre-funded warrant issued to such Investor and not yet exercised). BI designated a board observer on August 29,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 During the twelve months ended December 31, 2023, no shares of our common stock were issued or sold under the Sales Agreement. As of December 31, 2023, an aggregate of $22.6 million was eligible for sale pursuant to the Sales Agreement under our effective registration statement on Form S-3 (File No. 333-267424).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19, 2021, we entered into an agreement under which Royalty Pharma acquired our royalty interest in seltorexant for an upfront payment of $60 million and up to an additional $95 million in potential milestone payments, contingent upon the achievement of certain clinical, regulatory and commercial milestones for seltorexant by Janssen. Janssen is currently conducting one Phase 3 study with seltorexant, completed a Phase 3 study during 2023, and discontinued a Phase 3 study during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 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including the recent disruptions to and volatility in the credit and financial markets in the U.S. and worldwide resulting from the COVID-19 pandemic, geopolitical conflicts, such as the war in Ukraine and hostilities in the Middle East,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w:t>
            </w: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3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(14.8 )</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2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2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(24.6 )</w:t>
            </w:r>
          </w:p>
        </w:tc>
        <w:tc>
          <w:tcPr>
            <w:tcW w:w="1120" w:type="dxa"/>
            <w:vAlign w:val="bottom"/>
          </w:tcPr>
          <w:p>
            <w:pPr>
              <w:spacing w:after="0"/>
              <w:rPr>
                <w:sz w:val="20"/>
                <w:szCs w:val="20"/>
                <w:color w:val="auto"/>
              </w:rPr>
            </w:pPr>
          </w:p>
        </w:tc>
      </w:tr>
      <w:tr>
        <w:trPr>
          <w:trHeight w:val="641"/>
        </w:trPr>
        <w:tc>
          <w:tcPr>
            <w:tcW w:w="1140" w:type="dxa"/>
            <w:vAlign w:val="bottom"/>
          </w:tcPr>
          <w:p>
            <w:pPr>
              <w:spacing w:after="0"/>
              <w:rPr>
                <w:sz w:val="24"/>
                <w:szCs w:val="24"/>
                <w:color w:val="auto"/>
              </w:rPr>
            </w:pPr>
          </w:p>
        </w:tc>
        <w:tc>
          <w:tcPr>
            <w:tcW w:w="3340" w:type="dxa"/>
            <w:vAlign w:val="bottom"/>
            <w:tcBorders>
              <w:top w:val="single" w:sz="8" w:color="CFF0FC"/>
            </w:tcBorders>
          </w:tcPr>
          <w:p>
            <w:pPr>
              <w:spacing w:after="0"/>
              <w:rPr>
                <w:sz w:val="24"/>
                <w:szCs w:val="24"/>
                <w:color w:val="auto"/>
              </w:rPr>
            </w:pPr>
          </w:p>
        </w:tc>
        <w:tc>
          <w:tcPr>
            <w:tcW w:w="2840" w:type="dxa"/>
            <w:vAlign w:val="bottom"/>
            <w:tcBorders>
              <w:top w:val="single" w:sz="8" w:color="CFF0FC"/>
            </w:tcBorders>
          </w:tcPr>
          <w:p>
            <w:pPr>
              <w:jc w:val="right"/>
              <w:ind w:right="151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-916305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$14.8 million during the year ended December 31, 2023 was primarily due to our net loss of $30.0 million, partially offset by non-cash interest expense for the sale of future royalties of $8.3 million, a $3.1 million decrease in refundable regulatory fees, and stock-based compensation expense of $2.0 million.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$24.6 million during the year ended December 31, 2022 was primarily due to our net loss of $32.1 million and a $3.1 million increase in refundable regulatory fees, partially offset by non-cash interest expense for the sale of future royalties of $7.4 million and stock-based compensation expense of $4.1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years ended December 31, 2023 and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approximately $19.6 million during the year ended December 31, 2023 was primarily due to the net proceeds from the Private Placement closed in June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year ended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17, 2022, we filed a Certificate of Amendment to our Amended and Restated Certificate of Incorporation (the “Amendment”) with the Secretary of State of the State of Delaware to effect a one-for-eight (1-for-8) reverse stock split of our outstanding common stock. The Amendment became effective at 5:00 p.m. Eastern Time on June 17, 2022. A series of alternate amendments to effect a reverse stock split was approved by our stockholders at our 2022 Annual Meeting of Stockholders on June 10, 2022, and the specific one-for-eight (1-for-8) reverse stock split was subsequently approved by our board of directors on June 10, 2022.</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Amendment provided that, at the effective time of the Amendment, every eight (8) shares of our issued and outstanding common stock automatically combined into one issued and outstanding share of common stock, without any change in par value per share. The reverse stock split affected all shares of our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us and outstanding immediately prior to the effective time of the Amendment, which resulted in a proportionate decrease in the number of shares of our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our equity compensation plans immediately prior to the effective time of the Amendment was reduced proportionately. The reverse stock split did not affect the number of shares of common stock authorized for issuance under our Amended and Restated Certificate of Incorporation, which remained at 125,000,000 shares.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our common stock (except to the extent that the reverse stock split results in any stockholder owning only a fractional share). As a result of the reverse stock split, the number of our outstanding shares of common stock as of June 17, 2022 decreased from 42,721,566 (pre-split) shares to 5,340,193 (post-split) shares.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Our common stock began trading on The Nasdaq Global Market on a split-adjusted basis when the market opened on June 21, 2022. Effective September 12, 2022, we transferred the listing of our common stock from The Nasdaq Global Market to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these financial statements requires us to make estimates and assumptions that affect the reported amounts of assets and liabilities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7" w:name="page78"/>
    <w:bookmarkEnd w:id="77"/>
    <w:p>
      <w:pPr>
        <w:ind w:right="20"/>
        <w:spacing w:after="0" w:line="281" w:lineRule="auto"/>
        <w:rPr>
          <w:sz w:val="20"/>
          <w:szCs w:val="20"/>
          <w:color w:val="auto"/>
        </w:rPr>
      </w:pPr>
      <w:r>
        <w:rPr>
          <w:rFonts w:ascii="Times New Roman" w:cs="Times New Roman" w:eastAsia="Times New Roman" w:hAnsi="Times New Roman"/>
          <w:sz w:val="17"/>
          <w:szCs w:val="17"/>
          <w:color w:val="auto"/>
        </w:rPr>
        <w:t>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6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financial statements appearing elsewhere in this Form 10-K, we believe that the following accounting policies are the most critical for fully understanding and evaluating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our research and development projects as well as fees paid to consultants and various entities that perform certain research and testing on our behalf and costs related to salaries, benefits, bonuses and stock-based compensation granted to employees in research and development functions. We determine our expenses related to clinical studies based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condensed consolidated financial statements as prepaid or accrued expenses.</w:t>
      </w:r>
    </w:p>
    <w:p>
      <w:pPr>
        <w:spacing w:after="0" w:line="1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make estimates of our accrued research and development expenses as of each balance sheet date in our financial statements based on facts and circumstances known at that time. Although we do not expect that our estimates will be materially different from amounts actually incurred, our understanding of status and timing of services performed relative to the actual status and timing of services performed may vary and may result in our reporting amounts that are too high or too low for any particular period. There had been no material adjustments to our prior period estimates of accrued expenses for clinical trials. However, due to the nature of estimates, we cannot assure you that we will not make changes to our estimates in the future as we become aware of additional information about the status or conduct of our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(“IPR&amp;D”), assets represent capitalized incomplete research projects that we acquired through business combinations. Such assets are initially measured at their acquisition date fair values. The initial fair values of the research projects are recorded as intangible assets on the balance sheet, rather than expensed, regardless of whether these assets have an alternative future use.</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we will make a determination about the remaining useful life of the intangible asset and begin amortization. We test our indefinite-lived intangibles, IPR&amp;D assets, for impairment annually and more frequently if events or changes in circumstances indicate that it is more likely than not that the asset is impaired. When testing indefinite-lived intangibles for impairment, we may assess qualitative factors for our indefinite-lived intangibles to determine whether it is more likely than not (that is, a likelihood of more than 50 percent) that the asset is impaired. Alternatively, we may bypass this qualitative assessment for some or all of our indefinite-lived intangibles and perform the quantitative impairment test that compares the fair value of the indefinite-lived intangible asset with the asset’s carrying amount.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MIN-301 In-process Research and Development Asset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2021, we made the strategic decision to focus our limited resources on moving forward our lead drug candidate, roluperidone, and deferred the development of MIN-301 until additional resources become available. As a result of our limited resources and development deferral combined with the overall market conditions, we recognized a non-cash charge of $15.2 million as of December 31, 2021 related to the impairment of the intangible asset for MIN-301. We had previously recognized in-process research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8" w:name="page79"/>
    <w:bookmarkEnd w:id="78"/>
    <w:p>
      <w:pPr>
        <w:ind w:right="100"/>
        <w:spacing w:after="0" w:line="282" w:lineRule="auto"/>
        <w:rPr>
          <w:sz w:val="20"/>
          <w:szCs w:val="20"/>
          <w:color w:val="auto"/>
        </w:rPr>
      </w:pPr>
      <w:r>
        <w:rPr>
          <w:rFonts w:ascii="Times New Roman" w:cs="Times New Roman" w:eastAsia="Times New Roman" w:hAnsi="Times New Roman"/>
          <w:sz w:val="18"/>
          <w:szCs w:val="18"/>
          <w:color w:val="auto"/>
        </w:rPr>
        <w:t>development for MIN-301 in conjunction with the acquisition of MIN-301 during 2014. No updates were made in respect of the development of MIN-301 during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test our goodwill for impairment annually, or whenever events or changes in circumstances indicate an impairment may have occurred, by comparing our reporting unit’s carrying value to its fair value. Impairment may result from, among other things, deterioration in the performance of the acquired business, adverse market conditions, adverse changes in applicable laws or regulations and a variety of other circumstances. If we determine that an impairment has occurred, we are required to record a write-down of the carrying value and charge the impairment as an operating expense in the period the determination is made. In evaluating the recoverability of the carrying value of goodwill, we must make assumptions regarding estimated future cash flows and other factors to determine the fair value of the acquired assets. Changes in strategy or market conditions could significantly impact those judgments in the future and require an adjustment to the recorded balances. We have a single reporting unit, which is the level that the goodwill impairment test is performed. There was no impairment of goodwill for the years ended December 31, 2023 and 2022. As of December 31, 2023, $14.9 million of goodwill was associated with a reporting unit with zero or negative carrying value. As the reporting unit had a positive fair value, there was no impairment associated with this reporting unit.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use a recognition threshold and measurement attribute for the financial statement recognition and measurement of a tax position taken, or expected to be taken, in a tax return. We have elected to treat interest and penalties, to the extent they arise, as a component of income taxes. There was no interest or penalties related to income taxes for the years ended December 31, 2023 or 2022. Income tax years beginning in 2019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treat the sale of future royalties to Royalty Pharma as a debt financing, as we have significant continuing involvement in facilitating the transfer of royalties to Royalty Pharma and Royalty Pharma has recourse against us relating to the payments due from Janssen. As a result, we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 agreement, all payments from Royalty Pharma to us,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liability related to sale of future royalties and the related interest expense is based on our current estimates of future royalties expected to be paid over the life of the arrangement. We will periodically assess the expected royalty payments using a combination of internal projections and forecasts from external sources. To the extent our future estimates of royalty payments are greater or less than previous estimates or the estimated timing of such payments is materially different than its previous estimates, we will prospectively recognize related non-cash interest expense. As of December 31, 2023, we estimated the effective annual interest rate to be approximately 10.97%. For example, as of December 31, 2023, a 20% increase in the probability of clinical success of the MDD with insomnia trial would represent a 1.89 percentage points increase in the effective annual interest rate, which would increase the non-cash interest expense and future milestone payments by $37.9 million and $5.2 million, respectively, over the remaining life of 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the sale of future royalties, please refer to Note 5, Sale of Future Royalties.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Financial Accounting Standards Board (“FASB”) and are adopted by us as of the specified effective date. Our significant accounting policies are described in Note 2 to our financial statements appearing elsewhere in this Form 10-K. Except as described in Note 2, we believe that the impact of other recently issued, but not yet adopted, accounting pronouncements will not have a material impact on the financial position, results of operations and cash flows, or do not apply to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20" w:type="dxa"/>
            <w:vAlign w:val="bottom"/>
          </w:tcPr>
          <w:p>
            <w:pPr>
              <w:spacing w:after="0"/>
              <w:rPr>
                <w:sz w:val="24"/>
                <w:szCs w:val="24"/>
                <w:color w:val="auto"/>
              </w:rPr>
            </w:pPr>
          </w:p>
        </w:tc>
        <w:tc>
          <w:tcPr>
            <w:tcW w:w="5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 34)</w:t>
            </w:r>
          </w:p>
        </w:tc>
        <w:tc>
          <w:tcPr>
            <w:tcW w:w="4900" w:type="dxa"/>
            <w:vAlign w:val="bottom"/>
            <w:gridSpan w:val="4"/>
          </w:tcPr>
          <w:p>
            <w:pPr>
              <w:spacing w:after="0"/>
              <w:rPr>
                <w:sz w:val="24"/>
                <w:szCs w:val="24"/>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F-1</w:t>
            </w:r>
          </w:p>
        </w:tc>
      </w:tr>
      <w:tr>
        <w:trPr>
          <w:trHeight w:val="223"/>
        </w:trPr>
        <w:tc>
          <w:tcPr>
            <w:tcW w:w="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and 2022</w:t>
            </w:r>
          </w:p>
        </w:tc>
        <w:tc>
          <w:tcPr>
            <w:tcW w:w="4200" w:type="dxa"/>
            <w:vAlign w:val="bottom"/>
            <w:gridSpan w:val="3"/>
          </w:tcPr>
          <w:p>
            <w:pPr>
              <w:spacing w:after="0"/>
              <w:rPr>
                <w:sz w:val="19"/>
                <w:szCs w:val="19"/>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23"/>
        </w:trPr>
        <w:tc>
          <w:tcPr>
            <w:tcW w:w="20" w:type="dxa"/>
            <w:vAlign w:val="bottom"/>
          </w:tcPr>
          <w:p>
            <w:pPr>
              <w:spacing w:after="0"/>
              <w:rPr>
                <w:sz w:val="19"/>
                <w:szCs w:val="19"/>
                <w:color w:val="auto"/>
              </w:rPr>
            </w:pPr>
          </w:p>
        </w:tc>
        <w:tc>
          <w:tcPr>
            <w:tcW w:w="7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 Equity for the Years Ended December 31, 2023 and 2022</w:t>
            </w:r>
          </w:p>
        </w:tc>
        <w:tc>
          <w:tcPr>
            <w:tcW w:w="28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20" w:type="dxa"/>
            <w:vAlign w:val="bottom"/>
          </w:tcPr>
          <w:p>
            <w:pPr>
              <w:spacing w:after="0"/>
              <w:rPr>
                <w:sz w:val="19"/>
                <w:szCs w:val="19"/>
                <w:color w:val="auto"/>
              </w:rPr>
            </w:pPr>
          </w:p>
        </w:tc>
        <w:tc>
          <w:tcPr>
            <w:tcW w:w="65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160" w:type="dxa"/>
            <w:vAlign w:val="bottom"/>
            <w:gridSpan w:val="2"/>
          </w:tcPr>
          <w:p>
            <w:pPr>
              <w:spacing w:after="0"/>
              <w:rPr>
                <w:sz w:val="19"/>
                <w:szCs w:val="19"/>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F-7</w:t>
            </w:r>
          </w:p>
        </w:tc>
      </w:tr>
      <w:tr>
        <w:trPr>
          <w:trHeight w:val="682"/>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2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ind w:right="5080"/>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Minerva Neurosciences, Inc.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Minerva Neurosciences, Inc. and subsidiaries (the “Company”) as of December 31, 2023 and 2022, the related consolidated statements of operations, stockholders’ (deficit)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described in Notes 2 and 5 to the consolidated financial statements, on January 19, 2021, the Company entered into an agreement with Royalty Pharma under which Royalty Pharma acquired the Company’s royalty interest in seltorexant for an upfront payment of $60 million and up to an additional $95 million in potential milestone payments. Management applied significant judgment in determining the appropriate accounting treatment for the transaction and accounted for the sale of future revenue to Royalty Pharma as a debt financing, as the Company continues to have significant continuing involvement in the generation of the cash flows. The proceeds from the transaction were recorded as a liability related to the sale of future royalties, to be amortized under the interest method over the estimated life of the agreement.</w:t>
      </w:r>
    </w:p>
    <w:p>
      <w:pPr>
        <w:spacing w:after="0" w:line="12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identified the accounting treatment for the sale of future royalties as a critical accounting matter due to the significant judgment involved in determining the treatment. We identified the valuation of the liability related to the sale of future royalties as a critical audit matter because of the significant estimates and assumptions management makes related to the balance. Specifically, the determination of the discount rate involved significant estimation uncertainty.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46"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Our testing approach included both consideration of the accounting treatment, and the recognition and valuation of the liability. Our testing of the accounting treatment for the sale of future royalties was performed in the prior years and included the assistance of professionals in our firm having expertise in accounting and evaluated the Company’s conclusions regarding the accounting model applied to the sale of future royalties through consideration of possible alternatives under accounting principles generally accepted in the United States of America.</w:t>
      </w:r>
    </w:p>
    <w:p>
      <w:pPr>
        <w:spacing w:after="0" w:line="11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To test the estimated value of the liability related to the sale of future royalties and the non-cash interest expense, our audit procedures included the following, among others:</w:t>
      </w:r>
    </w:p>
    <w:p>
      <w:pPr>
        <w:spacing w:after="0" w:line="94" w:lineRule="exact"/>
        <w:rPr>
          <w:sz w:val="20"/>
          <w:szCs w:val="20"/>
          <w:color w:val="auto"/>
        </w:rPr>
      </w:pPr>
    </w:p>
    <w:p>
      <w:pPr>
        <w:ind w:left="760" w:right="8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years to test the initial recognition of the liability related to the sale of future royalties, with the assistance of our fair value specialists, we:</w:t>
      </w:r>
    </w:p>
    <w:p>
      <w:pPr>
        <w:spacing w:after="0" w:line="13" w:lineRule="exact"/>
        <w:rPr>
          <w:rFonts w:ascii="Times New Roman" w:cs="Times New Roman" w:eastAsia="Times New Roman" w:hAnsi="Times New Roman"/>
          <w:sz w:val="18"/>
          <w:szCs w:val="18"/>
          <w:color w:val="auto"/>
        </w:rPr>
      </w:pPr>
    </w:p>
    <w:p>
      <w:pPr>
        <w:ind w:left="1140" w:hanging="37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the appropriateness of the methodology used to estimate the implied discount rate, evaluated the significant assumptions discussed above that are used by management to estimate the future royalties to be paid and tested the underlying data used by the Company in its analysis.</w:t>
      </w:r>
    </w:p>
    <w:p>
      <w:pPr>
        <w:spacing w:after="0" w:line="27" w:lineRule="exact"/>
        <w:rPr>
          <w:rFonts w:ascii="Times New Roman" w:cs="Times New Roman" w:eastAsia="Times New Roman" w:hAnsi="Times New Roman"/>
          <w:sz w:val="18"/>
          <w:szCs w:val="18"/>
          <w:color w:val="auto"/>
        </w:rPr>
      </w:pPr>
    </w:p>
    <w:p>
      <w:pPr>
        <w:ind w:left="1140" w:hanging="37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Compared the significant assumptions used by management to relevant industry forecasts and economic trends, to evaluate consistency with external market and industry data, as well as consistency with evidence obtained in other areas of the audit.</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current year to test the subsequent recognition of the liability related to the sale of future royalties, we obtained the liability calculation and accretion schedule and:</w:t>
      </w:r>
    </w:p>
    <w:p>
      <w:pPr>
        <w:spacing w:after="0" w:line="2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Reviewed changes in significant estimates and assumptions used by management.</w:t>
      </w:r>
    </w:p>
    <w:p>
      <w:pPr>
        <w:spacing w:after="0" w:line="7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Recalculated the liability related to the sale of future royalties and associated non-cash interest expense.</w:t>
      </w:r>
    </w:p>
    <w:p>
      <w:pPr>
        <w:spacing w:after="0" w:line="7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there were any events or underlying factors that would indicate reassessment of the accounting conclusions.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900" w:type="dxa"/>
            <w:vAlign w:val="bottom"/>
            <w:shd w:val="clear" w:color="auto" w:fill="CFF0FC"/>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40,912,575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36,093,606</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3,117,218</w:t>
            </w:r>
          </w:p>
        </w:tc>
        <w:tc>
          <w:tcPr>
            <w:tcW w:w="100" w:type="dxa"/>
            <w:vAlign w:val="bottom"/>
            <w:shd w:val="clear" w:color="auto" w:fill="CFF0FC"/>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989,865</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848,117</w:t>
            </w:r>
          </w:p>
        </w:tc>
        <w:tc>
          <w:tcPr>
            <w:tcW w:w="100" w:type="dxa"/>
            <w:vAlign w:val="bottom"/>
          </w:tcPr>
          <w:p>
            <w:pPr>
              <w:spacing w:after="0"/>
              <w:rPr>
                <w:sz w:val="21"/>
                <w:szCs w:val="21"/>
                <w:color w:val="auto"/>
              </w:rPr>
            </w:pPr>
          </w:p>
        </w:tc>
      </w:tr>
      <w:tr>
        <w:trPr>
          <w:trHeight w:val="236"/>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42,002,440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40,158,941</w:t>
            </w:r>
          </w:p>
        </w:tc>
        <w:tc>
          <w:tcPr>
            <w:tcW w:w="100" w:type="dxa"/>
            <w:vAlign w:val="bottom"/>
            <w:shd w:val="clear" w:color="auto" w:fill="CFF0FC"/>
          </w:tcPr>
          <w:p>
            <w:pPr>
              <w:spacing w:after="0"/>
              <w:rPr>
                <w:sz w:val="20"/>
                <w:szCs w:val="20"/>
                <w:color w:val="auto"/>
              </w:rPr>
            </w:pPr>
          </w:p>
        </w:tc>
      </w:tr>
      <w:tr>
        <w:trPr>
          <w:trHeight w:val="243"/>
        </w:trPr>
        <w:tc>
          <w:tcPr>
            <w:tcW w:w="7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100" w:type="dxa"/>
            <w:vAlign w:val="bottom"/>
          </w:tcPr>
          <w:p>
            <w:pPr>
              <w:spacing w:after="0"/>
              <w:rPr>
                <w:sz w:val="20"/>
                <w:szCs w:val="20"/>
                <w:color w:val="auto"/>
              </w:rPr>
            </w:pPr>
          </w:p>
        </w:tc>
      </w:tr>
      <w:tr>
        <w:trPr>
          <w:trHeight w:val="24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55,087,233</w:t>
            </w:r>
          </w:p>
        </w:tc>
        <w:tc>
          <w:tcPr>
            <w:tcW w:w="10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90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1,805,320</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969,667</w:t>
            </w:r>
          </w:p>
        </w:tc>
        <w:tc>
          <w:tcPr>
            <w:tcW w:w="100" w:type="dxa"/>
            <w:vAlign w:val="bottom"/>
          </w:tcPr>
          <w:p>
            <w:pPr>
              <w:spacing w:after="0"/>
              <w:rPr>
                <w:sz w:val="20"/>
                <w:szCs w:val="20"/>
                <w:color w:val="auto"/>
              </w:rPr>
            </w:pPr>
          </w:p>
        </w:tc>
      </w:tr>
      <w:tr>
        <w:trPr>
          <w:trHeight w:val="247"/>
        </w:trPr>
        <w:tc>
          <w:tcPr>
            <w:tcW w:w="7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1,535,097</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3,340,417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1,377,576</w:t>
            </w:r>
          </w:p>
        </w:tc>
        <w:tc>
          <w:tcPr>
            <w:tcW w:w="100" w:type="dxa"/>
            <w:vAlign w:val="bottom"/>
          </w:tcPr>
          <w:p>
            <w:pPr>
              <w:spacing w:after="0"/>
              <w:rPr>
                <w:sz w:val="20"/>
                <w:szCs w:val="20"/>
                <w:color w:val="auto"/>
              </w:rPr>
            </w:pPr>
          </w:p>
        </w:tc>
      </w:tr>
      <w:tr>
        <w:trPr>
          <w:trHeight w:val="24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82,016,823</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73,733,876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85,357,240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75,111,452</w:t>
            </w:r>
          </w:p>
        </w:tc>
        <w:tc>
          <w:tcPr>
            <w:tcW w:w="100" w:type="dxa"/>
            <w:vAlign w:val="bottom"/>
          </w:tcPr>
          <w:p>
            <w:pPr>
              <w:spacing w:after="0"/>
              <w:rPr>
                <w:sz w:val="20"/>
                <w:szCs w:val="20"/>
                <w:color w:val="auto"/>
              </w:rPr>
            </w:pPr>
          </w:p>
        </w:tc>
      </w:tr>
      <w:tr>
        <w:trPr>
          <w:trHeight w:val="23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100,000,000 shares authorized; none issued or outstanding as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22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125,000,000 shares authorized; 6,993,406 and 5,340,193 shares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December 31, 2023 and December 31, 2022, respectively</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368,357,239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346,785,322</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(396,815,428 )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(366,810,075 )</w:t>
            </w:r>
          </w:p>
        </w:tc>
      </w:tr>
      <w:tr>
        <w:trPr>
          <w:trHeight w:val="20"/>
        </w:trPr>
        <w:tc>
          <w:tcPr>
            <w:tcW w:w="7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(28,457,490 )</w:t>
            </w:r>
          </w:p>
        </w:tc>
        <w:tc>
          <w:tcPr>
            <w:tcW w:w="2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(20,024,219 )</w:t>
            </w:r>
          </w:p>
        </w:tc>
      </w:tr>
      <w:tr>
        <w:trPr>
          <w:trHeight w:val="277"/>
        </w:trPr>
        <w:tc>
          <w:tcPr>
            <w:tcW w:w="7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55,087,233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-3154045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-2193925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-1876425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-350520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12,705,253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14,649,087</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10,414,323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10,582,239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23,119,576</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25,231,326</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(23,119,576 )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(25,231,326 )</w:t>
            </w:r>
          </w:p>
        </w:tc>
      </w:tr>
      <w:tr>
        <w:trPr>
          <w:trHeight w:val="243"/>
        </w:trPr>
        <w:tc>
          <w:tcPr>
            <w:tcW w:w="7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(40,235 )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(27,741 )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1,437,405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556,946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(8,282,947 )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(7,406,555 )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(30,005,353 )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(32,108,676 )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6,506,372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5,340,194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-685165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500" w:type="dxa"/>
            <w:vAlign w:val="bottom"/>
          </w:tcPr>
          <w:p>
            <w:pPr>
              <w:spacing w:after="0"/>
              <w:rPr>
                <w:sz w:val="14"/>
                <w:szCs w:val="14"/>
                <w:color w:val="auto"/>
              </w:rPr>
            </w:pP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5,340,196</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342,676,508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(334,701,399 )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7,975,643</w:t>
            </w:r>
          </w:p>
        </w:tc>
        <w:tc>
          <w:tcPr>
            <w:tcW w:w="100" w:type="dxa"/>
            <w:vAlign w:val="bottom"/>
            <w:shd w:val="clear" w:color="auto" w:fill="CFF0FC"/>
          </w:tcPr>
          <w:p>
            <w:pPr>
              <w:spacing w:after="0"/>
              <w:rPr>
                <w:sz w:val="20"/>
                <w:szCs w:val="20"/>
                <w:color w:val="auto"/>
              </w:rPr>
            </w:pPr>
          </w:p>
        </w:tc>
      </w:tr>
      <w:tr>
        <w:trPr>
          <w:trHeight w:val="23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4,108,819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4,108,819</w:t>
            </w:r>
          </w:p>
        </w:tc>
        <w:tc>
          <w:tcPr>
            <w:tcW w:w="100" w:type="dxa"/>
            <w:vAlign w:val="bottom"/>
          </w:tcPr>
          <w:p>
            <w:pPr>
              <w:spacing w:after="0"/>
              <w:rPr>
                <w:sz w:val="20"/>
                <w:szCs w:val="20"/>
                <w:color w:val="auto"/>
              </w:rPr>
            </w:pPr>
          </w:p>
        </w:tc>
      </w:tr>
      <w:tr>
        <w:trPr>
          <w:trHeight w:val="21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due to the rounding impact from</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reverse stock split for fractional shares</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(32,108,676 )</w:t>
            </w: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(32,108,676 )</w:t>
            </w:r>
          </w:p>
        </w:tc>
      </w:tr>
      <w:tr>
        <w:trPr>
          <w:trHeight w:val="20"/>
        </w:trPr>
        <w:tc>
          <w:tcPr>
            <w:tcW w:w="3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30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3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346,785,322</w:t>
            </w:r>
          </w:p>
        </w:tc>
        <w:tc>
          <w:tcPr>
            <w:tcW w:w="26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(366,810,075 )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(20,024,219 )</w:t>
            </w:r>
          </w:p>
        </w:tc>
      </w:tr>
      <w:tr>
        <w:trPr>
          <w:trHeight w:val="192"/>
        </w:trPr>
        <w:tc>
          <w:tcPr>
            <w:tcW w:w="3500" w:type="dxa"/>
            <w:vAlign w:val="bottom"/>
            <w:tcBorders>
              <w:top w:val="single" w:sz="8" w:color="CFF0FC"/>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Issuance of common stock and warrants</w:t>
            </w:r>
          </w:p>
        </w:tc>
        <w:tc>
          <w:tcPr>
            <w:tcW w:w="112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4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a private placement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19,999,852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19,999,994</w:t>
            </w:r>
          </w:p>
        </w:tc>
        <w:tc>
          <w:tcPr>
            <w:tcW w:w="100" w:type="dxa"/>
            <w:vAlign w:val="bottom"/>
          </w:tcPr>
          <w:p>
            <w:pPr>
              <w:spacing w:after="0"/>
              <w:rPr>
                <w:sz w:val="20"/>
                <w:szCs w:val="20"/>
                <w:color w:val="auto"/>
              </w:rPr>
            </w:pPr>
          </w:p>
        </w:tc>
      </w:tr>
      <w:tr>
        <w:trPr>
          <w:trHeight w:val="218"/>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related to issuance of common stock and</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(396,293 )</w:t>
            </w: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(396,293 )</w:t>
            </w:r>
          </w:p>
        </w:tc>
      </w:tr>
      <w:tr>
        <w:trPr>
          <w:trHeight w:val="21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performance-based restricted stock</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228,213</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1,968,381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1,968,381</w:t>
            </w:r>
          </w:p>
        </w:tc>
        <w:tc>
          <w:tcPr>
            <w:tcW w:w="100" w:type="dxa"/>
            <w:vAlign w:val="bottom"/>
            <w:shd w:val="clear" w:color="auto" w:fill="CFF0FC"/>
          </w:tcPr>
          <w:p>
            <w:pPr>
              <w:spacing w:after="0"/>
              <w:rPr>
                <w:sz w:val="21"/>
                <w:szCs w:val="2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(30,005,353 )</w:t>
            </w: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(30,005,353 )</w:t>
            </w:r>
          </w:p>
        </w:tc>
      </w:tr>
      <w:tr>
        <w:trPr>
          <w:trHeight w:val="20"/>
        </w:trPr>
        <w:tc>
          <w:tcPr>
            <w:tcW w:w="3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368,357,239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(396,815,428 )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(28,457,490 )</w:t>
            </w: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-1396365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-1379220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-1396365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-1379220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-1396365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-1379220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-1396365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-1379220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3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(30,005,353 )</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(32,108,676 )</w:t>
            </w: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25,540</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1,968,381</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4,108,819</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8,282,947</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7,406,555</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3,117,218</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(3,117,218 )</w:t>
            </w: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(141,748 )</w:t>
            </w: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498,242</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835,653</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(883,548 )</w:t>
            </w: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1,127,188</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(557,830 )</w:t>
            </w:r>
          </w:p>
        </w:tc>
      </w:tr>
      <w:tr>
        <w:trPr>
          <w:trHeight w:val="20"/>
        </w:trPr>
        <w:tc>
          <w:tcPr>
            <w:tcW w:w="7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(14,784,732 )</w:t>
            </w:r>
          </w:p>
        </w:tc>
        <w:tc>
          <w:tcPr>
            <w:tcW w:w="6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(24,645,143 )</w:t>
            </w:r>
          </w:p>
        </w:tc>
      </w:tr>
      <w:tr>
        <w:trPr>
          <w:trHeight w:val="241"/>
        </w:trPr>
        <w:tc>
          <w:tcPr>
            <w:tcW w:w="75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equipment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(16,326 )</w:t>
            </w:r>
          </w:p>
        </w:tc>
      </w:tr>
      <w:tr>
        <w:trPr>
          <w:trHeight w:val="20"/>
        </w:trPr>
        <w:tc>
          <w:tcPr>
            <w:tcW w:w="7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2"/>
        </w:trPr>
        <w:tc>
          <w:tcPr>
            <w:tcW w:w="7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(16,326 )</w:t>
            </w:r>
          </w:p>
        </w:tc>
      </w:tr>
      <w:tr>
        <w:trPr>
          <w:trHeight w:val="241"/>
        </w:trPr>
        <w:tc>
          <w:tcPr>
            <w:tcW w:w="75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common stock and warrants in private placement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19,999,994</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paid in connection with private placements</w:t>
            </w:r>
          </w:p>
        </w:tc>
        <w:tc>
          <w:tcPr>
            <w:tcW w:w="3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(396,293 )</w:t>
            </w:r>
          </w:p>
        </w:tc>
        <w:tc>
          <w:tcPr>
            <w:tcW w:w="6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paid in connection with the reverse stock split fractional shares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7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19,603,701</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75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4,818,969</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(24,661,474 )</w:t>
            </w:r>
          </w:p>
        </w:tc>
      </w:tr>
      <w:tr>
        <w:trPr>
          <w:trHeight w:val="247"/>
        </w:trPr>
        <w:tc>
          <w:tcPr>
            <w:tcW w:w="75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36,193,606</w:t>
            </w:r>
          </w:p>
        </w:tc>
        <w:tc>
          <w:tcPr>
            <w:tcW w:w="3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60,855,080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300" w:type="dxa"/>
            <w:vAlign w:val="bottom"/>
          </w:tcPr>
          <w:p>
            <w:pPr>
              <w:spacing w:after="0"/>
              <w:rPr>
                <w:sz w:val="20"/>
                <w:szCs w:val="20"/>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36,193,606</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758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 Condensed</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2"/>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40,912,575</w:t>
            </w:r>
          </w:p>
        </w:tc>
        <w:tc>
          <w:tcPr>
            <w:tcW w:w="30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36,093,606</w:t>
            </w:r>
          </w:p>
        </w:tc>
        <w:tc>
          <w:tcPr>
            <w:tcW w:w="100" w:type="dxa"/>
            <w:vAlign w:val="bottom"/>
          </w:tcPr>
          <w:p>
            <w:pPr>
              <w:spacing w:after="0"/>
              <w:rPr>
                <w:sz w:val="20"/>
                <w:szCs w:val="20"/>
                <w:color w:val="auto"/>
              </w:rPr>
            </w:pPr>
          </w:p>
        </w:tc>
      </w:tr>
      <w:tr>
        <w:trPr>
          <w:trHeight w:val="247"/>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300" w:type="dxa"/>
            <w:vAlign w:val="bottom"/>
          </w:tcPr>
          <w:p>
            <w:pPr>
              <w:spacing w:after="0"/>
              <w:rPr>
                <w:sz w:val="20"/>
                <w:szCs w:val="20"/>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36,193,606</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-3179445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-2545080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-1602105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-976630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proprietary product candidates to treat patients suffering from central nervous system diseases. The Company’s lead product candidate is roluperidone (f/k/a MIN-101), a compound the Company is developing for the treatment of negative symptoms in patients with schizophrenia. The Company holds the license to roluperidone from Mitsubishi Tanabe Pharma Corporation (“MTPC”) with the rights to develop, sell and import roluperidone globally, excluding most of Asia. In August 2022, the Company submitted a New Drug Application (“NDA”) with the U.S. Food and Drug Administration (“FDA”) for its lead product candidate, roluperidone, for the treatment of negative symptoms in schizophrenia. In October 2022, the Company received a refusal to file letter (“RTF”) from the FDA for the NDA for roluperidone. Subsequently, the Company requested a formal dispute resolution and appealed the RTF, following which, on April 27, 2023, the FDA filed the Company’s NDA for roluperidone. In May 2023, the FDA confirmed that the NDA for roluperidone was assigned a standard review classification and a Prescription Drug User Fee Act goal date of February 26, 2024. The FDA advised that it identified potential review issues that had been previously cited in the RTF decision letter, which included those discussed at the Type C meeting in March 2022. See the section titled “Item 7. Management’s Discussion and Analysis of Financial Condition and Results of Operations—Clinical and Regulatory Updates—Type C Meeting” for more information.</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exclusive rights to develop and commercialize MIN-301, a compound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$95 million in potential future milestone payments.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December 31, 2023, the Company had an accumulated deficit of approximately $396.8 million and net cash used in operating activities was approximately $14.8 million during the year ended December 31, 2023.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cash, cash equivalents, and restricted cash of $41.0 million, which it believes will be sufficient to meet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8" w:name="page89"/>
    <w:bookmarkEnd w:id="88"/>
    <w:p>
      <w:pPr>
        <w:ind w:right="200"/>
        <w:spacing w:after="0" w:line="282" w:lineRule="auto"/>
        <w:rPr>
          <w:sz w:val="20"/>
          <w:szCs w:val="20"/>
          <w:color w:val="auto"/>
        </w:rPr>
      </w:pPr>
      <w:r>
        <w:rPr>
          <w:rFonts w:ascii="Times New Roman" w:cs="Times New Roman" w:eastAsia="Times New Roman" w:hAnsi="Times New Roman"/>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(“GAAP”), and include all adjustments necessary for the fair presentation of the Company’s financial position for the periods presented. From its inception, the Company has devoted substantially all of its efforts to business planning, engaging regulatory, manufacturing and other technical consultants, planning and executing clinical trials and raising capital.</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June 17, 2022, the Company filed a Certificate of Amendment to its Amended and Restated Certificate of Incorporation (the “Amendment”) with the Secretary of State of the State of Delaware to effect a one-for-eight (1-for-8) reverse stock split of its outstanding common stock. The Amendment became effective at 5:00 p.m. Eastern Time on June 17, 2022. A series of alternate amendments to effect a reverse stock split was approved by the Company’s stockholders at the Company’s 2022 Annual Meeting of Stockholders on June 10, 2022, and the specific one-for-eight (1-for-8) reverse stock split was subsequently approved by the Company’s board of directors on June 10, 2022.</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Amendment provided that, at the effective time of the Amendment, every eight (8) shares of the Company’s issued and outstanding common stock automatically combined into one issued and outstanding share of common stock, without any change in par value per share. The reverse stock split affected all shares of the Company’s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the Company and outstanding immediately prior to the effective time of the Amendment, which resulted in a proportionate decrease in the number of shares of the Company’s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the Company’s equity compensation plans immediately prior to the effective time of the Amendment was reduced proportionately. The reverse stock split did not affect the number of shares of common stock authorized for issuance under the Company’s Amended and Restated Certificate of Incorporation, which remained at 125,000,000 shares.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results in any stockholder owning only a fractional share). As a result of the reverse stock split, the number of the Company’s outstanding shares of common stock as of June 17, 2022 decreased from 42,721,566 (pre-split) shares to 5,340,193 (post-split) shares.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The Company’s common stock began trading on The Nasdaq Global Market on a split-adjusted basis when the market opened on June 21, 2022. Effective September 12, 2022, the Company transferred the listing of its common stock from The Nasdaq Global Market to The Nasdaq Capital Market.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December 31, 2023 and 2022.</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Refundable regulatory fee</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August 12, 2022, the Company paid $3,117,218 to the FDA for the NDA user fee related to roluperidone. The Company met the conditions of the Federal Food, Drug, and Cosmetic Act, as amended, for the small business waiver of the user fees and its request for a waiver of an application user fee was granted by the FDA on November 2, 2022. On January 26, 2023, the refund was received from the FDA.</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(“IPR&amp;D”) assets represent capitalized incomplete research projects that the Company acquired through business combinations. Such assets are initially measured at their acquisition date fair values. The initial fair values of the research projects are recorded as intangible assets on the balance sheet, rather than expensed, regardless of whether these assets have an alternative future use.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ind w:right="20"/>
        <w:spacing w:after="0" w:line="253" w:lineRule="auto"/>
        <w:rPr>
          <w:sz w:val="20"/>
          <w:szCs w:val="20"/>
          <w:color w:val="auto"/>
        </w:rPr>
      </w:pPr>
      <w:r>
        <w:rPr>
          <w:rFonts w:ascii="Times New Roman" w:cs="Times New Roman" w:eastAsia="Times New Roman" w:hAnsi="Times New Roman"/>
          <w:sz w:val="18"/>
          <w:szCs w:val="18"/>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remaining useful life of the intangible asset and begin amortization. The Company tests its indefinite-lived intangibles, IPR&amp;D assets, for impairment annually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MIN-301 In-process Research and Development Asset</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2021, the Company made the strategic decision to focus its limited resources on moving forward its lead drug candidate, roluperidone, and deferred the development of MIN-301 until additional resources become available. As a result of the Company’s limited resources and development deferral combined with the overall market conditions, it recognized a non-cash charge of $15.2 million as of December 31, 2021 related to the impairment of the intangible asset for MIN-301. The Company had previously recognized in-process research and development for MIN-301 in conjunction with the acquisition of MIN-301 during 2014. No updates were made in respect of the development of MIN-301 during 2023.</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 See Note 7 for information on the Company’s performance-based restricted stock units (“PRSU”) grants.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uses a recognition threshold and measurement attribute for the financial statement recognition and measurement of a tax position taken, or expected to be taken, in a tax return. The Company has elected to treat interest and penalties, to the extent they arise, as a component of income tax expense. There was no interest or penalties related to income taxes for the years ended December 31, 2023 or 2022. Income tax years beginning in 2019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capitalized software in accordance with the Financial Accounting Standards Board (“FASB”) Accounting Standards Codification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350-40”), which provides guidance for computer software developed or obtained for internal use. The Company is required to continually evaluate the stage of the implementation process to determine whether costs are expensed or capitalized. Costs incurred during the preliminary project phase or planning and research phase are expensed as incurred. Costs incurred during the development phase, such as material and direct services costs, compensation costs of employees associated with the development and interest cost, are capitalized as incurred. Costs incurred during the post-implementation or operation phase, such as training and maintenance costs, are expensed as incurred. In addition, costs incurred to modify existing software that result in additional functionality are capitalized as incurred. Capitalized costs are amortized over the expected useful life of the asset.</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Implementation Costs Incurred in a Cloud Computing Arrangement That Is a Service Contract</w:t>
      </w:r>
      <w:r>
        <w:rPr>
          <w:rFonts w:ascii="Times New Roman" w:cs="Times New Roman" w:eastAsia="Times New Roman" w:hAnsi="Times New Roman"/>
          <w:sz w:val="18"/>
          <w:szCs w:val="18"/>
          <w:color w:val="auto"/>
        </w:rPr>
        <w:t>. This new guidance requires a customer in a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arrangement (i.e., hosting arrangement) that is a service contract to follow the internal-use software guidance in ASC 350-40 to determine which implementation costs to capitalize as assets or expense as incurred. Also, capitalized implementation costs related to a hosting arrangement that is a service contract will be amortized over the term of the hosting arrangement, beginning when the module or component of the hosting arrangement is ready for its intended use.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FASB ASC Topic 842, Leases (“ASC 842”), the Company utilized the remaining lease term of its leases in determining the appropriate incremental borrowing rates.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December 31, 2023 and 2022.</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has a single reporting unit, which is the level that the goodwill impairment test is performed. There was no impairment of goodwill for the years ended December 31, 2023 and 2022. As of December 31, 2023, $14.9 million of goodwill was associated with a reporting unit with zero or negative carrying value. As the reporting unit had a positive fair value, there was no impairment associated with this reporting unit.</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3" w:name="page94"/>
    <w:bookmarkEnd w:id="93"/>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cash equivalents and marketable securities as of December 31, 2023 and 2022, measured at fair value on a recurring basis and indicates the fair value hierarchy of the valuation techniques the Company utilized to determine such fair value:</w:t>
      </w:r>
    </w:p>
    <w:tbl>
      <w:tblPr>
        <w:tblLayout w:type="fixed"/>
        <w:tblInd w:w="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27,351,596</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27,351,596</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27,351,596</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27,351,596</w:t>
            </w:r>
          </w:p>
        </w:tc>
        <w:tc>
          <w:tcPr>
            <w:tcW w:w="7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427"/>
        </w:trPr>
        <w:tc>
          <w:tcPr>
            <w:tcW w:w="39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34,557,146</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34,557,146</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34,557,146</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34,557,146</w:t>
            </w:r>
          </w:p>
        </w:tc>
        <w:tc>
          <w:tcPr>
            <w:tcW w:w="7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-868045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-868045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-868045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-868045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-156845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-156845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-156845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restricted cash, accounts payable, accrued expenses and liabilities related to the sale of future royalties. The carrying amounts of cash and cash equivalents, restricted cash, accounts payable, and accrued expenses approximate fair value because of their short-term nature.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revenue recognition guidance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enters into an arrangement that meets the definition of a collaboration under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liability related to sale of future royalties and the related interest expense is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prospectively recognize related non-cash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the sale of future royalties, please refer to Note 5, Sale of Future Royalties.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items of comprehensive loss other than its net loss for each period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9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777,680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279,434</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590,769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166,648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1,535,097</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407,909</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LOSS PER SHARE OF COMMON STOCK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June 2023, in connection with the Private Placement (as defined and described in Note 6, Stockholders’ Equity), the Company issued and sold pre-funded warrants exercisable for an aggregate of 575,575 shares of common stock. The purchase price of the pre-funded warrants is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per share as of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for common stockholders: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(30,005,353 )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(32,108,676 )</w:t>
            </w: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6,506,372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5,340,194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(6.01 )</w:t>
            </w:r>
          </w:p>
        </w:tc>
        <w:tc>
          <w:tcPr>
            <w:tcW w:w="1120" w:type="dxa"/>
            <w:vAlign w:val="bottom"/>
          </w:tcPr>
          <w:p>
            <w:pPr>
              <w:spacing w:after="0"/>
              <w:rPr>
                <w:sz w:val="21"/>
                <w:szCs w:val="21"/>
                <w:color w:val="auto"/>
              </w:rPr>
            </w:pPr>
          </w:p>
        </w:tc>
      </w:tr>
      <w:tr>
        <w:trPr>
          <w:trHeight w:val="648"/>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40" w:type="dxa"/>
            <w:vAlign w:val="bottom"/>
            <w:gridSpan w:val="2"/>
          </w:tcPr>
          <w:p>
            <w:pPr>
              <w:jc w:val="right"/>
              <w:ind w:right="1740"/>
              <w:spacing w:after="0"/>
              <w:rPr>
                <w:sz w:val="20"/>
                <w:szCs w:val="20"/>
                <w:color w:val="auto"/>
              </w:rPr>
            </w:pPr>
            <w:r>
              <w:rPr>
                <w:rFonts w:ascii="Times New Roman" w:cs="Times New Roman" w:eastAsia="Times New Roman" w:hAnsi="Times New Roman"/>
                <w:sz w:val="18"/>
                <w:szCs w:val="18"/>
                <w:color w:val="auto"/>
              </w:rPr>
              <w:t>F-14</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December 31, 2023 and 2022 have been excluded from the calculation of weighted average shares outstanding as their effect on the calculation of loss per share is antidilutive: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8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1,157,229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700,929</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456,422</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April 2023, the Compensation Committee of the Company’s board of directors certified the achievement of a performance condition occurring upon FDA acceptance of the NDA for roluperidone. As a result, 50% of the shares of common stock underlying the PRSUs vested. As of December 31, 2023, 228,213 PRSUs have vested, 20,218 have been cancelled and 228,209 remain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as Royalty Pharma has recourse against the Company relating to the payments due from Janssen. As such, the Company applied the debt recognition guidance under ASC 470, Debt,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December 31, 2023, the Company estimated the effective annual interest rate to be approximately 10.97%.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regulatory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 Janssen is currently conducting one Phase 3 study with seltorexant, completed a Phase 3 study during 2023, and discontinued a Phase 3 study during 2022.</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The following table shows the activity of the Royalty Obligation since the transaction inception through December 31, 2023:</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payment from the sale of future royalties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80" w:type="dxa"/>
            <w:vAlign w:val="bottom"/>
            <w:shd w:val="clear" w:color="auto" w:fill="CFF0FC"/>
          </w:tcPr>
          <w:p>
            <w:pPr>
              <w:spacing w:after="0"/>
              <w:rPr>
                <w:sz w:val="20"/>
                <w:szCs w:val="20"/>
                <w:color w:val="auto"/>
              </w:rPr>
            </w:pPr>
          </w:p>
        </w:tc>
      </w:tr>
      <w:tr>
        <w:trPr>
          <w:trHeight w:val="24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22,016,823</w:t>
            </w:r>
          </w:p>
        </w:tc>
        <w:tc>
          <w:tcPr>
            <w:tcW w:w="80" w:type="dxa"/>
            <w:vAlign w:val="bottom"/>
          </w:tcPr>
          <w:p>
            <w:pPr>
              <w:spacing w:after="0"/>
              <w:rPr>
                <w:sz w:val="21"/>
                <w:szCs w:val="21"/>
                <w:color w:val="auto"/>
              </w:rPr>
            </w:pPr>
          </w:p>
        </w:tc>
      </w:tr>
      <w:tr>
        <w:trPr>
          <w:trHeight w:val="23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82,016,823</w:t>
            </w:r>
          </w:p>
        </w:tc>
        <w:tc>
          <w:tcPr>
            <w:tcW w:w="80" w:type="dxa"/>
            <w:vAlign w:val="bottom"/>
            <w:shd w:val="clear" w:color="auto" w:fill="CFF0FC"/>
          </w:tcPr>
          <w:p>
            <w:pPr>
              <w:spacing w:after="0"/>
              <w:rPr>
                <w:sz w:val="20"/>
                <w:szCs w:val="20"/>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and Warrants</w:t>
      </w:r>
    </w:p>
    <w:p>
      <w:pPr>
        <w:spacing w:after="0" w:line="22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On June 27, 2023, the Company entered into a securities purchase agreement (the “Securities Purchase Agreement”) with certain institutional accredited investors (the “Investors”), pursuant to which the Company agreed to issue and sell to the Investors in a private placement (the “Private Placement”) (i) an aggregate of 1,425,000 shares (the “Shares”) of the Company’s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pre-funded warrants issued in the Private Placement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the Company, but not to any percentage in excess of 19.99%.</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30, 2023, the Private Placement closed and the Company received aggregate gross proceeds from the Private Placement of $20.0 million. The Company incurred approximately $0.4 million in offering expenses as of December 31, 2023, which have been included as a component of additional paid-in capital, resulting in net proceeds of $19.6 million as of December 31, 2023.</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Securities Purchase Agreement, the Company filed a registration statement on Form S-3 (File No. 333-273686), which was declared effective by the SEC on August 9, 2023, covering the resale of the Registrable Securities (as such term is defined in the Securities Purchase Agreement). The Company has agreed to use its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Securities Purchase Agreement, in connection with the Private Placement, Boehringer Ingelheim International GmbH (“BI”), an Investor in the Private Placement, has the right to designate an observer to attend, subject to certain exceptions, meetings of the Company’s board of directors and its committees, until the earlier of (i) the occurrence of a Change of Control and (ii) the date that it and its affiliates collectively hold less than 10% of the Company’s common stock (which shall be calculated by including in the amount of common stock held by such Investor and its affiliates any shares of common stock issuable upon exercise of any portion of the pre-funded warrant issued to such Investor and not yet exercised). BI designated a board observer on August 29, 2023.</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twelve months ended December 31, 2023, no shares of the Company’s common stock were issued or sold under the Sales Agreement. As of December 31, 2023, an aggregate of $22.6 million was eligible for sale pursuant to the Sales Agreement under the Company’s effective registration statement on Form S-3 (File No. 333-267424).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7" w:name="page98"/>
    <w:bookmarkEnd w:id="9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term loans were repaid in August 2018. All related warrants were outstanding and exercisable as of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year ended December 31, 2023 is as follows:</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00" w:type="dxa"/>
            <w:vAlign w:val="bottom"/>
          </w:tcPr>
          <w:p>
            <w:pPr>
              <w:spacing w:after="0"/>
              <w:rPr>
                <w:sz w:val="12"/>
                <w:szCs w:val="12"/>
                <w:color w:val="auto"/>
              </w:rPr>
            </w:pPr>
          </w:p>
        </w:tc>
        <w:tc>
          <w:tcPr>
            <w:tcW w:w="10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Terms (years)</w:t>
            </w:r>
          </w:p>
        </w:tc>
        <w:tc>
          <w:tcPr>
            <w:tcW w:w="22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700,929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483,800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(27,500 )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1,157,229</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Borders>
              <w:top w:val="single" w:sz="8" w:color="CFF0FC"/>
            </w:tcBorders>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December 31, 2023</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389,767</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future grant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-530860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-187960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-170815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December 31, 2023 was $8.31 per share. Total unrecognized compensation costs related to non-vested stock options at December 31, 2023 were approximately $3.6 million and are expected to be recognized within future operating results over a weighted-average period of 2.9 years. The total intrinsic value of the options exercised during the years ended December 31, 2023 and 2022 was zero.</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For stock options granted during the years ended December 31, 2023 and 2022, the Company utilized the following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- 6.25</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6.25</w:t>
            </w: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- 4.74%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3.62%</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- 119%</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97%</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0%</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common stock</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$5.67</w:t>
            </w:r>
          </w:p>
        </w:tc>
        <w:tc>
          <w:tcPr>
            <w:tcW w:w="1480" w:type="dxa"/>
            <w:vAlign w:val="bottom"/>
            <w:gridSpan w:val="4"/>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$3.48</w:t>
            </w:r>
          </w:p>
        </w:tc>
        <w:tc>
          <w:tcPr>
            <w:tcW w:w="1120" w:type="dxa"/>
            <w:vAlign w:val="bottom"/>
          </w:tcPr>
          <w:p>
            <w:pPr>
              <w:spacing w:after="0"/>
              <w:rPr>
                <w:sz w:val="21"/>
                <w:szCs w:val="21"/>
                <w:color w:val="auto"/>
              </w:rPr>
            </w:pPr>
          </w:p>
        </w:tc>
      </w:tr>
      <w:tr>
        <w:trPr>
          <w:trHeight w:val="648"/>
        </w:trPr>
        <w:tc>
          <w:tcPr>
            <w:tcW w:w="1140" w:type="dxa"/>
            <w:vAlign w:val="bottom"/>
          </w:tcPr>
          <w:p>
            <w:pPr>
              <w:spacing w:after="0"/>
              <w:rPr>
                <w:sz w:val="24"/>
                <w:szCs w:val="24"/>
                <w:color w:val="auto"/>
              </w:rPr>
            </w:pPr>
          </w:p>
        </w:tc>
        <w:tc>
          <w:tcPr>
            <w:tcW w:w="618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F-17</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8" w:name="page99"/>
    <w:bookmarkEnd w:id="9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used the pre-modification stock options for determining the compensation cost related to the PRSUs as the vesting conditions remain uncertain for the outstanding PRSUs. As of December 31, 2023, the total unrecognized compensation cost related to non-vested pre-modification stock options was zero.</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The remaining PRSUs vest upon roluperidone receiving FDA marketing approval, provided that such approval occurs within five years after the August 6, 2021 grant date. As of December 31, 2023, 228,213 PRSUs have vested, 20,218 have been cancelled, and 228,209 remain outstanding. As a result of the PRSUs vesting, the Company recognized approximately $0.2 million in non-cash compensation expense for the period ending December 31, 2023,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909,845</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2,007,681</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1,058,536</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2,101,138</w:t>
            </w:r>
          </w:p>
        </w:tc>
        <w:tc>
          <w:tcPr>
            <w:tcW w:w="80" w:type="dxa"/>
            <w:vAlign w:val="bottom"/>
          </w:tcPr>
          <w:p>
            <w:pPr>
              <w:spacing w:after="0"/>
              <w:rPr>
                <w:sz w:val="21"/>
                <w:szCs w:val="21"/>
                <w:color w:val="auto"/>
              </w:rPr>
            </w:pPr>
          </w:p>
        </w:tc>
      </w:tr>
      <w:tr>
        <w:trPr>
          <w:trHeight w:val="27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1,968,381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4,108,819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foreign and state income taxes for the years ended December 31, 2023 and 2022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0"/>
        </w:trPr>
        <w:tc>
          <w:tcPr>
            <w:tcW w:w="11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258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5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25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5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5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7"/>
        </w:trPr>
        <w:tc>
          <w:tcPr>
            <w:tcW w:w="1140" w:type="dxa"/>
            <w:vAlign w:val="bottom"/>
          </w:tcPr>
          <w:p>
            <w:pPr>
              <w:spacing w:after="0"/>
              <w:rPr>
                <w:sz w:val="24"/>
                <w:szCs w:val="2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34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r>
      <w:tr>
        <w:trPr>
          <w:trHeight w:val="669"/>
        </w:trPr>
        <w:tc>
          <w:tcPr>
            <w:tcW w:w="1140" w:type="dxa"/>
            <w:vAlign w:val="bottom"/>
          </w:tcPr>
          <w:p>
            <w:pPr>
              <w:spacing w:after="0"/>
              <w:rPr>
                <w:sz w:val="24"/>
                <w:szCs w:val="24"/>
                <w:color w:val="auto"/>
              </w:rPr>
            </w:pPr>
          </w:p>
        </w:tc>
        <w:tc>
          <w:tcPr>
            <w:tcW w:w="3600" w:type="dxa"/>
            <w:vAlign w:val="bottom"/>
            <w:tcBorders>
              <w:top w:val="single" w:sz="8" w:color="CFF0FC"/>
            </w:tcBorders>
          </w:tcPr>
          <w:p>
            <w:pPr>
              <w:spacing w:after="0"/>
              <w:rPr>
                <w:sz w:val="24"/>
                <w:szCs w:val="24"/>
                <w:color w:val="auto"/>
              </w:rPr>
            </w:pPr>
          </w:p>
        </w:tc>
        <w:tc>
          <w:tcPr>
            <w:tcW w:w="2580" w:type="dxa"/>
            <w:vAlign w:val="bottom"/>
            <w:tcBorders>
              <w:top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rPr>
              <w:t>F-18</w:t>
            </w: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-959485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-942340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-959485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-942340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Net deferred tax assets (liabilities) as of December 31, 2023 and 2022 consist of the following:</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34,490,808</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26,695,408</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27,901,874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29,527,069</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8,911,005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10,038,836</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start-up and license costs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3,011,692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3,559,272</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Sale of royalties</w:t>
            </w: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22,406,996</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20,144,095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96,867,490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90,109,795</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(96,867,059 )</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(90,108,904 )</w:t>
            </w:r>
          </w:p>
        </w:tc>
      </w:tr>
      <w:tr>
        <w:trPr>
          <w:trHeight w:val="241"/>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Borders>
              <w:top w:val="single" w:sz="8" w:color="CFF0FC"/>
            </w:tcBorders>
          </w:tcPr>
          <w:p>
            <w:pPr>
              <w:spacing w:after="0"/>
              <w:rPr>
                <w:sz w:val="20"/>
                <w:szCs w:val="20"/>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(431 )</w:t>
            </w:r>
          </w:p>
        </w:tc>
        <w:tc>
          <w:tcPr>
            <w:tcW w:w="2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(891 )</w:t>
            </w:r>
          </w:p>
        </w:tc>
      </w:tr>
      <w:tr>
        <w:trPr>
          <w:trHeight w:val="20"/>
        </w:trPr>
        <w:tc>
          <w:tcPr>
            <w:tcW w:w="6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1"/>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(431 )</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(891 )</w:t>
            </w:r>
          </w:p>
        </w:tc>
      </w:tr>
      <w:tr>
        <w:trPr>
          <w:trHeight w:val="237"/>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-1148080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-1148080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-831215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-831215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Company’s effective tax rate and the federal statutory rate for the years ended December 31, 2023 and 2022 are as follows:</w:t>
      </w:r>
    </w:p>
    <w:p>
      <w:pPr>
        <w:spacing w:after="0" w:line="9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1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r>
      <w:tr>
        <w:trPr>
          <w:trHeight w:val="22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21.00 %</w:t>
            </w:r>
          </w:p>
        </w:tc>
        <w:tc>
          <w:tcPr>
            <w:tcW w:w="2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21.00 %</w:t>
            </w:r>
          </w:p>
        </w:tc>
      </w:tr>
      <w:tr>
        <w:trPr>
          <w:trHeight w:val="23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(0.57 %)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4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26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r>
      <w:tr>
        <w:trPr>
          <w:trHeight w:val="25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8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7"/>
              </w:rPr>
              <w:t>(20.44 %)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(20.92 %)</w:t>
            </w:r>
          </w:p>
        </w:tc>
      </w:tr>
      <w:tr>
        <w:trPr>
          <w:trHeight w:val="20"/>
        </w:trPr>
        <w:tc>
          <w:tcPr>
            <w:tcW w:w="6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8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(0.00 %)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r>
      <w:tr>
        <w:trPr>
          <w:trHeight w:val="20"/>
        </w:trPr>
        <w:tc>
          <w:tcPr>
            <w:tcW w:w="6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-805180</wp:posOffset>
            </wp:positionV>
            <wp:extent cx="570039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5700395"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losses and the uncertainty of future taxable income over the periods which the Company will realize the benefits of its net deferred tax assets, management believes it is more likely than not that the Company will not realize the benefits on the balance of its net deferred tax asset and, accordingly, the Company has established a full valuation allowance on its net deferred tax assets. The valuation allowance increased by approximately $6.8 million and $8.8 million during the years ended December 31, 2023 and 2022, respectively.</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approximately $126.2 million of federal net operating losses that will begin to expire in 2036, if not utilized. Of the total federal net operating loss, approximately $104.8 million has an unlimited carryforward and therefore will not expire. As of December 31, 2023, the Company had approximately $7.7 million of New Jersey and approximately $116.3 million of Massachusetts operating losses that will begin to expire in 2029 and 2037, respectively, if not utilized. As of December 31, 2023, the Company had approximately $0.1 million of federal research and development credits that will begin to expire in 2027, if not utilized.</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2019 to present.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no liability recorded for unrecognized tax benefit. The Company classifies penalties and interest expense related to income tax liabilities as an income tax expense. There were no interest and penalties recognized in the statements of operations for the years ended December 31, 2023 and 2022, or accrued on the balance sheets as of December 31, 2023 and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approximately 491 rentable square feet of office space located at 1500 District Avenue, Burlington, MA 01803. In January 2024, the Company renewed the month-to-month lease agreement commencing on February 1, 2024, with a monthly payment of $8,697. The Company has elected to not recognize the lease agreement on the balance sheet as the term of the agreement is 12 months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2023. Based on the evaluation of our disclosure controls and procedures as of December 31, 2023,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2023,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2023,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the Securities and Exchange Commission adopted amendments to the accelerated filer and large accelerated filer definitions on March 12, 2020. Following the adoption of the amendments, smaller reporting companies with less than $100 million in revenues will continue to be required to establish and maintain effective internal control over financial reporting (“ICFR”) but, will no longer be required to obtain a separate attestation of their ICFR from an outside auditor.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fourth quarter that would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10 will be contained in the sections entitled “Election of Directors,” “Information Regarding the Board and Corporate Governance,” “Executive Officers” and “Delinquent Section 16(a) Reports” appearing in the definitive proxy statement we will file in connection with our 2024 Annual Meeting of Stockholders and is incorporated by reference herein. The information required by this item relating to executive officers may be found in Part I, Item 1 of this report under the heading “Information about our Executive Officers” and is incorporated herein by reference.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officers, directors and employees, and have posted the text of the policy on our website (http://ir.minervaneurosciences.com/corporate-governance). In addition, we intend to promptly disclose on our website in the future (i) the date and nature of any amendment (other than technical, administrative or other non-substantive amendments) to the policy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policy that is granted to one of these specified individuals that relates to one or more of the elements of the code of ethics definition enumerated in Item 406(b) of Regulation S-K, the name of such person who is granted the waiver and the date of the waiver.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contained in the sections entitled “Executive Compensation” and “Director Compensation” appearing in the definitive proxy statement we will file in connection with our 2024 Annual Meeting of Stockholders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contained in the sections entitled “Security Ownership of Certain Beneficial Owners and Management” and “Equity Compensation Plan Information” appearing in the definitive proxy statement we will file in connection with our 2024 Annual Meeting of Stockholders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Person Transactions, and Director Independence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be contained in the sections entitled “Transactions with Related Persons Related Person Transactions Policy and Procedures” appearing in the definitive proxy statement we will file in connection with our 2024 Annual Meeting of Stockholders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14 will be contained in the section entitled “Principal Accountant Fees and Services” appearing in the definitive proxy statement we will file in connection with our 2024 Annual Meeting of Stockholders and is incorporated by reference herein.</w:t>
      </w: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3" w:name="page104"/>
    <w:bookmarkEnd w:id="103"/>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Form 10-K.</w:t>
      </w:r>
    </w:p>
    <w:p>
      <w:pPr>
        <w:spacing w:after="0" w:line="117" w:lineRule="exact"/>
        <w:rPr>
          <w:rFonts w:ascii="Times New Roman" w:cs="Times New Roman" w:eastAsia="Times New Roman" w:hAnsi="Times New Roman"/>
          <w:sz w:val="18"/>
          <w:szCs w:val="18"/>
          <w:color w:val="auto"/>
        </w:rPr>
      </w:pPr>
    </w:p>
    <w:p>
      <w:pPr>
        <w:ind w:left="560" w:hanging="297"/>
        <w:spacing w:after="0"/>
        <w:tabs>
          <w:tab w:leader="none" w:pos="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2023 and 2022</w:t>
      </w:r>
    </w:p>
    <w:p>
      <w:pPr>
        <w:spacing w:after="0" w:line="117" w:lineRule="exact"/>
        <w:rPr>
          <w:sz w:val="20"/>
          <w:szCs w:val="20"/>
          <w:color w:val="auto"/>
        </w:rPr>
      </w:pPr>
    </w:p>
    <w:p>
      <w:pPr>
        <w:ind w:left="520" w:right="1779"/>
        <w:spacing w:after="0" w:line="375" w:lineRule="auto"/>
        <w:rPr>
          <w:sz w:val="20"/>
          <w:szCs w:val="20"/>
          <w:color w:val="auto"/>
        </w:rPr>
      </w:pPr>
      <w:r>
        <w:rPr>
          <w:rFonts w:ascii="Times New Roman" w:cs="Times New Roman" w:eastAsia="Times New Roman" w:hAnsi="Times New Roman"/>
          <w:sz w:val="18"/>
          <w:szCs w:val="18"/>
          <w:color w:val="auto"/>
        </w:rPr>
        <w:t>Consolidated Statements of Stockholders’ (Deficit) Equity for the Years Ended December 31, 2023 and 2022 Consolidated Statements of Cash Flows for the Years Ended December 31, 2023 and 2022 Notes to Consolidated Financial Statements</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 Schedules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Schedules have been omitted as all required information has been disclosed in the financial statements and related footnotes.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 Exhibits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or are incorporated herein by reference.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31"/>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1"/>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Amended and Restated Certificate of Incorporation of the</w:t>
              </w:r>
            </w:hyperlink>
          </w:p>
        </w:tc>
        <w:tc>
          <w:tcPr>
            <w:tcW w:w="1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Certificate of Amendment to Amended and Restated</w:t>
              </w:r>
            </w:hyperlink>
          </w:p>
        </w:tc>
        <w:tc>
          <w:tcPr>
            <w:tcW w:w="50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Certificate of Incorporation of the 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Amended and Restated Bylaws of the Registrant</w:t>
              </w:r>
            </w:hyperlink>
          </w:p>
        </w:tc>
        <w:tc>
          <w:tcPr>
            <w:tcW w:w="84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1760" w:type="dxa"/>
            <w:vAlign w:val="bottom"/>
            <w:gridSpan w:val="2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Description of Securities Registered Pursuant to Section 12</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of the Securities Exchange Act of 1934</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39"/>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Share Purchase Agreement between the Registrant, Mind-</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9,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NRG SA and Various Shareholders dated as of February</w:t>
              </w:r>
            </w:hyperlink>
          </w:p>
        </w:tc>
        <w:tc>
          <w:tcPr>
            <w:tcW w:w="40" w:type="dxa"/>
            <w:vAlign w:val="bottom"/>
            <w:tcBorders>
              <w:top w:val="single" w:sz="8" w:color="0000FF"/>
            </w:tcBorders>
            <w:gridSpan w:val="2"/>
          </w:tcPr>
          <w:p>
            <w:pPr>
              <w:spacing w:after="0"/>
              <w:rPr>
                <w:sz w:val="17"/>
                <w:szCs w:val="17"/>
                <w:color w:val="auto"/>
              </w:rPr>
            </w:pPr>
          </w:p>
        </w:tc>
        <w:tc>
          <w:tcPr>
            <w:tcW w:w="16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760" w:type="dxa"/>
            <w:vAlign w:val="bottom"/>
            <w:gridSpan w:val="3"/>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11, 2014</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Indemnification Agreement between the Registrant</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and each of its directors and executive officers</w:t>
              </w:r>
            </w:hyperlink>
          </w:p>
        </w:tc>
        <w:tc>
          <w:tcPr>
            <w:tcW w:w="98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License Agreement between Mitsubishi Pharma</w:t>
              </w:r>
            </w:hyperlink>
          </w:p>
        </w:tc>
        <w:tc>
          <w:tcPr>
            <w:tcW w:w="84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Corporation and the Registrant f/k/a Cyrenaic</w:t>
              </w:r>
            </w:hyperlink>
          </w:p>
        </w:tc>
        <w:tc>
          <w:tcPr>
            <w:tcW w:w="100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Pharmaceuticals, Inc., dated as of August 30, 2007</w:t>
              </w:r>
            </w:hyperlink>
          </w:p>
        </w:tc>
        <w:tc>
          <w:tcPr>
            <w:tcW w:w="20" w:type="dxa"/>
            <w:vAlign w:val="bottom"/>
            <w:tcBorders>
              <w:bottom w:val="single" w:sz="8" w:color="0000EE"/>
            </w:tcBorders>
          </w:tcPr>
          <w:p>
            <w:pPr>
              <w:spacing w:after="0"/>
              <w:rPr>
                <w:sz w:val="17"/>
                <w:szCs w:val="17"/>
                <w:color w:val="auto"/>
              </w:rPr>
            </w:pPr>
          </w:p>
        </w:tc>
        <w:tc>
          <w:tcPr>
            <w:tcW w:w="66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Amendment to License Agreement between Mitsubishi</w:t>
              </w:r>
            </w:hyperlink>
          </w:p>
        </w:tc>
        <w:tc>
          <w:tcPr>
            <w:tcW w:w="32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Tanabe Pharma Corporation and the Registrant f/k/a</w:t>
              </w:r>
            </w:hyperlink>
          </w:p>
        </w:tc>
        <w:tc>
          <w:tcPr>
            <w:tcW w:w="54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Cyrenaic Pharmaceuticals, Inc., dated as of June 16, 2011</w:t>
              </w:r>
            </w:hyperlink>
          </w:p>
        </w:tc>
        <w:tc>
          <w:tcPr>
            <w:tcW w:w="1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Second Amendment to License Agreement between</w:t>
              </w:r>
            </w:hyperlink>
          </w:p>
        </w:tc>
        <w:tc>
          <w:tcPr>
            <w:tcW w:w="5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Mitsubishi Tanabe Pharma Corporation and the Registrant,</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dated as of January 20, 2014</w:t>
              </w:r>
            </w:hyperlink>
          </w:p>
        </w:tc>
        <w:tc>
          <w:tcPr>
            <w:tcW w:w="2280" w:type="dxa"/>
            <w:vAlign w:val="bottom"/>
            <w:gridSpan w:val="2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License Agreement between Mitsubishi Tanabe Pharma</w:t>
              </w:r>
            </w:hyperlink>
          </w:p>
        </w:tc>
        <w:tc>
          <w:tcPr>
            <w:tcW w:w="28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Corporation and the Registrant as successor in interest to</w:t>
              </w:r>
            </w:hyperlink>
          </w:p>
        </w:tc>
        <w:tc>
          <w:tcPr>
            <w:tcW w:w="2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Sonkei Pharmaceuticals, Inc., dated as of September 1,</w:t>
              </w:r>
            </w:hyperlink>
          </w:p>
        </w:tc>
        <w:tc>
          <w:tcPr>
            <w:tcW w:w="3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20">
              <w:r>
                <w:rPr>
                  <w:rFonts w:ascii="Times New Roman" w:cs="Times New Roman" w:eastAsia="Times New Roman" w:hAnsi="Times New Roman"/>
                  <w:sz w:val="18"/>
                  <w:szCs w:val="18"/>
                  <w:color w:val="0000FF"/>
                  <w:w w:val="94"/>
                </w:rPr>
                <w:t>2008</w:t>
              </w:r>
            </w:hyperlink>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Amendment to License Agreement between Mitsubishi</w:t>
              </w:r>
            </w:hyperlink>
          </w:p>
        </w:tc>
        <w:tc>
          <w:tcPr>
            <w:tcW w:w="32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Tanabe Pharma Corporation and the Registrant, dated as of</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21">
              <w:r>
                <w:rPr>
                  <w:rFonts w:ascii="Times New Roman" w:cs="Times New Roman" w:eastAsia="Times New Roman" w:hAnsi="Times New Roman"/>
                  <w:sz w:val="18"/>
                  <w:szCs w:val="18"/>
                  <w:color w:val="0000FF"/>
                  <w:w w:val="98"/>
                </w:rPr>
                <w:t>January 20, 2014</w:t>
              </w:r>
            </w:hyperlink>
          </w:p>
        </w:tc>
        <w:tc>
          <w:tcPr>
            <w:tcW w:w="20" w:type="dxa"/>
            <w:vAlign w:val="bottom"/>
            <w:tcBorders>
              <w:bottom w:val="single" w:sz="8" w:color="0000EE"/>
            </w:tcBorders>
          </w:tcPr>
          <w:p>
            <w:pPr>
              <w:spacing w:after="0"/>
              <w:rPr>
                <w:sz w:val="17"/>
                <w:szCs w:val="17"/>
                <w:color w:val="auto"/>
              </w:rPr>
            </w:pPr>
          </w:p>
        </w:tc>
        <w:tc>
          <w:tcPr>
            <w:tcW w:w="3080" w:type="dxa"/>
            <w:vAlign w:val="bottom"/>
            <w:gridSpan w:val="3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Co-Development and License Agreement between Janssen</w:t>
              </w:r>
            </w:hyperlink>
          </w:p>
        </w:tc>
        <w:tc>
          <w:tcPr>
            <w:tcW w:w="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333-195169</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Pharmaceutica, N.V. and the Registrant, dated as of</w:t>
              </w:r>
            </w:hyperlink>
          </w:p>
        </w:tc>
        <w:tc>
          <w:tcPr>
            <w:tcW w:w="60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February 13, 2014</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Securities Purchase Agreement between certain</w:t>
              </w:r>
            </w:hyperlink>
          </w:p>
        </w:tc>
        <w:tc>
          <w:tcPr>
            <w:tcW w:w="2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investors referenced therein and the Registrant, dated as of</w:t>
              </w:r>
            </w:hyperlink>
          </w:p>
        </w:tc>
        <w:tc>
          <w:tcPr>
            <w:tcW w:w="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March 13, 2015</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Registration Rights Agreement between certain</w:t>
              </w:r>
            </w:hyperlink>
          </w:p>
        </w:tc>
        <w:tc>
          <w:tcPr>
            <w:tcW w:w="2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investors referenced therein and the Registrant, dated as of</w:t>
              </w:r>
            </w:hyperlink>
          </w:p>
        </w:tc>
        <w:tc>
          <w:tcPr>
            <w:tcW w:w="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March 13, 2015</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Second Amendment to License Agreement between</w:t>
              </w:r>
            </w:hyperlink>
          </w:p>
        </w:tc>
        <w:tc>
          <w:tcPr>
            <w:tcW w:w="5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2015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Mitsubishi Tanabe Pharma Corporation and the Registrant,</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225">
              <w:r>
                <w:rPr>
                  <w:rFonts w:ascii="Times New Roman" w:cs="Times New Roman" w:eastAsia="Times New Roman" w:hAnsi="Times New Roman"/>
                  <w:sz w:val="18"/>
                  <w:szCs w:val="18"/>
                  <w:color w:val="0000FF"/>
                  <w:w w:val="98"/>
                </w:rPr>
                <w:t>dated as of April 21, 2015</w:t>
              </w:r>
            </w:hyperlink>
          </w:p>
        </w:tc>
        <w:tc>
          <w:tcPr>
            <w:tcW w:w="20" w:type="dxa"/>
            <w:vAlign w:val="bottom"/>
            <w:tcBorders>
              <w:bottom w:val="single" w:sz="8" w:color="0000EE"/>
            </w:tcBorders>
          </w:tcPr>
          <w:p>
            <w:pPr>
              <w:spacing w:after="0"/>
              <w:rPr>
                <w:sz w:val="17"/>
                <w:szCs w:val="17"/>
                <w:color w:val="auto"/>
              </w:rPr>
            </w:pPr>
          </w:p>
        </w:tc>
        <w:tc>
          <w:tcPr>
            <w:tcW w:w="2440" w:type="dxa"/>
            <w:vAlign w:val="bottom"/>
            <w:gridSpan w:val="2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and Restated Non-Employee Director</w:t>
              </w:r>
            </w:hyperlink>
          </w:p>
        </w:tc>
        <w:tc>
          <w:tcPr>
            <w:tcW w:w="480" w:type="dxa"/>
            <w:vAlign w:val="bottom"/>
            <w:gridSpan w:val="7"/>
          </w:tcPr>
          <w:p>
            <w:pPr>
              <w:spacing w:after="0"/>
              <w:rPr>
                <w:sz w:val="24"/>
                <w:szCs w:val="24"/>
                <w:color w:val="auto"/>
              </w:rPr>
            </w:pPr>
          </w:p>
        </w:tc>
        <w:tc>
          <w:tcPr>
            <w:tcW w:w="36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7,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Compensation Plan</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8"/>
            <w:shd w:val="clear" w:color="auto" w:fill="0000FF"/>
          </w:tcPr>
          <w:p>
            <w:pPr>
              <w:spacing w:after="0" w:line="20" w:lineRule="exact"/>
              <w:rPr>
                <w:sz w:val="1"/>
                <w:szCs w:val="1"/>
                <w:color w:val="auto"/>
              </w:rPr>
            </w:pPr>
          </w:p>
        </w:tc>
        <w:tc>
          <w:tcPr>
            <w:tcW w:w="2560" w:type="dxa"/>
            <w:vAlign w:val="bottom"/>
            <w:gridSpan w:val="17"/>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Common Stock Purchase Agreement, dated March 17,</w:t>
              </w:r>
            </w:hyperlink>
          </w:p>
        </w:tc>
        <w:tc>
          <w:tcPr>
            <w:tcW w:w="36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9"/>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2016, by and between David Kupfer and the 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366"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80" w:type="dxa"/>
            <w:vAlign w:val="bottom"/>
            <w:gridSpan w:val="3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0"/>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Employment Agreement, dated as of August 1, 2016,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3"/>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and between Mind-NRG SARL and Dr. Remy Luthringer</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top w:val="single" w:sz="8" w:color="0000FF"/>
              <w:bottom w:val="single" w:sz="8" w:color="0000FF"/>
            </w:tcBorders>
            <w:gridSpan w:val="25"/>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Employment Agreement, dated as of August 1, 2016, by</w:t>
              </w:r>
            </w:hyperlink>
          </w:p>
        </w:tc>
        <w:tc>
          <w:tcPr>
            <w:tcW w:w="20" w:type="dxa"/>
            <w:vAlign w:val="bottom"/>
            <w:tcBorders>
              <w:top w:val="single" w:sz="8" w:color="0000FF"/>
              <w:bottom w:val="single" w:sz="8" w:color="0000FF"/>
            </w:tcBorders>
          </w:tcPr>
          <w:p>
            <w:pPr>
              <w:spacing w:after="0"/>
              <w:rPr>
                <w:sz w:val="24"/>
                <w:szCs w:val="24"/>
                <w:color w:val="auto"/>
              </w:rPr>
            </w:pPr>
          </w:p>
        </w:tc>
        <w:tc>
          <w:tcPr>
            <w:tcW w:w="20" w:type="dxa"/>
            <w:vAlign w:val="bottom"/>
            <w:tcBorders>
              <w:top w:val="single" w:sz="8" w:color="0000FF"/>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and between Mind-NRG SARL and Geoffrey Race</w:t>
              </w:r>
            </w:hyperlink>
          </w:p>
        </w:tc>
        <w:tc>
          <w:tcPr>
            <w:tcW w:w="62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1"/>
                <w:szCs w:val="21"/>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Employment Agreement, dated as of August 1, 2016,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and between the Registrant and Frederick Ahlholm</w:t>
              </w:r>
            </w:hyperlink>
          </w:p>
        </w:tc>
        <w:tc>
          <w:tcPr>
            <w:tcW w:w="20" w:type="dxa"/>
            <w:vAlign w:val="bottom"/>
            <w:tcBorders>
              <w:bottom w:val="single" w:sz="8" w:color="0000EE"/>
            </w:tcBorders>
          </w:tcPr>
          <w:p>
            <w:pPr>
              <w:spacing w:after="0"/>
              <w:rPr>
                <w:sz w:val="17"/>
                <w:szCs w:val="17"/>
                <w:color w:val="auto"/>
              </w:rPr>
            </w:pPr>
          </w:p>
        </w:tc>
        <w:tc>
          <w:tcPr>
            <w:tcW w:w="64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Form of Restricted Stock Unit Agreement under the</w:t>
              </w:r>
            </w:hyperlink>
          </w:p>
        </w:tc>
        <w:tc>
          <w:tcPr>
            <w:tcW w:w="54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16, 2016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Amended and Restated 2013 Equity Incentive Plan of the</w:t>
              </w:r>
            </w:hyperlink>
          </w:p>
        </w:tc>
        <w:tc>
          <w:tcPr>
            <w:tcW w:w="1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3"/>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Registrant</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Option Grant Agreement under the Amended and</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2017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3"/>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Restated 2013 Equity Incentive Plan</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Amendment No. 1 to Co-Development and License</w:t>
              </w:r>
            </w:hyperlink>
          </w:p>
        </w:tc>
        <w:tc>
          <w:tcPr>
            <w:tcW w:w="58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14, 2017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Agreement dated June 13, 2017, by and between the</w:t>
              </w:r>
            </w:hyperlink>
          </w:p>
        </w:tc>
        <w:tc>
          <w:tcPr>
            <w:tcW w:w="52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3"/>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Registrant and Janssen Pharmaceutica NV</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Commercial Supply Agreement by and between the</w:t>
              </w:r>
            </w:hyperlink>
          </w:p>
        </w:tc>
        <w:tc>
          <w:tcPr>
            <w:tcW w:w="56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4, 2019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Registrant and Catalent Germany Schorndorf GmbH, dated</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3"/>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September 18, 2019</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Open Market Sale Agreement, dated as of September 14,</w:t>
              </w:r>
            </w:hyperlink>
          </w:p>
        </w:tc>
        <w:tc>
          <w:tcPr>
            <w:tcW w:w="18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333-267424</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3"/>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2022, by and between the Registrant and Jefferies LLC</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Settlement Agreement, dated as of June 24, 2020, by and</w:t>
              </w:r>
            </w:hyperlink>
          </w:p>
        </w:tc>
        <w:tc>
          <w:tcPr>
            <w:tcW w:w="18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between the Registrant and Janssen Pharmaceutica, N.V.</w:t>
              </w:r>
            </w:hyperlink>
          </w:p>
        </w:tc>
        <w:tc>
          <w:tcPr>
            <w:tcW w:w="26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Amended and Restated 2013 Equity Incentive Plan</w:t>
              </w:r>
            </w:hyperlink>
          </w:p>
        </w:tc>
        <w:tc>
          <w:tcPr>
            <w:tcW w:w="20" w:type="dxa"/>
            <w:vAlign w:val="bottom"/>
            <w:tcBorders>
              <w:bottom w:val="single" w:sz="8" w:color="0000EE"/>
            </w:tcBorders>
          </w:tcPr>
          <w:p>
            <w:pPr>
              <w:spacing w:after="0"/>
              <w:rPr>
                <w:sz w:val="24"/>
                <w:szCs w:val="24"/>
                <w:color w:val="auto"/>
              </w:rPr>
            </w:pPr>
          </w:p>
        </w:tc>
        <w:tc>
          <w:tcPr>
            <w:tcW w:w="640" w:type="dxa"/>
            <w:vAlign w:val="bottom"/>
            <w:gridSpan w:val="18"/>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7,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Royalty Purchase Agreement, dated as of January 15, 2021,</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by and between the Registrant and RPI 2019 Intermediate</w:t>
              </w:r>
            </w:hyperlink>
          </w:p>
        </w:tc>
        <w:tc>
          <w:tcPr>
            <w:tcW w:w="1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3"/>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Finance Trust (redacted)</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Remy Luthringer Supplemental Retention Benefits Letter</w:t>
              </w:r>
            </w:hyperlink>
          </w:p>
        </w:tc>
        <w:tc>
          <w:tcPr>
            <w:tcW w:w="14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12,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Agreement (redacted)</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28"/>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First Amendment to the Employment Agreement of Geoff</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Race by and between Mind-NRG SARL and Geoff Race,</w:t>
              </w:r>
            </w:hyperlink>
          </w:p>
        </w:tc>
        <w:tc>
          <w:tcPr>
            <w:tcW w:w="16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effective October 11, 2021</w:t>
              </w:r>
            </w:hyperlink>
          </w:p>
        </w:tc>
        <w:tc>
          <w:tcPr>
            <w:tcW w:w="20" w:type="dxa"/>
            <w:vAlign w:val="bottom"/>
            <w:tcBorders>
              <w:bottom w:val="single" w:sz="8" w:color="0000EE"/>
            </w:tcBorders>
          </w:tcPr>
          <w:p>
            <w:pPr>
              <w:spacing w:after="0"/>
              <w:rPr>
                <w:sz w:val="17"/>
                <w:szCs w:val="17"/>
                <w:color w:val="auto"/>
              </w:rPr>
            </w:pPr>
          </w:p>
        </w:tc>
        <w:tc>
          <w:tcPr>
            <w:tcW w:w="2400" w:type="dxa"/>
            <w:vAlign w:val="bottom"/>
            <w:gridSpan w:val="2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Amended and Restated Employment Agreement by and</w:t>
              </w:r>
            </w:hyperlink>
          </w:p>
        </w:tc>
        <w:tc>
          <w:tcPr>
            <w:tcW w:w="28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between Minerva Neurosciences, Inc. and Frederick</w:t>
              </w:r>
            </w:hyperlink>
          </w:p>
        </w:tc>
        <w:tc>
          <w:tcPr>
            <w:tcW w:w="54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33"/>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Ahlholm, effective October 11, 2021</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First Amendment to the Employment Agreement of Remy</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13,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Luthringer by and between Mind-NRG SARL and Remy</w:t>
              </w:r>
            </w:hyperlink>
          </w:p>
        </w:tc>
        <w:tc>
          <w:tcPr>
            <w:tcW w:w="2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244">
              <w:r>
                <w:rPr>
                  <w:rFonts w:ascii="Times New Roman" w:cs="Times New Roman" w:eastAsia="Times New Roman" w:hAnsi="Times New Roman"/>
                  <w:sz w:val="18"/>
                  <w:szCs w:val="18"/>
                  <w:color w:val="0000FF"/>
                  <w:w w:val="98"/>
                </w:rPr>
                <w:t>Luthringer, effective December 13, 2022</w:t>
              </w:r>
            </w:hyperlink>
          </w:p>
        </w:tc>
        <w:tc>
          <w:tcPr>
            <w:tcW w:w="20" w:type="dxa"/>
            <w:vAlign w:val="bottom"/>
            <w:tcBorders>
              <w:bottom w:val="single" w:sz="8" w:color="0000EE"/>
            </w:tcBorders>
          </w:tcPr>
          <w:p>
            <w:pPr>
              <w:spacing w:after="0"/>
              <w:rPr>
                <w:sz w:val="17"/>
                <w:szCs w:val="17"/>
                <w:color w:val="auto"/>
              </w:rPr>
            </w:pPr>
          </w:p>
        </w:tc>
        <w:tc>
          <w:tcPr>
            <w:tcW w:w="138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Second Amendment to the Employment Agreement of</w:t>
              </w:r>
            </w:hyperlink>
          </w:p>
        </w:tc>
        <w:tc>
          <w:tcPr>
            <w:tcW w:w="36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Remy Luthringer by and between Mind-NRG SARL and</w:t>
              </w:r>
            </w:hyperlink>
          </w:p>
        </w:tc>
        <w:tc>
          <w:tcPr>
            <w:tcW w:w="2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8"/>
              </w:rPr>
            </w:pPr>
            <w:hyperlink r:id="rId245">
              <w:r>
                <w:rPr>
                  <w:rFonts w:ascii="Times New Roman" w:cs="Times New Roman" w:eastAsia="Times New Roman" w:hAnsi="Times New Roman"/>
                  <w:sz w:val="18"/>
                  <w:szCs w:val="18"/>
                  <w:color w:val="0000FF"/>
                  <w:w w:val="98"/>
                </w:rPr>
                <w:t>Remy Luthringer, effective March 6, 2023</w:t>
              </w:r>
            </w:hyperlink>
          </w:p>
        </w:tc>
        <w:tc>
          <w:tcPr>
            <w:tcW w:w="20" w:type="dxa"/>
            <w:vAlign w:val="bottom"/>
            <w:tcBorders>
              <w:bottom w:val="single" w:sz="8" w:color="0000EE"/>
            </w:tcBorders>
          </w:tcPr>
          <w:p>
            <w:pPr>
              <w:spacing w:after="0"/>
              <w:rPr>
                <w:sz w:val="17"/>
                <w:szCs w:val="17"/>
                <w:color w:val="auto"/>
              </w:rPr>
            </w:pPr>
          </w:p>
        </w:tc>
        <w:tc>
          <w:tcPr>
            <w:tcW w:w="126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Securities Purchase Agreement, dated June 27, 2023, by</w:t>
              </w:r>
            </w:hyperlink>
          </w:p>
        </w:tc>
        <w:tc>
          <w:tcPr>
            <w:tcW w:w="24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and among Minerva Neurosciences, Inc. and the purchasers</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46">
              <w:r>
                <w:rPr>
                  <w:rFonts w:ascii="Times New Roman" w:cs="Times New Roman" w:eastAsia="Times New Roman" w:hAnsi="Times New Roman"/>
                  <w:sz w:val="18"/>
                  <w:szCs w:val="18"/>
                  <w:color w:val="0000FF"/>
                  <w:w w:val="98"/>
                </w:rPr>
                <w:t>party thereto</w:t>
              </w:r>
            </w:hyperlink>
          </w:p>
        </w:tc>
        <w:tc>
          <w:tcPr>
            <w:tcW w:w="3420" w:type="dxa"/>
            <w:vAlign w:val="bottom"/>
            <w:gridSpan w:val="31"/>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33"/>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List of Subsidiaries</w:t>
              </w:r>
            </w:hyperlink>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122"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80" w:type="dxa"/>
            <w:vAlign w:val="bottom"/>
            <w:gridSpan w:val="1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tcPr>
          <w:p>
            <w:pPr>
              <w:spacing w:after="0"/>
              <w:rPr>
                <w:sz w:val="13"/>
                <w:szCs w:val="13"/>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3"/>
                <w:szCs w:val="13"/>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0" w:type="dxa"/>
            <w:vAlign w:val="bottom"/>
            <w:tcBorders>
              <w:bottom w:val="single" w:sz="8" w:color="0000EE"/>
            </w:tcBorders>
          </w:tcPr>
          <w:p>
            <w:pPr>
              <w:spacing w:after="0"/>
              <w:rPr>
                <w:sz w:val="17"/>
                <w:szCs w:val="17"/>
                <w:color w:val="auto"/>
              </w:rPr>
            </w:pPr>
          </w:p>
        </w:tc>
        <w:tc>
          <w:tcPr>
            <w:tcW w:w="268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of this</w:t>
            </w:r>
          </w:p>
        </w:tc>
        <w:tc>
          <w:tcPr>
            <w:tcW w:w="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Annual Report on Form 10-K)</w:t>
            </w:r>
          </w:p>
        </w:tc>
        <w:tc>
          <w:tcPr>
            <w:tcW w:w="214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w:t>
            </w:r>
          </w:p>
        </w:tc>
        <w:tc>
          <w:tcPr>
            <w:tcW w:w="6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 pursuant to Section 302 of Sarbanes-</w:t>
            </w:r>
          </w:p>
        </w:tc>
        <w:tc>
          <w:tcPr>
            <w:tcW w:w="3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(Principal Financial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 of</w:t>
            </w:r>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w:t>
            </w:r>
          </w:p>
        </w:tc>
        <w:tc>
          <w:tcPr>
            <w:tcW w:w="6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 and Chief Financial Officer (Principal</w:t>
            </w:r>
          </w:p>
        </w:tc>
        <w:tc>
          <w:tcPr>
            <w:tcW w:w="1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Section 906 of Sarbanes-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Incentive Compensation Recoupment Policy</w:t>
            </w:r>
          </w:p>
        </w:tc>
        <w:tc>
          <w:tcPr>
            <w:tcW w:w="112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9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has been granted by the Securities and Exchange Commission as to certain portions of this document.</w:t>
      </w:r>
    </w:p>
    <w:p>
      <w:pPr>
        <w:spacing w:after="0" w:line="117" w:lineRule="exact"/>
        <w:rPr>
          <w:sz w:val="20"/>
          <w:szCs w:val="20"/>
          <w:color w:val="auto"/>
        </w:rPr>
      </w:pPr>
    </w:p>
    <w:p>
      <w:pPr>
        <w:ind w:right="80" w:firstLine="8"/>
        <w:spacing w:after="0" w:line="266" w:lineRule="auto"/>
        <w:tabs>
          <w:tab w:leader="none" w:pos="2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68"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3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-127635</wp:posOffset>
            </wp:positionV>
            <wp:extent cx="25285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Remy Luthringer, Ph.D.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Frederick Ahlholm,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1"/>
                <w:szCs w:val="21"/>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98"/>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c>
          <w:tcPr>
            <w:tcW w:w="240" w:type="dxa"/>
            <w:vAlign w:val="bottom"/>
          </w:tcPr>
          <w:p>
            <w:pPr>
              <w:spacing w:after="0"/>
              <w:rPr>
                <w:sz w:val="17"/>
                <w:szCs w:val="17"/>
                <w:color w:val="auto"/>
              </w:rPr>
            </w:pPr>
          </w:p>
        </w:tc>
        <w:tc>
          <w:tcPr>
            <w:tcW w:w="3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Executive Chairman and</w:t>
            </w:r>
          </w:p>
        </w:tc>
        <w:tc>
          <w:tcPr>
            <w:tcW w:w="2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5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9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240" w:type="dxa"/>
            <w:vAlign w:val="bottom"/>
          </w:tcPr>
          <w:p>
            <w:pPr>
              <w:spacing w:after="0"/>
              <w:rPr>
                <w:sz w:val="15"/>
                <w:szCs w:val="15"/>
                <w:color w:val="auto"/>
              </w:rPr>
            </w:pPr>
          </w:p>
        </w:tc>
        <w:tc>
          <w:tcPr>
            <w:tcW w:w="33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February 22, 2024</w:t>
            </w:r>
          </w:p>
        </w:tc>
        <w:tc>
          <w:tcPr>
            <w:tcW w:w="0" w:type="dxa"/>
            <w:vAlign w:val="bottom"/>
          </w:tcPr>
          <w:p>
            <w:pPr>
              <w:spacing w:after="0"/>
              <w:rPr>
                <w:sz w:val="1"/>
                <w:szCs w:val="1"/>
                <w:color w:val="auto"/>
              </w:rPr>
            </w:pPr>
          </w:p>
        </w:tc>
      </w:tr>
      <w:tr>
        <w:trPr>
          <w:trHeight w:val="2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Remy Luthringer, Ph.D.</w:t>
            </w:r>
          </w:p>
        </w:tc>
        <w:tc>
          <w:tcPr>
            <w:tcW w:w="240" w:type="dxa"/>
            <w:vAlign w:val="bottom"/>
          </w:tcPr>
          <w:p>
            <w:pPr>
              <w:spacing w:after="0"/>
              <w:rPr>
                <w:sz w:val="21"/>
                <w:szCs w:val="21"/>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3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92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8"/>
                <w:szCs w:val="18"/>
                <w:i w:val="1"/>
                <w:iCs w:val="1"/>
                <w:color w:val="auto"/>
              </w:rPr>
              <w:t>(Principal Financial Officer and</w:t>
            </w:r>
          </w:p>
        </w:tc>
        <w:tc>
          <w:tcPr>
            <w:tcW w:w="240" w:type="dxa"/>
            <w:vAlign w:val="bottom"/>
          </w:tcPr>
          <w:p>
            <w:pPr>
              <w:spacing w:after="0"/>
              <w:rPr>
                <w:sz w:val="12"/>
                <w:szCs w:val="12"/>
                <w:color w:val="auto"/>
              </w:rPr>
            </w:pPr>
          </w:p>
        </w:tc>
        <w:tc>
          <w:tcPr>
            <w:tcW w:w="334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8"/>
                <w:szCs w:val="18"/>
                <w:color w:val="auto"/>
                <w:w w:val="99"/>
              </w:rPr>
              <w:t>February 22, 2024</w:t>
            </w:r>
          </w:p>
        </w:tc>
        <w:tc>
          <w:tcPr>
            <w:tcW w:w="0" w:type="dxa"/>
            <w:vAlign w:val="bottom"/>
          </w:tcPr>
          <w:p>
            <w:pPr>
              <w:spacing w:after="0"/>
              <w:rPr>
                <w:sz w:val="1"/>
                <w:szCs w:val="1"/>
                <w:color w:val="auto"/>
              </w:rPr>
            </w:pPr>
          </w:p>
        </w:tc>
      </w:tr>
      <w:tr>
        <w:trPr>
          <w:trHeight w:val="40"/>
        </w:trPr>
        <w:tc>
          <w:tcPr>
            <w:tcW w:w="35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9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3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Frederick Ahlholm</w:t>
            </w:r>
          </w:p>
        </w:tc>
        <w:tc>
          <w:tcPr>
            <w:tcW w:w="240" w:type="dxa"/>
            <w:vAlign w:val="bottom"/>
          </w:tcPr>
          <w:p>
            <w:pPr>
              <w:spacing w:after="0"/>
              <w:rPr>
                <w:sz w:val="21"/>
                <w:szCs w:val="21"/>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2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Geoffrey Race</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Geoffrey Race</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Hans Peter Hasler</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Hans Peter Hasler</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Jeryl Hilleman</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Jeryl Hilleman</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Kupfer, MD</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Kupfer, MD</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Fouzia Laghrissi-Thode, MD</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Fouzia Laghrissi-Thode, MD</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Jan van Heek</w:t>
            </w:r>
          </w:p>
        </w:tc>
        <w:tc>
          <w:tcPr>
            <w:tcW w:w="2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22, 2024</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 van Heek</w:t>
            </w: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00" w:type="dxa"/>
            <w:vAlign w:val="bottom"/>
          </w:tcPr>
          <w:p>
            <w:pPr>
              <w:spacing w:after="0"/>
              <w:rPr>
                <w:sz w:val="24"/>
                <w:szCs w:val="24"/>
                <w:color w:val="auto"/>
              </w:rPr>
            </w:pPr>
          </w:p>
        </w:tc>
        <w:tc>
          <w:tcPr>
            <w:tcW w:w="416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333-267424 and 333-273686 on Form S-3 and Nos. 333-242460, 333-225672, 333-223593, 333-222368, 333-216637, 333-210147, 333-203738, and 333-198753 on Form S-8 of our report dated March 8, 2023, relating to the consolidated financial statements of Minerva Neurosciences, Inc. appearing in this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6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3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6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36"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Chief Executive Officer of Minerva Neurosciences, Inc. (the “Company”), and Frederick Ahlholm, Chief Financial Officer of the Company, each hereby certifies that, to the best of his knowledge:</w:t>
      </w:r>
    </w:p>
    <w:p>
      <w:pPr>
        <w:spacing w:after="0" w:line="68" w:lineRule="exact"/>
        <w:rPr>
          <w:sz w:val="20"/>
          <w:szCs w:val="20"/>
          <w:color w:val="auto"/>
        </w:rPr>
      </w:pPr>
    </w:p>
    <w:p>
      <w:pPr>
        <w:ind w:left="520" w:hanging="512"/>
        <w:spacing w:after="0" w:line="282" w:lineRule="auto"/>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2023, to which this Certification is attached as Exhibit 32.1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20" w:hanging="512"/>
        <w:spacing w:after="0" w:line="282" w:lineRule="auto"/>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79"/>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Remy Luthringer, Ph.D.</w:t>
            </w:r>
          </w:p>
        </w:tc>
        <w:tc>
          <w:tcPr>
            <w:tcW w:w="11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r>
      <w:tr>
        <w:trPr>
          <w:trHeight w:val="234"/>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Remy Luthringer, Ph.D.</w:t>
            </w:r>
          </w:p>
        </w:tc>
        <w:tc>
          <w:tcPr>
            <w:tcW w:w="1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Frederick Ahlholm</w:t>
            </w:r>
          </w:p>
        </w:tc>
      </w:tr>
      <w:tr>
        <w:trPr>
          <w:trHeight w:val="220"/>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and</w:t>
            </w:r>
          </w:p>
        </w:tc>
        <w:tc>
          <w:tcPr>
            <w:tcW w:w="1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234"/>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inerva</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eurosciences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0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Minerva Neurosciences,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71"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62"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189" w:lineRule="exact"/>
        <w:rPr>
          <w:sz w:val="20"/>
          <w:szCs w:val="20"/>
          <w:color w:val="auto"/>
        </w:rPr>
      </w:pPr>
    </w:p>
    <w:p>
      <w:pPr>
        <w:jc w:val="both"/>
        <w:ind w:firstLine="84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6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4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202" w:lineRule="exact"/>
        <w:rPr>
          <w:rFonts w:ascii="Times New Roman" w:cs="Times New Roman" w:eastAsia="Times New Roman" w:hAnsi="Times New Roman"/>
          <w:sz w:val="20"/>
          <w:szCs w:val="20"/>
          <w:b w:val="1"/>
          <w:bCs w:val="1"/>
          <w:color w:val="auto"/>
        </w:rPr>
      </w:pPr>
    </w:p>
    <w:p>
      <w:pPr>
        <w:jc w:val="both"/>
        <w:ind w:right="620" w:firstLine="757"/>
        <w:spacing w:after="0" w:line="276" w:lineRule="auto"/>
        <w:tabs>
          <w:tab w:leader="none" w:pos="1018" w:val="left"/>
        </w:tabs>
        <w:numPr>
          <w:ilvl w:val="1"/>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Applicability of Policy. </w:t>
      </w:r>
      <w:r>
        <w:rPr>
          <w:rFonts w:ascii="Times New Roman" w:cs="Times New Roman" w:eastAsia="Times New Roman" w:hAnsi="Times New Roman"/>
          <w:sz w:val="19"/>
          <w:szCs w:val="19"/>
          <w:color w:val="auto"/>
        </w:rPr>
        <w:t>This Policy applies to Incentive Compensation received by a Covered Officer (i) after beginning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w:t>
      </w:r>
    </w:p>
    <w:p>
      <w:pPr>
        <w:spacing w:after="0" w:line="116" w:lineRule="exact"/>
        <w:rPr>
          <w:sz w:val="20"/>
          <w:szCs w:val="20"/>
          <w:color w:val="auto"/>
        </w:rPr>
      </w:pPr>
    </w:p>
    <w:p>
      <w:pPr>
        <w:ind w:left="5900"/>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1088390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auto"/>
        </w:rPr>
        <w:t>association, and (iv) during the Lookback Period.</w:t>
      </w:r>
    </w:p>
    <w:p>
      <w:pPr>
        <w:spacing w:after="0" w:line="198" w:lineRule="exact"/>
        <w:rPr>
          <w:sz w:val="20"/>
          <w:szCs w:val="20"/>
          <w:color w:val="auto"/>
        </w:rPr>
      </w:pPr>
    </w:p>
    <w:p>
      <w:pPr>
        <w:ind w:firstLine="757"/>
        <w:spacing w:after="0" w:line="246" w:lineRule="auto"/>
        <w:tabs>
          <w:tab w:leader="none" w:pos="1018"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5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206" w:lineRule="exact"/>
        <w:rPr>
          <w:rFonts w:ascii="Times New Roman" w:cs="Times New Roman" w:eastAsia="Times New Roman" w:hAnsi="Times New Roman"/>
          <w:sz w:val="20"/>
          <w:szCs w:val="20"/>
          <w:b w:val="1"/>
          <w:bCs w:val="1"/>
          <w:color w:val="auto"/>
        </w:rPr>
      </w:pPr>
    </w:p>
    <w:p>
      <w:pPr>
        <w:ind w:left="760" w:right="100" w:firstLine="745"/>
        <w:spacing w:after="0" w:line="246" w:lineRule="auto"/>
        <w:tabs>
          <w:tab w:leader="none" w:pos="204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71" w:lineRule="exact"/>
        <w:rPr>
          <w:rFonts w:ascii="Times New Roman" w:cs="Times New Roman" w:eastAsia="Times New Roman" w:hAnsi="Times New Roman"/>
          <w:sz w:val="20"/>
          <w:szCs w:val="20"/>
          <w:color w:val="auto"/>
        </w:rPr>
      </w:pPr>
    </w:p>
    <w:p>
      <w:pPr>
        <w:ind w:left="760" w:right="120" w:firstLine="745"/>
        <w:spacing w:after="0" w:line="254" w:lineRule="auto"/>
        <w:tabs>
          <w:tab w:leader="none" w:pos="204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43" w:lineRule="exact"/>
        <w:rPr>
          <w:rFonts w:ascii="Times New Roman" w:cs="Times New Roman" w:eastAsia="Times New Roman" w:hAnsi="Times New Roman"/>
          <w:sz w:val="20"/>
          <w:szCs w:val="20"/>
          <w:color w:val="auto"/>
        </w:rPr>
      </w:pPr>
    </w:p>
    <w:p>
      <w:pPr>
        <w:ind w:firstLine="757"/>
        <w:spacing w:after="0" w:line="242" w:lineRule="auto"/>
        <w:tabs>
          <w:tab w:leader="none" w:pos="1018"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73" w:lineRule="exact"/>
        <w:rPr>
          <w:rFonts w:ascii="Times New Roman" w:cs="Times New Roman" w:eastAsia="Times New Roman" w:hAnsi="Times New Roman"/>
          <w:sz w:val="20"/>
          <w:szCs w:val="20"/>
          <w:b w:val="1"/>
          <w:bCs w:val="1"/>
          <w:color w:val="auto"/>
        </w:rPr>
      </w:pPr>
    </w:p>
    <w:p>
      <w:pPr>
        <w:jc w:val="both"/>
        <w:ind w:right="100" w:firstLine="757"/>
        <w:spacing w:after="0" w:line="256" w:lineRule="auto"/>
        <w:tabs>
          <w:tab w:leader="none" w:pos="1018"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certificate of incorporation or bylaws to the contrary, no Covered Officer shall be entitled to indemnification or advancement of expenses in connection with any enforcement of this Policy by the Company, including</w:t>
      </w:r>
    </w:p>
    <w:p>
      <w:pPr>
        <w:spacing w:after="0" w:line="148" w:lineRule="exact"/>
        <w:rPr>
          <w:sz w:val="20"/>
          <w:szCs w:val="20"/>
          <w:color w:val="auto"/>
        </w:rPr>
      </w:pPr>
    </w:p>
    <w:p>
      <w:pPr>
        <w:ind w:left="5900"/>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1088390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color w:val="auto"/>
        </w:rPr>
        <w:t>paying or reimbursing such Covered Officer for insurance premiums to cover potential obligations to the Company under this Policy.</w:t>
      </w:r>
    </w:p>
    <w:p>
      <w:pPr>
        <w:spacing w:after="0" w:line="198" w:lineRule="exact"/>
        <w:rPr>
          <w:sz w:val="20"/>
          <w:szCs w:val="20"/>
          <w:color w:val="auto"/>
        </w:rPr>
      </w:pPr>
    </w:p>
    <w:p>
      <w:pPr>
        <w:ind w:right="20" w:firstLine="757"/>
        <w:spacing w:after="0" w:line="247" w:lineRule="auto"/>
        <w:tabs>
          <w:tab w:leader="none" w:pos="1018" w:val="left"/>
        </w:tabs>
        <w:numPr>
          <w:ilvl w:val="1"/>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53" w:lineRule="exact"/>
        <w:rPr>
          <w:rFonts w:ascii="Times New Roman" w:cs="Times New Roman" w:eastAsia="Times New Roman" w:hAnsi="Times New Roman"/>
          <w:sz w:val="20"/>
          <w:szCs w:val="20"/>
          <w:b w:val="1"/>
          <w:bCs w:val="1"/>
          <w:color w:val="auto"/>
        </w:rPr>
      </w:pPr>
    </w:p>
    <w:p>
      <w:pPr>
        <w:ind w:right="60" w:firstLine="757"/>
        <w:spacing w:after="0" w:line="250" w:lineRule="auto"/>
        <w:tabs>
          <w:tab w:leader="none" w:pos="1018" w:val="left"/>
        </w:tabs>
        <w:numPr>
          <w:ilvl w:val="1"/>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62"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58"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62"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19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20"/>
          <w:szCs w:val="20"/>
          <w:b w:val="1"/>
          <w:bCs w:val="1"/>
          <w:color w:val="auto"/>
        </w:rPr>
        <w:t>SOX 304</w:t>
      </w:r>
      <w:r>
        <w:rPr>
          <w:rFonts w:ascii="Times New Roman" w:cs="Times New Roman" w:eastAsia="Times New Roman" w:hAnsi="Times New Roman"/>
          <w:sz w:val="20"/>
          <w:szCs w:val="20"/>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w:t>
      </w:r>
    </w:p>
    <w:p>
      <w:pPr>
        <w:spacing w:after="0" w:line="161" w:lineRule="exact"/>
        <w:rPr>
          <w:sz w:val="20"/>
          <w:szCs w:val="20"/>
          <w:color w:val="auto"/>
        </w:rPr>
      </w:pPr>
    </w:p>
    <w:p>
      <w:pPr>
        <w:ind w:left="5900"/>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1088390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54" w:lineRule="auto"/>
        <w:rPr>
          <w:sz w:val="20"/>
          <w:szCs w:val="20"/>
          <w:color w:val="auto"/>
        </w:rPr>
      </w:pPr>
      <w:r>
        <w:rPr>
          <w:rFonts w:ascii="Times New Roman" w:cs="Times New Roman" w:eastAsia="Times New Roman" w:hAnsi="Times New Roman"/>
          <w:sz w:val="20"/>
          <w:szCs w:val="20"/>
          <w:color w:val="auto"/>
        </w:rPr>
        <w:t>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57"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19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42"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28"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206"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135" w:lineRule="exact"/>
        <w:rPr>
          <w:sz w:val="20"/>
          <w:szCs w:val="20"/>
          <w:color w:val="auto"/>
        </w:rPr>
      </w:pPr>
    </w:p>
    <w:p>
      <w:pPr>
        <w:ind w:left="5900"/>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1088390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lowerLetter"/>
      <w:start w:val="1"/>
    </w:lvl>
    <w:lvl w:ilvl="1">
      <w:lvlJc w:val="left"/>
      <w:lvlText w:val="(%2)"/>
      <w:numFmt w:val="decimal"/>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lvl w:ilvl="1">
      <w:lvlJc w:val="left"/>
      <w:lvlText w:val="(%2)"/>
      <w:numFmt w:val="lowerLetter"/>
      <w:start w:val="1"/>
    </w:lvl>
  </w:abstractNum>
  <w:abstractNum w:abstractNumId="40">
    <w:nsid w:val="38437FDB"/>
    <w:multiLevelType w:val="hybridMultilevel"/>
    <w:lvl w:ilvl="0">
      <w:lvlJc w:val="left"/>
      <w:lvlText w:val="%1."/>
      <w:numFmt w:val="decimal"/>
      <w:start w:val="1"/>
    </w:lvl>
    <w:lvl w:ilvl="1">
      <w:lvlJc w:val="left"/>
      <w:lvlText w:val="(%2)"/>
      <w:numFmt w:val="lowerLetter"/>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2"/>
    </w:lvl>
  </w:abstractNum>
  <w:abstractNum w:abstractNumId="44">
    <w:nsid w:val="579478FE"/>
    <w:multiLevelType w:val="hybridMultilevel"/>
    <w:lvl w:ilvl="0">
      <w:lvlJc w:val="left"/>
      <w:lvlText w:val="%1."/>
      <w:numFmt w:val="decimal"/>
      <w:start w:val="3"/>
    </w:lvl>
  </w:abstractNum>
  <w:abstractNum w:abstractNumId="45">
    <w:nsid w:val="749ABB43"/>
    <w:multiLevelType w:val="hybridMultilevel"/>
    <w:lvl w:ilvl="0">
      <w:lvlJc w:val="left"/>
      <w:lvlText w:val="%1."/>
      <w:numFmt w:val="decimal"/>
      <w:start w:val="4"/>
    </w:lvl>
    <w:lvl w:ilvl="1">
      <w:lvlJc w:val="left"/>
      <w:lvlText w:val="(%2)"/>
      <w:numFmt w:val="lowerLetter"/>
      <w:start w:val="1"/>
    </w:lvl>
  </w:abstractNum>
  <w:abstractNum w:abstractNumId="46">
    <w:nsid w:val="3DC240FB"/>
    <w:multiLevelType w:val="hybridMultilevel"/>
    <w:lvl w:ilvl="0">
      <w:lvlJc w:val="left"/>
      <w:lvlText w:val="(%1)"/>
      <w:numFmt w:val="lowerLetter"/>
      <w:start w:val="2"/>
    </w:lvl>
    <w:lvl w:ilvl="1">
      <w:lvlJc w:val="left"/>
      <w:lvlText w:val="(%2)"/>
      <w:numFmt w:val="lowerRoman"/>
      <w:start w:val="1"/>
    </w:lvl>
  </w:abstractNum>
  <w:abstractNum w:abstractNumId="47">
    <w:nsid w:val="1BA026FA"/>
    <w:multiLevelType w:val="hybridMultilevel"/>
    <w:lvl w:ilvl="0">
      <w:lvlJc w:val="left"/>
      <w:lvlText w:val="%1"/>
      <w:numFmt w:val="decimal"/>
      <w:start w:val="1"/>
    </w:lvl>
    <w:lvl w:ilvl="1">
      <w:lvlJc w:val="left"/>
      <w:lvlText w:val="(%2)"/>
      <w:numFmt w:val="lowerLetter"/>
      <w:start w:val="6"/>
    </w:lvl>
  </w:abstractNum>
  <w:abstractNum w:abstractNumId="48">
    <w:nsid w:val="79A1DEAA"/>
    <w:multiLevelType w:val="hybridMultilevel"/>
    <w:lvl w:ilvl="0">
      <w:lvlJc w:val="left"/>
      <w:lvlText w:val="%1."/>
      <w:numFmt w:val="decimal"/>
      <w:start w:val="5"/>
    </w:lvl>
    <w:lvl w:ilvl="1">
      <w:lvlJc w:val="left"/>
      <w:lvlText w:val="%2"/>
      <w:numFmt w:val="lowerLetter"/>
      <w:start w:val="1"/>
    </w:lvl>
  </w:abstractNum>
  <w:abstractNum w:abstractNumId="49">
    <w:nsid w:val="75C6C33A"/>
    <w:multiLevelType w:val="hybridMultilevel"/>
    <w:lvl w:ilvl="0">
      <w:lvlJc w:val="left"/>
      <w:lvlText w:val="%1."/>
      <w:numFmt w:val="decimal"/>
      <w:start w:val="6"/>
    </w:lvl>
  </w:abstractNum>
  <w:abstractNum w:abstractNumId="50">
    <w:nsid w:val="12E685FB"/>
    <w:multiLevelType w:val="hybridMultilevel"/>
    <w:lvl w:ilvl="0">
      <w:lvlJc w:val="left"/>
      <w:lvlText w:val="%1."/>
      <w:numFmt w:val="decimal"/>
      <w:start w:val="7"/>
    </w:lvl>
  </w:abstractNum>
  <w:abstractNum w:abstractNumId="51">
    <w:nsid w:val="70C6A529"/>
    <w:multiLevelType w:val="hybridMultilevel"/>
    <w:lvl w:ilvl="0">
      <w:lvlJc w:val="left"/>
      <w:lvlText w:val="%1."/>
      <w:numFmt w:val="decimal"/>
      <w:start w:val="8"/>
    </w:lvl>
  </w:abstractNum>
  <w:abstractNum w:abstractNumId="52">
    <w:nsid w:val="520EEDD1"/>
    <w:multiLevelType w:val="hybridMultilevel"/>
    <w:lvl w:ilvl="0">
      <w:lvlJc w:val="left"/>
      <w:lvlText w:val="%1."/>
      <w:numFmt w:val="decimal"/>
      <w:start w:val="9"/>
    </w:lvl>
  </w:abstractNum>
  <w:abstractNum w:abstractNumId="53">
    <w:nsid w:val="374A3FE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10" Type="http://schemas.openxmlformats.org/officeDocument/2006/relationships/hyperlink" Target="https://www.sec.gov/Archives/edgar/data/0001598646/000104746914005459/a2219972zex-3_1.htm" TargetMode="External"/><Relationship Id="rId211" Type="http://schemas.openxmlformats.org/officeDocument/2006/relationships/hyperlink" Target="https://www.sec.gov/Archives/edgar/data/1598646/000119312522176540/d314076dex31.htm" TargetMode="External"/><Relationship Id="rId212" Type="http://schemas.openxmlformats.org/officeDocument/2006/relationships/hyperlink" Target="https://www.sec.gov/Archives/edgar/data/0001598646/000156459019039496/nerv-ex32_112.htm" TargetMode="External"/><Relationship Id="rId213" Type="http://schemas.openxmlformats.org/officeDocument/2006/relationships/hyperlink" Target="https://www.sec.gov/Archives/edgar/data/0001598646/000104746914005459/a2219972zex-4_1.htm" TargetMode="External"/><Relationship Id="rId214" Type="http://schemas.openxmlformats.org/officeDocument/2006/relationships/hyperlink" Target="https://www.sec.gov/Archives/edgar/data/1598646/000095017023006577/nerv-ex4_2.htm" TargetMode="External"/><Relationship Id="rId215" Type="http://schemas.openxmlformats.org/officeDocument/2006/relationships/hyperlink" Target="https://www.sec.gov/Archives/edgar/data/0001598646/000104746914003612/a2219290zex-10_13.htm" TargetMode="External"/><Relationship Id="rId216" Type="http://schemas.openxmlformats.org/officeDocument/2006/relationships/hyperlink" Target="https://www.sec.gov/Archives/edgar/data/0001598646/000104746914005459/a2219972zex-10_1.htm" TargetMode="External"/><Relationship Id="rId217" Type="http://schemas.openxmlformats.org/officeDocument/2006/relationships/hyperlink" Target="https://www.sec.gov/Archives/edgar/data/0001598646/000104746914005459/a2219972zex-10_2.htm" TargetMode="External"/><Relationship Id="rId218" Type="http://schemas.openxmlformats.org/officeDocument/2006/relationships/hyperlink" Target="https://www.sec.gov/Archives/edgar/data/0001598646/000104746914005459/a2219972zex-10_3.htm" TargetMode="External"/><Relationship Id="rId219" Type="http://schemas.openxmlformats.org/officeDocument/2006/relationships/hyperlink" Target="https://www.sec.gov/Archives/edgar/data/0001598646/000104746914005459/a2219972zex-10_4.htm" TargetMode="External"/><Relationship Id="rId220" Type="http://schemas.openxmlformats.org/officeDocument/2006/relationships/hyperlink" Target="https://www.sec.gov/Archives/edgar/data/0001598646/000104746914005459/a2219972zex-10_5.htm" TargetMode="External"/><Relationship Id="rId221" Type="http://schemas.openxmlformats.org/officeDocument/2006/relationships/hyperlink" Target="https://www.sec.gov/Archives/edgar/data/0001598646/000104746914005459/a2219972zex-10_6.htm" TargetMode="External"/><Relationship Id="rId222" Type="http://schemas.openxmlformats.org/officeDocument/2006/relationships/hyperlink" Target="https://www.sec.gov/Archives/edgar/data/0001598646/000104746914005459/a2219972zex-10_7.htm" TargetMode="External"/><Relationship Id="rId223" Type="http://schemas.openxmlformats.org/officeDocument/2006/relationships/hyperlink" Target="https://www.sec.gov/Archives/edgar/data/0001598646/000119312515096955/d890084dex101.htm" TargetMode="External"/><Relationship Id="rId224" Type="http://schemas.openxmlformats.org/officeDocument/2006/relationships/hyperlink" Target="https://www.sec.gov/Archives/edgar/data/0001598646/000119312515096955/d890084dex103.htm" TargetMode="External"/><Relationship Id="rId225" Type="http://schemas.openxmlformats.org/officeDocument/2006/relationships/hyperlink" Target="https://www.sec.gov/Archives/edgar/data/0001598646/000156459015003491/nerv-ex105_20150331184.htm" TargetMode="External"/><Relationship Id="rId226" Type="http://schemas.openxmlformats.org/officeDocument/2006/relationships/hyperlink" Target="https://www.sec.gov/Archives/edgar/data/1598646/000095017023059747/nerv-ex10_1.htm" TargetMode="External"/><Relationship Id="rId227" Type="http://schemas.openxmlformats.org/officeDocument/2006/relationships/hyperlink" Target="https://www.sec.gov/Archives/edgar/data/0001598646/000119312516509484/d137820dex101.htm" TargetMode="External"/><Relationship Id="rId230" Type="http://schemas.openxmlformats.org/officeDocument/2006/relationships/hyperlink" Target="https://www.sec.gov/Archives/edgar/data/0001598646/000156459016022499/nerv-ex101_183.htm" TargetMode="External"/><Relationship Id="rId231" Type="http://schemas.openxmlformats.org/officeDocument/2006/relationships/hyperlink" Target="https://www.sec.gov/Archives/edgar/data/0001598646/000156459016022499/nerv-ex102_182.htm" TargetMode="External"/><Relationship Id="rId232" Type="http://schemas.openxmlformats.org/officeDocument/2006/relationships/hyperlink" Target="https://www.sec.gov/Archives/edgar/data/0001598646/000156459016022499/nerv-ex103_181.htm" TargetMode="External"/><Relationship Id="rId233" Type="http://schemas.openxmlformats.org/officeDocument/2006/relationships/hyperlink" Target="https://www.sec.gov/Archives/edgar/data/0001598646/000119312516795845/d306566dex1001.htm" TargetMode="External"/><Relationship Id="rId234" Type="http://schemas.openxmlformats.org/officeDocument/2006/relationships/hyperlink" Target="https://www.sec.gov/Archives/edgar/data/0001598646/000156459017004048/nerv-ex1036_286.htm" TargetMode="External"/><Relationship Id="rId235" Type="http://schemas.openxmlformats.org/officeDocument/2006/relationships/hyperlink" Target="https://www.sec.gov/Archives/edgar/data/1598646/000119312517203538/d413527dex101.htm" TargetMode="External"/><Relationship Id="rId236" Type="http://schemas.openxmlformats.org/officeDocument/2006/relationships/hyperlink" Target="https://www.sec.gov/Archives/edgar/data/0001598646/000156459019039496/nerv-ex101_58.htm" TargetMode="External"/><Relationship Id="rId237" Type="http://schemas.openxmlformats.org/officeDocument/2006/relationships/hyperlink" Target="https://www.sec.gov/Archives/edgar/data/1598646/000119312522244838/d352192dex12.htm" TargetMode="External"/><Relationship Id="rId238" Type="http://schemas.openxmlformats.org/officeDocument/2006/relationships/hyperlink" Target="https://www.sec.gov/Archives/edgar/data/1598646/000156459020035289/nerv-ex102_120.htm" TargetMode="External"/><Relationship Id="rId239" Type="http://schemas.openxmlformats.org/officeDocument/2006/relationships/hyperlink" Target="https://www.sec.gov/Archives/edgar/data/1598646/000095017023059747/nerv-ex10_2.htm" TargetMode="External"/><Relationship Id="rId240" Type="http://schemas.openxmlformats.org/officeDocument/2006/relationships/hyperlink" Target="https://www.sec.gov/Archives/edgar/data/1598646/000156459021011340/nerv-ex1048_189.htm" TargetMode="External"/><Relationship Id="rId241" Type="http://schemas.openxmlformats.org/officeDocument/2006/relationships/hyperlink" Target="https://www.sec.gov/Archives/edgar/data/1598646/000156459021026731/nerv-ex101_185.htm" TargetMode="External"/><Relationship Id="rId242" Type="http://schemas.openxmlformats.org/officeDocument/2006/relationships/hyperlink" Target="https://www.sec.gov/Archives/edgar/data/1598646/000119312521296143/d236669dex101.htm" TargetMode="External"/><Relationship Id="rId243" Type="http://schemas.openxmlformats.org/officeDocument/2006/relationships/hyperlink" Target="https://www.sec.gov/Archives/edgar/data/1598646/000119312521296143/d236669dex102.htm" TargetMode="External"/><Relationship Id="rId244" Type="http://schemas.openxmlformats.org/officeDocument/2006/relationships/hyperlink" Target="https://www.sec.gov/Archives/edgar/data/1598646/000119312522307381/d438557dex101.htm" TargetMode="External"/><Relationship Id="rId245" Type="http://schemas.openxmlformats.org/officeDocument/2006/relationships/hyperlink" Target="https://www.sec.gov/Archives/edgar/data/1598646/000095017023006577/nerv-ex10_30.htm" TargetMode="External"/><Relationship Id="rId246" Type="http://schemas.openxmlformats.org/officeDocument/2006/relationships/hyperlink" Target="https://www.sec.gov/Archives/edgar/data/1598646/000119312523176877/d527050dex101.htm" TargetMode="External"/><Relationship Id="rId247" Type="http://schemas.openxmlformats.org/officeDocument/2006/relationships/hyperlink" Target="https://www.sec.gov/Archives/edgar/data/1598646/000156459022007853/nerv-ex211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2024-02-22T05:40:09Z</dcterms:created>
  <dcterms:modified xsi:type="dcterms:W3CDTF">2024-02-22T05:40:09Z</dcterms:modified>
</cp:coreProperties>
</file>