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000-36517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26-0784194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1500 District Avenue, Burlington, MA 01803</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(617) 600-7373</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NERV</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On May 27, 2026, Minerva Neurosciences, Inc. (the “Company”) entered into a Sales Agreement (the “Agreement”) with Leerink Partners LLC (the “Agent”) with respect to an “at-the market” offering program, pursuant to which the Company may issue and sell, from time to time, shares of its common stock, par value $0.0001 per share (“Common Stock”). The issuance and sale, if any, of shares of the Company’s Common Stock under the Agreement will be effected pursuant to the Company’s registration statement on Form S-3 (File No. 333-294203), which became effective on March 19, 2026, and the related prospectus supplement dated May 27, 2026 (the “Prospectus Supplement”), in each case filed with the U.S. Securities and Exchange Commission (the “SEC”). In accordance with the terms of the Agreement, under the Prospectus Supplement, the Company may offer and sell shares of its Common Stock having an aggregate offering price of up to $75.0 million from time to time through the Agent (such shares of Common Stock, the “ATM Shares” and such program, the “ATM Offering”).</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Agreement, the Agent will use its commercially reasonable efforts to sell the ATM Shares on the Company’s behalf from time to time, based upon the Company’s instructions, consistent with its normal trading and sales practices and applicable state and federal laws, rules and regulations and rules of the Nasdaq Stock Market LLC. The Company has provided the Agent with customary indemnification rights, and the Agent will be entitled to a commission of 3.0% of the gross proceeds of any sales of the ATM Shares sold through the Agent under the Agreement.</w:t>
      </w:r>
    </w:p>
    <w:p>
      <w:pPr>
        <w:spacing w:after="0" w:line="183"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The issuance and sale of the ATM Shares, if any, under the Agreement may be made in transactions that are deemed to be “at the market offerings” as defined in Rule 415(a)(4) under the Securities Act of 1933, as amended. The Company has no obligation to sell any of the ATM Shares, and the Agent is not required to sell any specific number or dollar amount of the ATM Shares under the Agreement. The Company or the Agent may suspend the offering of the ATM Shares upon notice to the other party and subject to other conditions and, by giving prior notice as specified in the Agreement, terminate the Agreement in each party’s sole discretion.</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is not complete and is qualified in its entirety by reference to the full text of the Agreement, which is attached hereto as Exhibit 1.1 and incorporated by reference herein.</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Agreement were made solely for the benefit of the parties to the Agreement, and may be subject to limitations agreed upon by the contracting parties. Accordingly, the Agreement is incorporated herein by reference only to provide investors with information regarding the terms of the Agreement and not to provide investors with any other factual information regarding the Company or its business, and should be read in conjunction with the disclosures in the Company’s periodic reports and other filings with the SEC.</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shares of Common Stock, nor shall there be any offer, solicitation, or sale of shares of Common Stock in any state or jurisdiction in which such offer, solicitation or sale would be unlawful prior to registration or qualification under the securities laws of any such state or other jurisdiction. The legal opinion of Cooley LLP relating to the legality of the issuance and sale of the ATM Shares pursuant to the ATM Offering is attached as Exhibit 5.1 to this Current Report on Form 8-K and is incorporated by reference 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previously announced, the Company is conducting a Phase 3 confirmatory trial, which is referred to as the C19 trial, for its lead product candidate, roluperidone, for the treatment of negative symptoms in patients diagnosed with schizophrenia. The primary efficacy results of the C19 trial will be assessed after 12 weeks of treatment with roluperidone compared to placebo. To support an intended monotherapy indication for roluperidone, patients then enter a relapse assessment phase of the trial. Following additional feedback received from the U.S. Food and Drug Administration, the Company has revised the relapse assessment phase of the trial to extend it from 40 weeks to 52 weeks. During the relapse assessment phase patients will crossover to receive either a daily 64 mg dose of roluperidone or antipsychotics. The Company continues to expect topline efficacy results in the second half of 2027 and relapse assessment data in the second half of 2028.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which are subject to the safe harbor provisions of the Private Securities Litigation Reform Act of 1995, as amended. Forward-looking statements are statements that are not historical facts, reflect management’s expectations as of the date of this Current Report on Form 8-K, and involve certain risks and uncertainties. Forward-looking statements include, but are not limited to, statements herein with respect to implied or express statements regarding the expected timeline, design and conduct of the Company’s Phase 3 trial of roluperidone for the treatment of negative symptoms in schizophrenia. These forward-looking statements are based on the Company’s current expectations and may differ materially from actual results due to a variety of factors including, without limitation, interactions with, and feedback from the U.S. Food and Drug Administration; the Company’s future financial performance and position and plans and objectives for future operations; the expected sufficiency of the Company’s existing cash resources and runway may not be accurate resulting in the need for additional financing sooner than anticipated or unexpected liquidity constraints; the internal and external costs required for the Company’s ongoing and planned activities, and the resulting impact on expense and use of cash, may be higher than expected, which may cause the Company to use cash more quickly than expected or to change or curtail some of the Company’s plans or both; trials and studies may be delayed and may not have satisfactory outcomes, and earlier trials and studies may not be predictive of later trials and studies; the design and rate of enrollment for clinical trials, including the current design of the Phase 3 trial evaluating roluperidone, may not enable successful completion of the trials; the commercial opportunity for roluperidone in negative symptoms of schizophrenia may be smaller than anticipated; the Company may be unable to obtain and maintain regulatory approvals; the Company may experience uncertainties inherent in the initiation and completion of clinical trials and clinical development; the need to align with collaborators or partners may hamper or delay development and regulatory efforts or increase costs; uncertainties of patent protection and litigation; general economic conditions; and other factors that are described under the caption “Risk Factors” in the Company’s filings with the Securities and Exchange Commission, including its Annual Report on Form 10-K for the year ended December 31, 2025, filed with the Securities and Exchange Commission on March 11, 2026, as updated by its Quarterly Report on Form 10-Q for the quarter ended March 31, 2026, filed with the Securities and Exchange Commission on May 5, 2026. The forward-looking statements in this Current Report on Form 8-K are based on information available to the Company as of the date hereof, and the Company disclaims any obligation to update any forward-looking statements, except as required by law.</w:t>
      </w:r>
    </w:p>
    <w:p>
      <w:pPr>
        <w:sectPr>
          <w:pgSz w:w="11900" w:h="16838" w:orient="portrait"/>
          <w:cols w:equalWidth="0" w:num="1">
            <w:col w:w="10980"/>
          </w:cols>
          <w:pgMar w:left="440" w:top="293" w:right="479" w:bottom="632"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980"/>
          </w:cols>
          <w:pgMar w:left="440" w:top="293" w:right="479" w:bottom="632" w:gutter="0" w:footer="0" w:header="0"/>
          <w:type w:val="continuous"/>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102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5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2"/>
                <w:szCs w:val="22"/>
                <w:color w:val="auto"/>
              </w:rPr>
            </w:pPr>
          </w:p>
        </w:tc>
        <w:tc>
          <w:tcPr>
            <w:tcW w:w="80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Sales Agreement, by and between Minerva Neurosciences, Inc. and Leerink Partners LLC, dated May 27, 2026.</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17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8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Consent of Cooley LLP (contained in Exhibit 5.1).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30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Securities and Exchange Commission upon request.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93"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7"/>
          <w:szCs w:val="17"/>
          <w:b w:val="1"/>
          <w:bCs w:val="1"/>
          <w:color w:val="auto"/>
        </w:rPr>
        <w:t>MINERVA NEUROSCIENCES, INC.</w:t>
      </w:r>
    </w:p>
    <w:p>
      <w:pPr>
        <w:spacing w:after="0" w:line="2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18415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($0.0001 par value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May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196" w:lineRule="auto"/>
        <w:rPr>
          <w:sz w:val="20"/>
          <w:szCs w:val="20"/>
          <w:color w:val="auto"/>
        </w:rPr>
      </w:pPr>
      <w:r>
        <w:rPr>
          <w:rFonts w:ascii="Times New Roman" w:cs="Times New Roman" w:eastAsia="Times New Roman" w:hAnsi="Times New Roman"/>
          <w:sz w:val="18"/>
          <w:szCs w:val="18"/>
          <w:color w:val="auto"/>
        </w:rPr>
        <w:t>1301 Avenue of the Americas,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Minerva Neurosciences,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Leerink Partners LLC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as follows:</w:t>
      </w:r>
    </w:p>
    <w:p>
      <w:pPr>
        <w:spacing w:after="0" w:line="51" w:lineRule="exact"/>
        <w:rPr>
          <w:sz w:val="20"/>
          <w:szCs w:val="20"/>
          <w:color w:val="auto"/>
        </w:rPr>
      </w:pPr>
    </w:p>
    <w:p>
      <w:pPr>
        <w:ind w:right="40" w:firstLine="436"/>
        <w:spacing w:after="0" w:line="254"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the Agent shares of common stock, $0.0001 par value per share, of the Company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subject to the limitations set forth in Section 5(c)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filed by the Company with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on March 11, 2026 and initially declared effective by the Commission on March 19, 2026, although nothing in this Agreement shall be construed as requiring the Company to issue any Placement Shares.</w:t>
      </w:r>
    </w:p>
    <w:p>
      <w:pPr>
        <w:spacing w:after="0" w:line="18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The Company has prepared and filed, in accordance with the provisions of the Securities Act of 1933, as amended, and the rules and regulations thereunder (collectively, the “</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with the Commission a registration statement on Form S-3 (File No. 333-294203),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The Company has prepared a prospectus supplement to the base prospectus included as part of such registration statement, which prospectus supplement specifically relates to the Placement Shares to be issued from time to time pursuant to this Agreement (the “</w:t>
      </w:r>
      <w:r>
        <w:rPr>
          <w:rFonts w:ascii="Times New Roman" w:cs="Times New Roman" w:eastAsia="Times New Roman" w:hAnsi="Times New Roman"/>
          <w:sz w:val="17"/>
          <w:szCs w:val="17"/>
          <w:b w:val="1"/>
          <w:bCs w:val="1"/>
          <w:u w:val="single" w:color="auto"/>
          <w:color w:val="auto"/>
        </w:rPr>
        <w:t>Prospectus Supplement</w:t>
      </w:r>
      <w:r>
        <w:rPr>
          <w:rFonts w:ascii="Times New Roman" w:cs="Times New Roman" w:eastAsia="Times New Roman" w:hAnsi="Times New Roman"/>
          <w:sz w:val="17"/>
          <w:szCs w:val="17"/>
          <w:color w:val="auto"/>
        </w:rPr>
        <w:t xml:space="preserve">”). The Company will furnish to the Agent, for use by the Agent, copies of the base prospectus included as part of such registration statement at the time it became effective, as supplemented by the Prospectus Supplement. The Company may file one or more additional registration statements from time to time that will contain a base prospectus and related prospectus or prospectus supplement, if applicable (which shall be a Prospectus Supplement), with respect to the Placement Shares;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Agent is provided with a reasonable opportunity to review any such registration statement, prospectus or prospectus supplement. Except where the context otherwise</w:t>
      </w:r>
    </w:p>
    <w:p>
      <w:pPr>
        <w:sectPr>
          <w:pgSz w:w="11900" w:h="16838" w:orient="portrait"/>
          <w:cols w:equalWidth="0" w:num="1">
            <w:col w:w="11020"/>
          </w:cols>
          <w:pgMar w:left="440" w:top="117" w:right="439" w:bottom="1440" w:gutter="0" w:footer="0" w:header="0"/>
        </w:sectPr>
      </w:pPr>
    </w:p>
    <w:bookmarkStart w:id="5" w:name="page6"/>
    <w:bookmarkEnd w:id="5"/>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firstLine="436"/>
        <w:spacing w:after="0" w:line="25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any Placement Shares through the Agent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the Agent by email notice (or other method mutually agreed to in writing by the parties) (each such notice,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The Placement Notice must originate from one of the individuals authorized to act on behalf of the Company and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(with a copy to each of the other individuals from the Company listed on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and shall be addressed to each of the recipients from the Agent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may be updated by either party from time to time by sending a written notice containing a revised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to the other party in the manner provided in Section 12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 terms set forth in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84" w:lineRule="exact"/>
        <w:rPr>
          <w:sz w:val="20"/>
          <w:szCs w:val="20"/>
          <w:color w:val="auto"/>
        </w:rPr>
      </w:pPr>
    </w:p>
    <w:p>
      <w:pPr>
        <w:ind w:firstLine="436"/>
        <w:spacing w:after="0" w:line="251"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Stock Market LLC (“</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415(a)(4) of the Securities Act, including sales made directly on or through Nasdaq, on or through any other existing trading market for the Common Stock. If expressly authorized by the Company (including in a Placement Notice), the Agent may also sell Placement Shares in negotiated transactions. Notwithstanding the provisions of Section 6(rr),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the Common Stock is purchased and sold on Nasdaq.</w:t>
      </w:r>
    </w:p>
    <w:p>
      <w:pPr>
        <w:spacing w:after="0" w:line="9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36"/>
        <w:spacing w:after="0" w:line="266"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or by telephone (confirmed immediately by email correspondence to each of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suspend any sale of Placement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suspension shall not affect or impair either party’s obligations with respect to any Placement Shares sold hereunder prior to the receipt of such notice. Each of the parties agrees that no such notice under this Section 4 shall be effective against the other party unless notice is sent by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hereto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w:t>
      </w:r>
    </w:p>
    <w:p>
      <w:pPr>
        <w:spacing w:after="0" w:line="75" w:lineRule="exact"/>
        <w:rPr>
          <w:sz w:val="20"/>
          <w:szCs w:val="20"/>
          <w:color w:val="auto"/>
        </w:rPr>
      </w:pPr>
    </w:p>
    <w:p>
      <w:pPr>
        <w:jc w:val="both"/>
        <w:ind w:right="100" w:firstLine="436"/>
        <w:spacing w:after="0" w:line="261"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during any period in which the Company is, or would reasonably be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72" w:lineRule="exact"/>
        <w:rPr>
          <w:sz w:val="20"/>
          <w:szCs w:val="20"/>
          <w:color w:val="auto"/>
        </w:rPr>
      </w:pPr>
    </w:p>
    <w:p>
      <w:pPr>
        <w:ind w:left="620" w:hanging="184"/>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and Delivery of the Placement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72" w:lineRule="auto"/>
        <w:tabs>
          <w:tab w:leader="none" w:pos="68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Placement Shares</w:t>
      </w:r>
      <w:r>
        <w:rPr>
          <w:rFonts w:ascii="Times New Roman" w:cs="Times New Roman" w:eastAsia="Times New Roman" w:hAnsi="Times New Roman"/>
          <w:sz w:val="17"/>
          <w:szCs w:val="17"/>
          <w:color w:val="auto"/>
        </w:rPr>
        <w:t>. Unless otherwise specified in the applicable Placement Notice, settlement for sales of Placement Shares will occur on the first Trading Day (or such earlier day as is industry practice or as is required for regular-way trading) following the date on which such sales are made (each, a “</w:t>
      </w:r>
      <w:r>
        <w:rPr>
          <w:rFonts w:ascii="Times New Roman" w:cs="Times New Roman" w:eastAsia="Times New Roman" w:hAnsi="Times New Roman"/>
          <w:sz w:val="17"/>
          <w:szCs w:val="17"/>
          <w:b w:val="1"/>
          <w:bCs w:val="1"/>
          <w:u w:val="single" w:color="auto"/>
          <w:color w:val="auto"/>
        </w:rPr>
        <w:t>Settlement Date</w:t>
      </w:r>
      <w:r>
        <w:rPr>
          <w:rFonts w:ascii="Times New Roman" w:cs="Times New Roman" w:eastAsia="Times New Roman" w:hAnsi="Times New Roman"/>
          <w:sz w:val="17"/>
          <w:szCs w:val="17"/>
          <w:color w:val="auto"/>
        </w:rPr>
        <w:t>”). The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17"/>
          <w:szCs w:val="17"/>
          <w:b w:val="1"/>
          <w:bCs w:val="1"/>
          <w:u w:val="single" w:color="auto"/>
          <w:color w:val="auto"/>
        </w:rPr>
        <w:t>Net Proceeds</w:t>
      </w:r>
      <w:r>
        <w:rPr>
          <w:rFonts w:ascii="Times New Roman" w:cs="Times New Roman" w:eastAsia="Times New Roman" w:hAnsi="Times New Roman"/>
          <w:sz w:val="17"/>
          <w:szCs w:val="17"/>
          <w:color w:val="auto"/>
        </w:rPr>
        <w:t>”) will be equal to the aggregate gross sales price received by the Agent at which such Placement Shares were sold,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spacing w:after="0" w:line="63" w:lineRule="exact"/>
        <w:rPr>
          <w:rFonts w:ascii="Times New Roman" w:cs="Times New Roman" w:eastAsia="Times New Roman" w:hAnsi="Times New Roman"/>
          <w:sz w:val="17"/>
          <w:szCs w:val="17"/>
          <w:color w:val="auto"/>
        </w:rPr>
      </w:pPr>
    </w:p>
    <w:p>
      <w:pPr>
        <w:ind w:right="20" w:firstLine="436"/>
        <w:spacing w:after="0" w:line="25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or by such other means of delivery as may be mutually agreed upon by the parties hereto, which in all cases shall be duly authorized, freely tradeable, transferable, registered shares of Common Stock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or such other time as mutually agreed upon,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reasonably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8" w:name="page9"/>
    <w:bookmarkEnd w:id="8"/>
    <w:p>
      <w:pPr>
        <w:ind w:left="4" w:right="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harmless against any loss, claim, damage, or reasonable and documented expense (including reasonable and documented legal fees and expenses), as incurred, arising out of or in connection with such default by the Company or its transfer agent (if applicable) through no fault of the Agent and (iii) pay to the Agent (without duplication) any commission, discount or other compensation to which it would otherwise have been entitled absent such default.</w:t>
      </w:r>
    </w:p>
    <w:p>
      <w:pPr>
        <w:spacing w:after="0" w:line="50" w:lineRule="exact"/>
        <w:rPr>
          <w:sz w:val="20"/>
          <w:szCs w:val="20"/>
          <w:color w:val="auto"/>
        </w:rPr>
      </w:pPr>
    </w:p>
    <w:p>
      <w:pPr>
        <w:ind w:left="4" w:firstLine="436"/>
        <w:spacing w:after="0" w:line="252" w:lineRule="auto"/>
        <w:tabs>
          <w:tab w:leader="none" w:pos="6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and available for offer and sale under, the Registration Statement pursuant to which the offering of Placement Shares is being made, (ii) the number of authorized but unissued shares of Common Stock of the Company (less shares of Common Stock issuable upon exercise, conversion or exchange of any outstanding securities of the Company or otherwise reserved from the Company’s authorized capital stock), (iii) the number or dollar amount of shares of Common Stock permitted to be offered and sold by the Company under Form S-3 (including General Instruction I.B.6. thereof, if such instruction is applicable), (iv) the number or dollar amount of shares of Common Stock that the Company’s board of directors or a duly authorized committee thereof has authorized the Company to issue and sell from time to time, and notified to the Agent in writing, or (v) the dollar amount of shares of Common Stock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88" w:lineRule="exact"/>
        <w:rPr>
          <w:sz w:val="20"/>
          <w:szCs w:val="20"/>
          <w:color w:val="auto"/>
        </w:rPr>
      </w:pPr>
    </w:p>
    <w:p>
      <w:pPr>
        <w:ind w:left="4" w:right="40" w:firstLine="436"/>
        <w:spacing w:after="0" w:line="257" w:lineRule="auto"/>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w:t>
      </w:r>
    </w:p>
    <w:p>
      <w:pPr>
        <w:spacing w:after="0" w:line="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unless such representation, warranty or agreement specifies a different time:</w:t>
      </w:r>
    </w:p>
    <w:p>
      <w:pPr>
        <w:spacing w:after="0" w:line="99" w:lineRule="exact"/>
        <w:rPr>
          <w:sz w:val="20"/>
          <w:szCs w:val="20"/>
          <w:color w:val="auto"/>
        </w:rPr>
      </w:pPr>
    </w:p>
    <w:p>
      <w:pPr>
        <w:ind w:left="4" w:right="60" w:firstLine="436"/>
        <w:spacing w:after="0" w:line="253" w:lineRule="auto"/>
        <w:tabs>
          <w:tab w:leader="none" w:pos="6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transactions contemplated by this Agreement meet the requirements for and comply with the conditions for the use of Form S-3 (including General Instructions I.A and I.B.1.) under the Securities Act. The Registration Statement has been filed with the Commission and has been declared effective by the Commission under the Securities Act prior to the issuance of any Placement Notices by the Company. At the time the Registration Statement originally became effective and at the time the Company’s Annual Report on Form 10-K for the year ended December 31, 2025, was filed with the Commission, the Company met the then-applicable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w:t>
      </w:r>
    </w:p>
    <w:p>
      <w:pPr>
        <w:ind w:left="4" w:right="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w:t>
      </w:r>
    </w:p>
    <w:p>
      <w:pPr>
        <w:spacing w:after="0" w:line="1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 w:name="page10"/>
    <w:bookmarkEnd w:id="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initial filing of the Registration Statement, the Company paid the required Commission filing fees relating to the securities covered by the Registration Statement, including the Placement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75" w:lineRule="exact"/>
        <w:rPr>
          <w:sz w:val="20"/>
          <w:szCs w:val="20"/>
          <w:color w:val="auto"/>
        </w:rPr>
      </w:pPr>
    </w:p>
    <w:p>
      <w:pPr>
        <w:ind w:firstLine="436"/>
        <w:spacing w:after="0" w:line="267" w:lineRule="auto"/>
        <w:tabs>
          <w:tab w:leader="none" w:pos="6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or any issuer free writing prospectus,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 There are no contracts or other documents required to be described in the Prospectus or to be filed as an exhibit to the Registration Statement which have not been described or filed as required.</w:t>
      </w:r>
    </w:p>
    <w:p>
      <w:pPr>
        <w:spacing w:after="0" w:line="293" w:lineRule="exact"/>
        <w:rPr>
          <w:rFonts w:ascii="Times New Roman" w:cs="Times New Roman" w:eastAsia="Times New Roman" w:hAnsi="Times New Roman"/>
          <w:sz w:val="17"/>
          <w:szCs w:val="17"/>
          <w:color w:val="auto"/>
        </w:rPr>
      </w:pPr>
    </w:p>
    <w:p>
      <w:pPr>
        <w:ind w:firstLine="436"/>
        <w:spacing w:after="0" w:line="254"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determination date referenced in Rule 164(h) under the Securities Act, the Company was not, is not or will not be (as applicable) an “ineligible issuer” in connection with the offering of the Placement Shares pursuant to Rules 164, 405 and 433 under the Securities Act. Each Permitted Free Writing Prospectus that the Company is required to file pursuant to Rule 433(d) under the Securities Act has been, or will be, filed with the Commission in accordance with the requirements of the Securities Act. Each Permitted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Permitted Free Writing Prospectus, as of its issue date and at all subsequent times through the completion of the issuance and sale of the Placement Shares did not, does not and will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 w:name="page11"/>
    <w:bookmarkEnd w:id="1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include any information that conflicted, conflicts or will conflict with the information contained in the Registration Statement or the Prospectus, including any document incorporated by reference therein and not superseded or modified. Except for the Permitted Free Writing Prospectuses, if any, and electronic road shows, if any, furnished to the Agent before first use, the Company has not prepared, used or referred to, and will not, without the Agent’s prior written consent, any such consent not to be unreasonably withheld, conditioned or delayed, prepare, use or refer to, any issuer free writing prospectus. Any road show, when considered together with the Prospectus, did not, as of the date of this Agreement, contain any untrue statement of a material fact or omit to state a material fact necessary to make the statements therein, in light of the circumstances under which they were made, not misleading.</w:t>
      </w:r>
    </w:p>
    <w:p>
      <w:pPr>
        <w:spacing w:after="0" w:line="81" w:lineRule="exact"/>
        <w:rPr>
          <w:sz w:val="20"/>
          <w:szCs w:val="20"/>
          <w:color w:val="auto"/>
        </w:rPr>
      </w:pPr>
    </w:p>
    <w:p>
      <w:pPr>
        <w:ind w:right="40" w:firstLine="436"/>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67"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statistical, demographic and market-related data included in the Registration Statement and the Prospectus are based on or derived from sources that the Company reasonably believes to be reliable and accurate in all material respects. To the extent required, the Company has obtained the written consent to the use of such data from such sources.</w:t>
      </w:r>
    </w:p>
    <w:p>
      <w:pPr>
        <w:spacing w:after="0" w:line="67" w:lineRule="exact"/>
        <w:rPr>
          <w:rFonts w:ascii="Times New Roman" w:cs="Times New Roman" w:eastAsia="Times New Roman" w:hAnsi="Times New Roman"/>
          <w:sz w:val="18"/>
          <w:szCs w:val="18"/>
          <w:color w:val="auto"/>
        </w:rPr>
      </w:pPr>
    </w:p>
    <w:p>
      <w:pPr>
        <w:ind w:right="20" w:firstLine="436"/>
        <w:spacing w:after="0" w:line="253" w:lineRule="auto"/>
        <w:tabs>
          <w:tab w:leader="none" w:pos="6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86"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71" w:lineRule="exact"/>
        <w:rPr>
          <w:rFonts w:ascii="Times New Roman" w:cs="Times New Roman" w:eastAsia="Times New Roman" w:hAnsi="Times New Roman"/>
          <w:sz w:val="18"/>
          <w:szCs w:val="18"/>
          <w:color w:val="auto"/>
        </w:rPr>
      </w:pPr>
    </w:p>
    <w:p>
      <w:pPr>
        <w:jc w:val="both"/>
        <w:ind w:right="360" w:firstLine="436"/>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Shares have been duly authorized for issuance and sale pursuant to this Agreement and, when issued and delivered by the Company pursuant to this Agreement, will be validly issued, fully paid and nonassessable, and the issuance and sale of the Placement Shares is not subject to any preemptive rights, rights of first refusal or other similar rights to subscribe for or purchase the Placement Shares.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11" w:name="page12"/>
    <w:bookmarkEnd w:id="11"/>
    <w:p>
      <w:pPr>
        <w:ind w:right="380" w:firstLine="436"/>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53" w:lineRule="exact"/>
        <w:rPr>
          <w:rFonts w:ascii="Times New Roman" w:cs="Times New Roman" w:eastAsia="Times New Roman" w:hAnsi="Times New Roman"/>
          <w:sz w:val="18"/>
          <w:szCs w:val="18"/>
          <w:color w:val="auto"/>
        </w:rPr>
      </w:pPr>
    </w:p>
    <w:p>
      <w:pPr>
        <w:ind w:right="60" w:firstLine="436"/>
        <w:spacing w:after="0" w:line="25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disclosed in the Registration Statement and Prospectus subsequent to the respective dates as of which information is given in the Registration Statement and the Prospectus: (i) there has been no material adverse change, or any development that would reasonably be expected to result in a material adverse change, in the condition, financial or otherwise, or in the earnings, results of operations, business, properties, operations, assets, liabilities or prospects, whether or not arising from transactions in the ordinary course of business, of the Company and its subsidiaries, considered as one entity (any such change being referred to herein as a “</w:t>
      </w:r>
      <w:r>
        <w:rPr>
          <w:rFonts w:ascii="Times New Roman" w:cs="Times New Roman" w:eastAsia="Times New Roman" w:hAnsi="Times New Roman"/>
          <w:sz w:val="18"/>
          <w:szCs w:val="18"/>
          <w:b w:val="1"/>
          <w:bCs w:val="1"/>
          <w:u w:val="single" w:color="auto"/>
          <w:color w:val="auto"/>
        </w:rPr>
        <w:t>Material Adverse Change</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has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79" w:lineRule="exact"/>
        <w:rPr>
          <w:rFonts w:ascii="Times New Roman" w:cs="Times New Roman" w:eastAsia="Times New Roman" w:hAnsi="Times New Roman"/>
          <w:sz w:val="18"/>
          <w:szCs w:val="18"/>
          <w:color w:val="auto"/>
        </w:rPr>
      </w:pPr>
    </w:p>
    <w:p>
      <w:pPr>
        <w:ind w:right="280" w:firstLine="436"/>
        <w:spacing w:after="0" w:line="256"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&amp; Touche LLP, which has expressed its opinion with respect to the financial statements (which term as used in this Agreement includes the related notes thereto) of the Company filed with the Commission and incorporated by reference in the Registration Statement and the Prospectus, is (i) an independent registered public accounting firm as required by the Securities Act and the rules of the Public Company Accounting Oversight Board (“</w:t>
      </w:r>
      <w:r>
        <w:rPr>
          <w:rFonts w:ascii="Times New Roman" w:cs="Times New Roman" w:eastAsia="Times New Roman" w:hAnsi="Times New Roman"/>
          <w:sz w:val="18"/>
          <w:szCs w:val="18"/>
          <w:b w:val="1"/>
          <w:bCs w:val="1"/>
          <w:u w:val="single" w:color="auto"/>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79" w:lineRule="exact"/>
        <w:rPr>
          <w:rFonts w:ascii="Times New Roman" w:cs="Times New Roman" w:eastAsia="Times New Roman" w:hAnsi="Times New Roman"/>
          <w:sz w:val="18"/>
          <w:szCs w:val="18"/>
          <w:color w:val="auto"/>
        </w:rPr>
      </w:pPr>
    </w:p>
    <w:p>
      <w:pPr>
        <w:ind w:firstLine="436"/>
        <w:spacing w:after="0" w:line="269" w:lineRule="auto"/>
        <w:tabs>
          <w:tab w:leader="none" w:pos="6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financial statements of the Company filed with the Commission and incorporated by reference in the Registration Statement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is prepared in accordance with the Commission’s rules and guidelines applicable thereto. No other financial statements or supporting schedules are required to be included in the Registration Statement or the Prospectus. All disclosures contained in the Registration Statement or the Prospectus and any Permitted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left="4" w:right="240" w:firstLine="436"/>
        <w:spacing w:after="0" w:line="276" w:lineRule="auto"/>
        <w:tabs>
          <w:tab w:leader="none" w:pos="74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each of its subsidiaries make and keep accurate books and records and maintain a system of internal accounting controls designed to provide reasonable assurance that: (i) transactions are executed in accordance with management’s general or specific authorization;</w:t>
      </w:r>
    </w:p>
    <w:p>
      <w:pPr>
        <w:ind w:left="4" w:right="20" w:hanging="4"/>
        <w:spacing w:after="0" w:line="252"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81"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the Commonwealth of Massachusetts and each other jurisdiction in which such qualification is required, whether by reason of the ownership or leasing of property or the conduct of business, except where the failure to so qualify or to be in good standing would not reasonably be expected, individually or in the aggregate, to have a material adverse effect on the condition (financial or otherwise), earnings, business, properties, operations, assets, liabilities or prospects of the Company and its subsidiaries, considered as one entity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“subsidiaries” (for purposes of this Agreement, as defined in Rule 405 under the Securities Act) has been duly incorporated and is validly existing as a corporation in good standing under the laws of the jurisdiction of its incorporation and has the power and authority (corporate or other) to own, lease and operate its properties and to conduct its business as described in the Registration Statement and the Prospectus. Each of the Company’s subsidiaries is duly qualified as a foreign corporation to transact business and is in good standing in each jurisdiction in which such qualification is required, whether by reason of the ownership or leasing of property or the conduct of business, except where the failure to so qualify or be in good standing would not reasonably be expected, individually or in the aggregate, to have a Material Adverse Effect. All of the issued and outstanding capital stock or other equity or ownership interests of each of the Company’s subsidiaries have been duly authorized and validly issued, are fully paid and nonassessable and are owned by the Company free and clear of any security interest, mortgage, pledge, lien, encumbrance or adverse claim. The Company does not own or control, directly or indirectly, any corporation, association or other entity other than the subsidiaries listed in Exhibit 21.1 to the Company’s most recent Annual Report on Form 10-K.</w:t>
      </w:r>
    </w:p>
    <w:p>
      <w:pPr>
        <w:spacing w:after="0" w:line="86" w:lineRule="exact"/>
        <w:rPr>
          <w:rFonts w:ascii="Times New Roman" w:cs="Times New Roman" w:eastAsia="Times New Roman" w:hAnsi="Times New Roman"/>
          <w:sz w:val="18"/>
          <w:szCs w:val="18"/>
          <w:color w:val="auto"/>
        </w:rPr>
      </w:pPr>
    </w:p>
    <w:p>
      <w:pPr>
        <w:ind w:left="4" w:right="140" w:firstLine="436"/>
        <w:spacing w:after="0" w:line="272" w:lineRule="auto"/>
        <w:tabs>
          <w:tab w:leader="none" w:pos="69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issued and outstanding capital stock of the Company is as set forth in the Registration Statement and the Prospectus as of the dates indicated for such information (other than for subsequent issuances, if any, pursuant to employee benefit plans, upon the exercise of outstanding options or warrants, or upon the conversion of outstanding preferred stock, in each case as described in the Registration Statement and the Prospectus).</w:t>
      </w:r>
    </w:p>
    <w:p>
      <w:pPr>
        <w:spacing w:after="0" w:line="1" w:lineRule="exact"/>
        <w:rPr>
          <w:rFonts w:ascii="Times New Roman" w:cs="Times New Roman" w:eastAsia="Times New Roman" w:hAnsi="Times New Roman"/>
          <w:sz w:val="17"/>
          <w:szCs w:val="17"/>
          <w:color w:val="auto"/>
        </w:rPr>
      </w:pPr>
    </w:p>
    <w:p>
      <w:pPr>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Common Stock (including the Placement Shares) conforms in all material respects to the description thereof contained in the Registration Statement and the Prospectus. All of the issued and outstanding shares of Common Stock have been duly authorized and validly issued, are fully paid and nonassessable and have been issued in compliance with all applicable federal and state securities laws. None of the outstanding shares of Common Stock was issued in violation of any preemptive rights, rights of first refusal or other similar rights to subscribe for or purchase securities of the Company. There are no authorized or outstanding options, warrants, shares of preferred</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3" w:name="page14"/>
    <w:bookmarkEnd w:id="1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spacing w:after="0" w:line="75" w:lineRule="exact"/>
        <w:rPr>
          <w:sz w:val="20"/>
          <w:szCs w:val="20"/>
          <w:color w:val="auto"/>
        </w:rPr>
      </w:pPr>
    </w:p>
    <w:p>
      <w:pPr>
        <w:ind w:right="100" w:firstLine="436"/>
        <w:spacing w:after="0" w:line="258"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previously disclosed in filings with the Commission, the Common Stock is registered pursuant to Section 12(b) or 12(g) of the Exchange Act and listed on the Nasdaq, and the Company has taken no action designed to, or likely to have the effect of, terminating the registration of the Common Stock under the Exchange Act or delisting the Common Stock from the Nasdaq, nor has the Company received any notification that the Commission or the Nasdaq is contemplating terminating such registration or listing. To the Company’s knowledge, it is in compliance with all applicable listing requirements of the Nasdaq.</w:t>
      </w:r>
    </w:p>
    <w:p>
      <w:pPr>
        <w:spacing w:after="0" w:line="75" w:lineRule="exact"/>
        <w:rPr>
          <w:rFonts w:ascii="Times New Roman" w:cs="Times New Roman" w:eastAsia="Times New Roman" w:hAnsi="Times New Roman"/>
          <w:sz w:val="18"/>
          <w:szCs w:val="18"/>
          <w:color w:val="auto"/>
        </w:rPr>
      </w:pPr>
    </w:p>
    <w:p>
      <w:pPr>
        <w:ind w:right="20" w:firstLine="436"/>
        <w:spacing w:after="0" w:line="251" w:lineRule="auto"/>
        <w:tabs>
          <w:tab w:leader="none" w:pos="6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in violation of its charter or by-laws, or is in default (or, with the giving of notice or lapse of time, would be in default) (“Default”)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its subsidiaries may be bound, or to which any of their respective properties or assets are subject (each, an “</w:t>
      </w:r>
      <w:r>
        <w:rPr>
          <w:rFonts w:ascii="Times New Roman" w:cs="Times New Roman" w:eastAsia="Times New Roman" w:hAnsi="Times New Roman"/>
          <w:sz w:val="18"/>
          <w:szCs w:val="18"/>
          <w:b w:val="1"/>
          <w:bCs w:val="1"/>
          <w:u w:val="single" w:color="auto"/>
          <w:color w:val="auto"/>
        </w:rPr>
        <w:t>Existing Instrument</w:t>
      </w:r>
      <w:r>
        <w:rPr>
          <w:rFonts w:ascii="Times New Roman" w:cs="Times New Roman" w:eastAsia="Times New Roman" w:hAnsi="Times New Roman"/>
          <w:sz w:val="18"/>
          <w:szCs w:val="18"/>
          <w:color w:val="auto"/>
        </w:rPr>
        <w:t>”), except for such Defaults as would not reasonably be expected, individually or in the aggregate, to have a Material Adverse Effect. The Company’s execution, delivery and performance of this Agreement, consummation of the transactions contemplated hereby and by the Prospectus and the issuance and sale of the Placement Shares (i) have been duly authorized by all necessary corporate action and will not result in any violation of the provisions of the charter or by-laws of the Company or any of its subsidiaries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for such conflicts, breaches, Defaults or Debt Repayment Triggering Events or liens, charges or encumbrances that would not reasonably be expected, individually or in the aggregate, to have a Material Adverse Effect and (iii) will not result in any violation of any law, administrative regulation or administrative or court decree applicable to the Company or any of its subsidiaries except for such violations as would not reasonably be expected, individually or in the aggregate, to have a Material Adverse Effect.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or will be obtained or made, by the Company and are or will be in full force and effect under the Securities Act and such as may be required under applicable state securities or blue sky laws or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or Nasdaq. As used herein, a “</w:t>
      </w:r>
      <w:r>
        <w:rPr>
          <w:rFonts w:ascii="Times New Roman" w:cs="Times New Roman" w:eastAsia="Times New Roman" w:hAnsi="Times New Roman"/>
          <w:sz w:val="18"/>
          <w:szCs w:val="18"/>
          <w:b w:val="1"/>
          <w:bCs w:val="1"/>
          <w:u w:val="single" w:color="auto"/>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97" w:lineRule="exact"/>
        <w:rPr>
          <w:rFonts w:ascii="Times New Roman" w:cs="Times New Roman" w:eastAsia="Times New Roman" w:hAnsi="Times New Roman"/>
          <w:sz w:val="18"/>
          <w:szCs w:val="18"/>
          <w:color w:val="auto"/>
        </w:rPr>
      </w:pPr>
    </w:p>
    <w:p>
      <w:pPr>
        <w:ind w:firstLine="436"/>
        <w:spacing w:after="0" w:line="282" w:lineRule="auto"/>
        <w:tabs>
          <w:tab w:leader="none" w:pos="6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been and are in compliance with all applicable laws, rules and regulations, except where failure to be so in compliance would not reasonably be expected, individually or in the aggregate, to have a Material Adverse Effect.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ind w:left="4" w:firstLine="436"/>
        <w:spacing w:after="0" w:line="254" w:lineRule="auto"/>
        <w:tabs>
          <w:tab w:leader="none" w:pos="65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no action, suit, proceeding, inquiry or investigation brought by or before any governmental entity now pending or, to the knowledge of the Company, threatened, against or affecting the Company or any of its subsidiaries, which would reasonably be expected, individually or in the aggregate, to have a Material Adverse Effect or materially and adversely affect the consummation of the transactions contemplated by this Agreement or the performance by the Company of its obligations hereunder;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would not reasonably be expected to have a Material Adverse Effect.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83" w:lineRule="exact"/>
        <w:rPr>
          <w:rFonts w:ascii="Times New Roman" w:cs="Times New Roman" w:eastAsia="Times New Roman" w:hAnsi="Times New Roman"/>
          <w:sz w:val="18"/>
          <w:szCs w:val="18"/>
          <w:color w:val="auto"/>
        </w:rPr>
      </w:pPr>
    </w:p>
    <w:p>
      <w:pPr>
        <w:ind w:left="4" w:right="60" w:firstLine="436"/>
        <w:spacing w:after="0" w:line="267" w:lineRule="auto"/>
        <w:tabs>
          <w:tab w:leader="none" w:pos="699"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own, or have obtained valid and enforceable licenses for, the material inventions, patent applications, patents, trademarks, trade names, service names, copyrights, trade secrets and other intellectual property (collectively “</w:t>
      </w:r>
      <w:r>
        <w:rPr>
          <w:rFonts w:ascii="Times New Roman" w:cs="Times New Roman" w:eastAsia="Times New Roman" w:hAnsi="Times New Roman"/>
          <w:sz w:val="17"/>
          <w:szCs w:val="17"/>
          <w:b w:val="1"/>
          <w:bCs w:val="1"/>
          <w:u w:val="single" w:color="auto"/>
          <w:color w:val="auto"/>
        </w:rPr>
        <w:t>Intellectual Property</w:t>
      </w:r>
      <w:r>
        <w:rPr>
          <w:rFonts w:ascii="Times New Roman" w:cs="Times New Roman" w:eastAsia="Times New Roman" w:hAnsi="Times New Roman"/>
          <w:sz w:val="17"/>
          <w:szCs w:val="17"/>
          <w:color w:val="auto"/>
        </w:rPr>
        <w:t>”) that is disclosed in the Registration Statement and the Prospectus (“</w:t>
      </w:r>
      <w:r>
        <w:rPr>
          <w:rFonts w:ascii="Times New Roman" w:cs="Times New Roman" w:eastAsia="Times New Roman" w:hAnsi="Times New Roman"/>
          <w:sz w:val="17"/>
          <w:szCs w:val="17"/>
          <w:b w:val="1"/>
          <w:bCs w:val="1"/>
          <w:u w:val="single" w:color="auto"/>
          <w:color w:val="auto"/>
        </w:rPr>
        <w:t>Company Intellectual Property</w:t>
      </w:r>
      <w:r>
        <w:rPr>
          <w:rFonts w:ascii="Times New Roman" w:cs="Times New Roman" w:eastAsia="Times New Roman" w:hAnsi="Times New Roman"/>
          <w:sz w:val="17"/>
          <w:szCs w:val="17"/>
          <w:color w:val="auto"/>
        </w:rPr>
        <w:t>”). To the Company’s knowledge: (i) there are no third parties who have rights to any Intellectual Property, except for customary reversionary rights of third-party licensors with respect to Company Intellectual Property that is disclosed in the Registration Statement and the Prospectus as licensed to the Company or any of its subsidiaries, that is necessary to conduct the business as currently conducted or as currently proposed to be conducted in the future by the Company and its subsidiaries as described in the Registration Statement or the Prospectus; and (ii), except as would not reasonably be expected, individually or in the aggregate, to have a Material Adverse Effect, there is no infringement by third parties of any Company Intellectual Property. Except as would not reasonably be expected, individually or in the aggregate, to have a Material Adverse Effect, there is no pending or, to the Company’s knowledge, threatened action, suit, proceeding or claim by others, except for proceedings before the U.S. Patent and Trademark Office or a foreign government intellectual property office:</w:t>
      </w:r>
    </w:p>
    <w:p>
      <w:pPr>
        <w:spacing w:after="0" w:line="3" w:lineRule="exact"/>
        <w:rPr>
          <w:rFonts w:ascii="Times New Roman" w:cs="Times New Roman" w:eastAsia="Times New Roman" w:hAnsi="Times New Roman"/>
          <w:sz w:val="17"/>
          <w:szCs w:val="17"/>
          <w:color w:val="auto"/>
        </w:rPr>
      </w:pPr>
    </w:p>
    <w:p>
      <w:pPr>
        <w:ind w:left="4" w:right="140" w:hanging="4"/>
        <w:spacing w:after="0" w:line="251" w:lineRule="auto"/>
        <w:tabs>
          <w:tab w:leader="none" w:pos="2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the Company’s rights in or to any Company Intellectual Property, and the Company is unaware of any facts which would form a reasonable basis for any such action, suit, proceeding or claim; (B) challenging the validity, enforceability or scope of any granted and enforceable Company Intellectual Property, and the Company is currently unaware of any facts which would form a reasonable basis for any such action, suit, proceeding or claim that, if asserted on the date hereof, would reasonably be expected to succeed;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and the Company is currently unaware of any facts which would form a reasonable basis for any such action, suit, proceeding or claim that, if asserted on the date hereof, would reasonably be expected to succeed. Except as would not reasonably be expected, individually or in the aggregate, to have a Material Adverse Effect, the Company and its subsidiaries have complied with the terms of each agreement pursuant to which Intellectual Property has been licensed to the Company or any of its subsidiaries, and all such agreements are in full force and effect. The product candidates described in the Registration Statement and the Prospectus as under development by the Company or any of its subsidiaries fall within the scope of the claims of one or more patents or patent applications owned by, or exclusively licensed to, the Company or its subsidiaries.</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5" w:name="page16"/>
    <w:bookmarkEnd w:id="15"/>
    <w:p>
      <w:pPr>
        <w:ind w:left="4" w:right="20" w:firstLine="436"/>
        <w:spacing w:after="0" w:line="256" w:lineRule="auto"/>
        <w:tabs>
          <w:tab w:leader="none" w:pos="6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possess such valid and current certificates, authorizations or permits required by state, federal or foreign regulatory agencies or bodies to conduct their respective businesses as currently conducted and as described in the Registration Statement or the Prospectus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except where the failure to so possess would not reasonably be expected to, individually or in the aggregate, result in a Material Adverse Effect. Except as would not reasonably be expected, individually or in the aggregate, to have a Material Adverse Effect, neither the Company nor any of its subsidiaries is in violation of, or in default under, any of the Permits or has received any notice of proceedings relating to the revocation or modification of, or non-compliance with, any such certificate, authorization or permit.</w:t>
      </w:r>
    </w:p>
    <w:p>
      <w:pPr>
        <w:spacing w:after="0" w:line="79" w:lineRule="exact"/>
        <w:rPr>
          <w:rFonts w:ascii="Times New Roman" w:cs="Times New Roman" w:eastAsia="Times New Roman" w:hAnsi="Times New Roman"/>
          <w:sz w:val="18"/>
          <w:szCs w:val="18"/>
          <w:color w:val="auto"/>
        </w:rPr>
      </w:pPr>
    </w:p>
    <w:p>
      <w:pPr>
        <w:ind w:left="4" w:right="160" w:firstLine="436"/>
        <w:spacing w:after="0" w:line="256" w:lineRule="auto"/>
        <w:tabs>
          <w:tab w:leader="none" w:pos="73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real property. The Company and its subsidiaries have good and marketable title to all personal property and other assets reflected as owned in the financial statements referred to in Section 6(l) above (or elsewhere in the Registration Statement or the Prospectus), in each case free and clear of any security interests, mortgages, liens, encumbrances, equities, adverse claims and other defects. The real property, improvements, equipment and personal property held under lease by the Company or its subsidiaries are held under valid and enforceable leases, with such exceptions as are not material and do not materially interfere with the use made or proposed to be made of such real property, improvements, equipment or personal property by the Company or its subsidiaries.</w:t>
      </w:r>
    </w:p>
    <w:p>
      <w:pPr>
        <w:spacing w:after="0" w:line="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filed all necessary federal, state and foreign income and franchise tax returns or have properly</w:t>
      </w:r>
    </w:p>
    <w:p>
      <w:pPr>
        <w:spacing w:after="0" w:line="27"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6(l) above in respect of all federal, state and foreign income and franchise taxes for all periods as to which the tax liability of the Company or any of its subsidiaries has not been finally determined, except to the extent of any inadequacy that would not reasonably be expected to result in a Material Adverse Effect.</w:t>
      </w:r>
    </w:p>
    <w:p>
      <w:pPr>
        <w:spacing w:after="0" w:line="78" w:lineRule="exact"/>
        <w:rPr>
          <w:rFonts w:ascii="Times New Roman" w:cs="Times New Roman" w:eastAsia="Times New Roman" w:hAnsi="Times New Roman"/>
          <w:sz w:val="18"/>
          <w:szCs w:val="18"/>
          <w:color w:val="auto"/>
        </w:rPr>
      </w:pPr>
    </w:p>
    <w:p>
      <w:pPr>
        <w:jc w:val="both"/>
        <w:ind w:left="4" w:firstLine="436"/>
        <w:spacing w:after="0" w:line="266" w:lineRule="auto"/>
        <w:tabs>
          <w:tab w:leader="none" w:pos="6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will not be, either after receipt of payment for the Placement Shares or after the application of the proceeds therefrom as described under “Use of Proceeds” in the Prospectus, required to register as an “investment company” under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 w:right="60" w:firstLine="436"/>
        <w:spacing w:after="0" w:line="269" w:lineRule="auto"/>
        <w:tabs>
          <w:tab w:leader="none" w:pos="68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w:t>
      </w:r>
    </w:p>
    <w:p>
      <w:pPr>
        <w:spacing w:after="0" w:line="2" w:lineRule="exact"/>
        <w:rPr>
          <w:rFonts w:ascii="Times New Roman" w:cs="Times New Roman" w:eastAsia="Times New Roman" w:hAnsi="Times New Roman"/>
          <w:sz w:val="17"/>
          <w:szCs w:val="17"/>
          <w:color w:val="auto"/>
        </w:rPr>
      </w:pPr>
    </w:p>
    <w:p>
      <w:pPr>
        <w:ind w:left="4" w:hanging="4"/>
        <w:spacing w:after="0" w:line="255" w:lineRule="auto"/>
        <w:tabs>
          <w:tab w:leader="none" w:pos="2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comparable coverage from similar institutions as may be necessary or appropriate to conduct its business as now conducted and at a cost that would not reasonably be expected to have a Material Adverse Effect. Neither the Company nor any of its subsidiaries has been denied any insurance coverage which it has sought or for which it has applied.</w:t>
      </w:r>
    </w:p>
    <w:p>
      <w:pPr>
        <w:spacing w:after="0" w:line="77"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76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taken, directly or indirectly, any action designed to or that might reasonably be expected to cause or result in stabilization or manipulation of the price of the Common Stock or of any “reference security” (as defined in Rule 100 of Regulation M under the Exchange Act (“</w:t>
      </w:r>
      <w:r>
        <w:rPr>
          <w:rFonts w:ascii="Times New Roman" w:cs="Times New Roman" w:eastAsia="Times New Roman" w:hAnsi="Times New Roman"/>
          <w:sz w:val="18"/>
          <w:szCs w:val="18"/>
          <w:b w:val="1"/>
          <w:bCs w:val="1"/>
          <w:u w:val="single" w:color="auto"/>
          <w:color w:val="auto"/>
        </w:rPr>
        <w:t>Regulation M</w:t>
      </w:r>
      <w:r>
        <w:rPr>
          <w:rFonts w:ascii="Times New Roman" w:cs="Times New Roman" w:eastAsia="Times New Roman" w:hAnsi="Times New Roman"/>
          <w:sz w:val="18"/>
          <w:szCs w:val="18"/>
          <w:color w:val="auto"/>
        </w:rPr>
        <w:t>”)) with respect to the Placement Shares, whether to facilitate the sale or resale of the Placement Shares or otherwise, and has taken no action which would directly or indirectly violate Regulation M. The Company acknowledges that the Agent may engage in passive market making transactions in the Placement Shares on the Nasdaq in accordance with Regulation M. As of the date hereof, the shares of Common Stock are “actively traded securities” (as defined in Regulation M).</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16" w:name="page17"/>
    <w:bookmarkEnd w:id="16"/>
    <w:p>
      <w:pPr>
        <w:ind w:firstLine="436"/>
        <w:spacing w:after="0" w:line="282" w:lineRule="auto"/>
        <w:tabs>
          <w:tab w:leader="none" w:pos="7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53" w:lineRule="exact"/>
        <w:rPr>
          <w:rFonts w:ascii="Times New Roman" w:cs="Times New Roman" w:eastAsia="Times New Roman" w:hAnsi="Times New Roman"/>
          <w:sz w:val="18"/>
          <w:szCs w:val="18"/>
          <w:color w:val="auto"/>
        </w:rPr>
      </w:pPr>
    </w:p>
    <w:p>
      <w:pPr>
        <w:ind w:right="440" w:firstLine="436"/>
        <w:spacing w:after="0" w:line="282" w:lineRule="auto"/>
        <w:tabs>
          <w:tab w:leader="none" w:pos="7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(within the meaning of FINRA Rule 5121(f)(1)) directly, or indirectly through one or more intermediaries, controls, or is controlled by, or is under common control with, or is a person associated with any member firm of FINRA.</w:t>
      </w:r>
    </w:p>
    <w:p>
      <w:pPr>
        <w:spacing w:after="0" w:line="53" w:lineRule="exact"/>
        <w:rPr>
          <w:rFonts w:ascii="Times New Roman" w:cs="Times New Roman" w:eastAsia="Times New Roman" w:hAnsi="Times New Roman"/>
          <w:sz w:val="18"/>
          <w:szCs w:val="18"/>
          <w:color w:val="auto"/>
        </w:rPr>
      </w:pPr>
    </w:p>
    <w:p>
      <w:pPr>
        <w:ind w:right="60" w:firstLine="436"/>
        <w:spacing w:after="0" w:line="266" w:lineRule="auto"/>
        <w:tabs>
          <w:tab w:leader="none" w:pos="7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or the Prospectus.</w:t>
      </w:r>
    </w:p>
    <w:p>
      <w:pPr>
        <w:spacing w:after="0" w:line="67" w:lineRule="exact"/>
        <w:rPr>
          <w:rFonts w:ascii="Times New Roman" w:cs="Times New Roman" w:eastAsia="Times New Roman" w:hAnsi="Times New Roman"/>
          <w:sz w:val="18"/>
          <w:szCs w:val="18"/>
          <w:color w:val="auto"/>
        </w:rPr>
      </w:pPr>
    </w:p>
    <w:p>
      <w:pPr>
        <w:ind w:right="20" w:firstLine="436"/>
        <w:spacing w:after="0" w:line="253" w:lineRule="auto"/>
        <w:tabs>
          <w:tab w:leader="none" w:pos="7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have a Material Adverse 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u w:val="single" w:color="auto"/>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existing as of the date hereof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79" w:lineRule="exact"/>
        <w:rPr>
          <w:rFonts w:ascii="Times New Roman" w:cs="Times New Roman" w:eastAsia="Times New Roman" w:hAnsi="Times New Roman"/>
          <w:sz w:val="18"/>
          <w:szCs w:val="18"/>
          <w:color w:val="auto"/>
        </w:rPr>
      </w:pPr>
    </w:p>
    <w:p>
      <w:pPr>
        <w:ind w:firstLine="436"/>
        <w:spacing w:after="0" w:line="253" w:lineRule="auto"/>
        <w:tabs>
          <w:tab w:leader="none" w:pos="7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8"/>
          <w:szCs w:val="18"/>
          <w:b w:val="1"/>
          <w:bCs w:val="1"/>
          <w:u w:val="single" w:color="auto"/>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“Code”)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cause the loss of such qualification.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ind w:left="4" w:right="380" w:firstLine="436"/>
        <w:spacing w:after="0" w:line="282" w:lineRule="auto"/>
        <w:tabs>
          <w:tab w:leader="none" w:pos="7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53" w:lineRule="exact"/>
        <w:rPr>
          <w:rFonts w:ascii="Times New Roman" w:cs="Times New Roman" w:eastAsia="Times New Roman" w:hAnsi="Times New Roman"/>
          <w:sz w:val="18"/>
          <w:szCs w:val="18"/>
          <w:color w:val="auto"/>
        </w:rPr>
      </w:pPr>
    </w:p>
    <w:p>
      <w:pPr>
        <w:ind w:left="4" w:firstLine="436"/>
        <w:spacing w:after="0" w:line="256" w:lineRule="auto"/>
        <w:tabs>
          <w:tab w:leader="none" w:pos="7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is was false or misleading.</w:t>
      </w:r>
    </w:p>
    <w:p>
      <w:pPr>
        <w:spacing w:after="0" w:line="79" w:lineRule="exact"/>
        <w:rPr>
          <w:rFonts w:ascii="Times New Roman" w:cs="Times New Roman" w:eastAsia="Times New Roman" w:hAnsi="Times New Roman"/>
          <w:sz w:val="18"/>
          <w:szCs w:val="18"/>
          <w:color w:val="auto"/>
        </w:rPr>
      </w:pPr>
    </w:p>
    <w:p>
      <w:pPr>
        <w:ind w:left="4" w:firstLine="436"/>
        <w:spacing w:after="0" w:line="266" w:lineRule="auto"/>
        <w:tabs>
          <w:tab w:leader="none" w:pos="70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outstanding extension of credit, in the form of a personal loan, to or for any director or executive officer (or equivalent thereof) of the Company and/or its subsidiary except for such extensions of credit as are expressly permitted by Section 13(k) of the Exchange Act.</w:t>
      </w:r>
    </w:p>
    <w:p>
      <w:pPr>
        <w:spacing w:after="0" w:line="67"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709"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are, and at all times within the last six years have been, in compliance with all applicable Health Care Laws, except where failure to be in compliance would not reasonably be expected to, individually or in the aggregate, result in a Material Adverse Effect. For purposes of this Agreement, “</w:t>
      </w:r>
      <w:r>
        <w:rPr>
          <w:rFonts w:ascii="Times New Roman" w:cs="Times New Roman" w:eastAsia="Times New Roman" w:hAnsi="Times New Roman"/>
          <w:sz w:val="17"/>
          <w:szCs w:val="17"/>
          <w:b w:val="1"/>
          <w:bCs w:val="1"/>
          <w:u w:val="single" w:color="auto"/>
          <w:color w:val="auto"/>
        </w:rPr>
        <w:t>Health Care Laws</w:t>
      </w:r>
      <w:r>
        <w:rPr>
          <w:rFonts w:ascii="Times New Roman" w:cs="Times New Roman" w:eastAsia="Times New Roman" w:hAnsi="Times New Roman"/>
          <w:sz w:val="17"/>
          <w:szCs w:val="17"/>
          <w:color w:val="auto"/>
        </w:rPr>
        <w:t>” means: (i) the Federal Food, Drug, and Cosmetic Act and the regulations promulgated thereunder;</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federal, state, local and all applicable foreign health care related fraud and abuse laws, including, without limitation, the U.S. Anti-Kickback Statute (42 U.S.C. Section 1320a-7b(b)), the Anti-Inducement Law (42 U.S.C. § 1320a-7a(a)(5)), the U.S. Civil False Claims Act (31 U.S.C. Section 3729 et seq.), all applicable federal, state, local and all foreign criminal laws relating to health care fraud and abuse, including but not limited to 18 U.S.C. Sections 286 and 287, and the health care fraud criminal provisions under the U.S. Health Insurance Portability and Accountability Act of 1996 (“</w:t>
      </w:r>
      <w:r>
        <w:rPr>
          <w:rFonts w:ascii="Times New Roman" w:cs="Times New Roman" w:eastAsia="Times New Roman" w:hAnsi="Times New Roman"/>
          <w:sz w:val="18"/>
          <w:szCs w:val="18"/>
          <w:b w:val="1"/>
          <w:bCs w:val="1"/>
          <w:u w:val="single" w:color="auto"/>
          <w:color w:val="auto"/>
        </w:rPr>
        <w:t>HIPAA</w:t>
      </w:r>
      <w:r>
        <w:rPr>
          <w:rFonts w:ascii="Times New Roman" w:cs="Times New Roman" w:eastAsia="Times New Roman" w:hAnsi="Times New Roman"/>
          <w:sz w:val="18"/>
          <w:szCs w:val="18"/>
          <w:color w:val="auto"/>
        </w:rPr>
        <w:t>”) (42 U.S.C. Section 1320d et seq.), the exclusion laws, the statutes, regulations and directives of applicable government funded or sponsored healthcare programs, and the regulations promulgated pursuant to such statutes; (iii) 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(iv) the Patient Protection and Affordable Care Act of 2010, as amended by the Health Care and Education Affordability Reconciliation Act of 2010, the regulations promulgated thereunder; (v) the U.S. Controlled Substances Act (21 U.S.C. Section 801 et seq.); (vi) quality, safety and accreditation requirements under applicable federal, state, local or foreign laws or regulatory bodies; and (vii) all other local, state, federal, national, supranational and foreign health laws, relating to the regulation of the Company or any of its subsidiaries.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8" w:name="page19"/>
    <w:bookmarkEnd w:id="18"/>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or directors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81" w:lineRule="exact"/>
        <w:rPr>
          <w:sz w:val="20"/>
          <w:szCs w:val="20"/>
          <w:color w:val="auto"/>
        </w:rPr>
      </w:pPr>
    </w:p>
    <w:p>
      <w:pPr>
        <w:jc w:val="both"/>
        <w:ind w:left="4" w:right="160" w:firstLine="436"/>
        <w:spacing w:after="0" w:line="266" w:lineRule="auto"/>
        <w:tabs>
          <w:tab w:leader="none" w:pos="78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prohibited or restricted, directly or indirectly, from paying dividends to the Company, or from making any other distribution with respect to such subsidiary’s equity securities or from repaying to the Company any amounts that may from time to time become due under any loans or advances to such subsidiary from the Company or from transferring any property or assets to the Company.</w:t>
      </w:r>
    </w:p>
    <w:p>
      <w:pPr>
        <w:spacing w:after="0" w:line="67" w:lineRule="exact"/>
        <w:rPr>
          <w:rFonts w:ascii="Times New Roman" w:cs="Times New Roman" w:eastAsia="Times New Roman" w:hAnsi="Times New Roman"/>
          <w:sz w:val="18"/>
          <w:szCs w:val="18"/>
          <w:color w:val="auto"/>
        </w:rPr>
      </w:pPr>
    </w:p>
    <w:p>
      <w:pPr>
        <w:ind w:left="4" w:right="200" w:firstLine="436"/>
        <w:spacing w:after="0" w:line="269" w:lineRule="auto"/>
        <w:tabs>
          <w:tab w:leader="none" w:pos="709"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nor, to the knowledge of the Company, any director, officer, agent, employee, controlled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Times New Roman" w:cs="Times New Roman" w:eastAsia="Times New Roman" w:hAnsi="Times New Roman"/>
          <w:sz w:val="17"/>
          <w:szCs w:val="17"/>
          <w:b w:val="1"/>
          <w:bCs w:val="1"/>
          <w:u w:val="single" w:color="auto"/>
          <w:color w:val="auto"/>
        </w:rPr>
        <w:t>FCPA</w:t>
      </w:r>
      <w:r>
        <w:rPr>
          <w:rFonts w:ascii="Times New Roman" w:cs="Times New Roman" w:eastAsia="Times New Roman" w:hAnsi="Times New Roman"/>
          <w:sz w:val="17"/>
          <w:szCs w:val="17"/>
          <w:color w:val="auto"/>
        </w:rPr>
        <w:t>”) or employee from corporate funds;</w:t>
      </w:r>
    </w:p>
    <w:p>
      <w:pPr>
        <w:spacing w:after="0" w:line="2" w:lineRule="exact"/>
        <w:rPr>
          <w:rFonts w:ascii="Times New Roman" w:cs="Times New Roman" w:eastAsia="Times New Roman" w:hAnsi="Times New Roman"/>
          <w:sz w:val="17"/>
          <w:szCs w:val="17"/>
          <w:color w:val="auto"/>
        </w:rPr>
      </w:pPr>
    </w:p>
    <w:p>
      <w:pPr>
        <w:ind w:left="4" w:right="240" w:hanging="4"/>
        <w:spacing w:after="0" w:line="253" w:lineRule="auto"/>
        <w:tabs>
          <w:tab w:leader="none" w:pos="3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its subsidiaries and, to the knowledge of the Company, the Company’s controlled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78" w:lineRule="exact"/>
        <w:rPr>
          <w:rFonts w:ascii="Times New Roman" w:cs="Times New Roman" w:eastAsia="Times New Roman" w:hAnsi="Times New Roman"/>
          <w:sz w:val="18"/>
          <w:szCs w:val="18"/>
          <w:color w:val="auto"/>
        </w:rPr>
      </w:pPr>
    </w:p>
    <w:p>
      <w:pPr>
        <w:ind w:left="4" w:firstLine="436"/>
        <w:spacing w:after="0" w:line="256" w:lineRule="auto"/>
        <w:tabs>
          <w:tab w:leader="none" w:pos="8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79" w:lineRule="exact"/>
        <w:rPr>
          <w:rFonts w:ascii="Times New Roman" w:cs="Times New Roman" w:eastAsia="Times New Roman" w:hAnsi="Times New Roman"/>
          <w:sz w:val="18"/>
          <w:szCs w:val="18"/>
          <w:color w:val="auto"/>
        </w:rPr>
      </w:pPr>
    </w:p>
    <w:p>
      <w:pPr>
        <w:ind w:left="4" w:right="100" w:firstLine="436"/>
        <w:spacing w:after="0" w:line="254" w:lineRule="auto"/>
        <w:tabs>
          <w:tab w:leader="none" w:pos="7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tests and clinical trials, and other studies (collectively, “studies”) that are described in, or the results of which are referred to in, the Registration Statement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9" w:name="page20"/>
    <w:bookmarkEnd w:id="19"/>
    <w:p>
      <w:pPr>
        <w:ind w:left="4" w:right="10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health care facility Institutional Review Board (collectively, the “</w:t>
      </w:r>
      <w:r>
        <w:rPr>
          <w:rFonts w:ascii="Times New Roman" w:cs="Times New Roman" w:eastAsia="Times New Roman" w:hAnsi="Times New Roman"/>
          <w:sz w:val="17"/>
          <w:szCs w:val="17"/>
          <w:b w:val="1"/>
          <w:bCs w:val="1"/>
          <w:u w:val="single" w:color="auto"/>
          <w:color w:val="auto"/>
        </w:rPr>
        <w:t>Regulatory Agencies</w:t>
      </w:r>
      <w:r>
        <w:rPr>
          <w:rFonts w:ascii="Times New Roman" w:cs="Times New Roman" w:eastAsia="Times New Roman" w:hAnsi="Times New Roman"/>
          <w:sz w:val="17"/>
          <w:szCs w:val="17"/>
          <w:color w:val="auto"/>
        </w:rPr>
        <w:t>”) except where the failure to make such filing or obtain such approval would not reasonably be expected to, individually or in the aggregate, result in a Material Adverse Effect; neither the Company nor any of its subsidiaries has received any notice of, or correspondence from, any Regulatory Agency requiring the termination, suspension or material modification of any clinical trials that are described or referred to in the Registration Statement or the Prospectus; and the Company and its subsidiaries have each operated and currently are in compliance in all material respects with all applicable rules, regulations and policies of the Regulatory Agencies.</w:t>
      </w:r>
    </w:p>
    <w:p>
      <w:pPr>
        <w:spacing w:after="0" w:line="60" w:lineRule="exact"/>
        <w:rPr>
          <w:sz w:val="20"/>
          <w:szCs w:val="20"/>
          <w:color w:val="auto"/>
        </w:rPr>
      </w:pPr>
    </w:p>
    <w:p>
      <w:pPr>
        <w:ind w:left="4" w:right="40" w:firstLine="436"/>
        <w:spacing w:after="0" w:line="255" w:lineRule="auto"/>
        <w:tabs>
          <w:tab w:leader="none" w:pos="7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agent, employee, controlled affiliate or person acting on behalf of the Company or any of its subsidiaries is currently subject to any U.S. sanctions administered by the Office of Foreign Assets Control of the U.S. Treasury Department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w:t>
      </w:r>
    </w:p>
    <w:p>
      <w:pPr>
        <w:spacing w:after="0" w:line="80" w:lineRule="exact"/>
        <w:rPr>
          <w:rFonts w:ascii="Times New Roman" w:cs="Times New Roman" w:eastAsia="Times New Roman" w:hAnsi="Times New Roman"/>
          <w:sz w:val="18"/>
          <w:szCs w:val="18"/>
          <w:color w:val="auto"/>
        </w:rPr>
      </w:pPr>
    </w:p>
    <w:p>
      <w:pPr>
        <w:ind w:left="4" w:firstLine="436"/>
        <w:spacing w:after="0" w:line="258" w:lineRule="auto"/>
        <w:tabs>
          <w:tab w:leader="none" w:pos="7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sent or received any communication regarding termination of, or intent not to renew, any of the contracts or agreements referred to or described in any Prospectus or any Permitted Free Writing Prospectus, or referred to or described in, or filed as an exhibit to, the Registration Statement, and no such termination or non-renewal has been threatened by the Company or its subsidiaries or, to the Company’s knowledge, any other party to any such contract or agreement, which threat of termination or non-renewal has not been rescinded as of the date hereof.</w:t>
      </w:r>
    </w:p>
    <w:p>
      <w:pPr>
        <w:spacing w:after="0" w:line="75"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7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and there is and has been no failure on the part of the Company and, to the Company’s knowledge, any of the Company’s directors or officers, in their capacities as such, to comply with, any provision of the Sarbanes-Oxley Act of 2002 and all rules and regulations promulgated thereunder or implementing the provisions thereof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and the rules and regulations promulgated in connection therewith, including Section 402 relating to loans.</w:t>
      </w:r>
    </w:p>
    <w:p>
      <w:pPr>
        <w:spacing w:after="0" w:line="71" w:lineRule="exact"/>
        <w:rPr>
          <w:rFonts w:ascii="Times New Roman" w:cs="Times New Roman" w:eastAsia="Times New Roman" w:hAnsi="Times New Roman"/>
          <w:sz w:val="18"/>
          <w:szCs w:val="18"/>
          <w:color w:val="auto"/>
        </w:rPr>
      </w:pPr>
    </w:p>
    <w:p>
      <w:pPr>
        <w:ind w:left="4" w:right="260" w:firstLine="436"/>
        <w:spacing w:after="0" w:line="276" w:lineRule="auto"/>
        <w:tabs>
          <w:tab w:leader="none" w:pos="729"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acknowledges and agrees that the Agent has informed the Company that the Agent may, to the extent permitted under the Securities Act and the Exchange Act, purchase and sell shares of Common Stock for its own account while this Agreement is in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w:t>
      </w:r>
    </w:p>
    <w:p>
      <w:pPr>
        <w:ind w:left="4" w:right="20" w:hanging="4"/>
        <w:spacing w:after="0" w:line="255"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77"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agreement with an agent or underwriter for any other “at the market” or continuous equity transaction.</w:t>
      </w:r>
    </w:p>
    <w:p>
      <w:pPr>
        <w:spacing w:after="0" w:line="117"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70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6" w:right="459" w:bottom="1440" w:gutter="0" w:footer="0" w:header="0"/>
        </w:sectPr>
      </w:pPr>
    </w:p>
    <w:bookmarkStart w:id="20" w:name="page21"/>
    <w:bookmarkEnd w:id="20"/>
    <w:p>
      <w:pPr>
        <w:ind w:left="4"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its officers and directors and the holders of any securities (debt or equity) or warrants, options, shares of preferred stock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79" w:lineRule="exact"/>
        <w:rPr>
          <w:sz w:val="20"/>
          <w:szCs w:val="20"/>
          <w:color w:val="auto"/>
        </w:rPr>
      </w:pPr>
    </w:p>
    <w:p>
      <w:pPr>
        <w:ind w:left="4" w:right="280" w:firstLine="436"/>
        <w:spacing w:after="0" w:line="258" w:lineRule="auto"/>
        <w:tabs>
          <w:tab w:leader="none" w:pos="7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prior to May 27, 2026,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was greater than $75.0 million. The Company is not a shell company (as defined in Rule 405) and has not been a shell company for at least 12 calendar months previously.</w:t>
      </w:r>
    </w:p>
    <w:p>
      <w:pPr>
        <w:spacing w:after="0" w:line="75" w:lineRule="exact"/>
        <w:rPr>
          <w:rFonts w:ascii="Times New Roman" w:cs="Times New Roman" w:eastAsia="Times New Roman" w:hAnsi="Times New Roman"/>
          <w:sz w:val="18"/>
          <w:szCs w:val="18"/>
          <w:color w:val="auto"/>
        </w:rPr>
      </w:pPr>
    </w:p>
    <w:p>
      <w:pPr>
        <w:jc w:val="both"/>
        <w:ind w:left="4" w:right="220" w:firstLine="436"/>
        <w:spacing w:after="0" w:line="266" w:lineRule="auto"/>
        <w:tabs>
          <w:tab w:leader="none" w:pos="7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Company’s knowledge, any of its affiliates (within the meaning of Rule 144 under the Securities Act) has, prior to the date hereof, made any offer or sale of any securities which could be “integrated” (within the meaning of the Securities Act) with the offer and sale of the Placement Shares hereunder.</w:t>
      </w:r>
    </w:p>
    <w:p>
      <w:pPr>
        <w:spacing w:after="0" w:line="67" w:lineRule="exact"/>
        <w:rPr>
          <w:rFonts w:ascii="Times New Roman" w:cs="Times New Roman" w:eastAsia="Times New Roman" w:hAnsi="Times New Roman"/>
          <w:sz w:val="18"/>
          <w:szCs w:val="18"/>
          <w:color w:val="auto"/>
        </w:rPr>
      </w:pPr>
    </w:p>
    <w:p>
      <w:pPr>
        <w:ind w:left="864" w:hanging="424"/>
        <w:spacing w:after="0"/>
        <w:tabs>
          <w:tab w:leader="none" w:pos="8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 failed to pay any dividend or sinking fund installment on preferred stock or</w:t>
      </w:r>
    </w:p>
    <w:p>
      <w:pPr>
        <w:spacing w:after="0" w:line="27" w:lineRule="exact"/>
        <w:rPr>
          <w:rFonts w:ascii="Times New Roman" w:cs="Times New Roman" w:eastAsia="Times New Roman" w:hAnsi="Times New Roman"/>
          <w:sz w:val="18"/>
          <w:szCs w:val="18"/>
          <w:color w:val="auto"/>
        </w:rPr>
      </w:pPr>
    </w:p>
    <w:p>
      <w:pPr>
        <w:ind w:left="4" w:right="80" w:hanging="4"/>
        <w:spacing w:after="0" w:line="260" w:lineRule="auto"/>
        <w:tabs>
          <w:tab w:leader="none" w:pos="2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defaulted on any installment or payment due on indebtedness for borrowed money or on any rental on one or more long-term leases, which defaults, individually or in the aggregate, would reasonably be expected to result in a Material Adverse Effect.</w:t>
      </w:r>
    </w:p>
    <w:p>
      <w:pPr>
        <w:spacing w:after="0" w:line="73"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or subject to a bankruptcy or insolvency proceeding in any jurisdiction.</w:t>
      </w:r>
    </w:p>
    <w:p>
      <w:pPr>
        <w:spacing w:after="0" w:line="117"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7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cs="Times New Roman" w:eastAsia="Times New Roman" w:hAnsi="Times New Roman"/>
          <w:sz w:val="18"/>
          <w:szCs w:val="18"/>
          <w:b w:val="1"/>
          <w:bCs w:val="1"/>
          <w:u w:val="single" w:color="auto"/>
          <w:color w:val="auto"/>
        </w:rPr>
        <w:t>Covered Activity</w:t>
      </w:r>
      <w:r>
        <w:rPr>
          <w:rFonts w:ascii="Times New Roman" w:cs="Times New Roman" w:eastAsia="Times New Roman" w:hAnsi="Times New Roman"/>
          <w:sz w:val="18"/>
          <w:szCs w:val="18"/>
          <w:color w:val="auto"/>
        </w:rPr>
        <w:t>”). The Company does not have any joint venture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7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 that:</w:t>
      </w:r>
    </w:p>
    <w:p>
      <w:pPr>
        <w:spacing w:after="0" w:line="117" w:lineRule="exact"/>
        <w:rPr>
          <w:sz w:val="20"/>
          <w:szCs w:val="20"/>
          <w:color w:val="auto"/>
        </w:rPr>
      </w:pPr>
    </w:p>
    <w:p>
      <w:pPr>
        <w:ind w:left="4" w:firstLine="436"/>
        <w:spacing w:after="0" w:line="258" w:lineRule="auto"/>
        <w:tabs>
          <w:tab w:leader="none" w:pos="6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1" w:name="page22"/>
    <w:bookmarkEnd w:id="21"/>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Commission for any amendment or supplement to the Registration Statement or Prospectus or for additional information; (ii) the Company will prepare and file with the Commission, promptly upon the Agent’s reasonable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85" w:lineRule="exact"/>
        <w:rPr>
          <w:sz w:val="20"/>
          <w:szCs w:val="20"/>
          <w:color w:val="auto"/>
        </w:rPr>
      </w:pPr>
    </w:p>
    <w:p>
      <w:pPr>
        <w:ind w:firstLine="436"/>
        <w:spacing w:after="0" w:line="255"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80"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2" w:name="page23"/>
    <w:bookmarkEnd w:id="22"/>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Registration Statement or Prospectus (at the expense of the Company) so as to correct such statement or omission or effect such compliance;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delay any such amendment or supplement if, in the reasonable judgment of the Company, it is in the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to do so. Until such time as the Company shall have corrected such misstatement or omission or effected such compliance, the Company shall not notify the Agent to resume the offering of Placement Shares. If the Company has omitted any information from the Registration Statement pursuant to Rule 430B under the Securities Act, it will use its reasonable best efforts to comply with the provisions thereof and make all requisite filings with the Commission pursuant to said Rule 430B and to notify the Agent promptly of all such filings if not available on EDGAR.</w:t>
      </w:r>
    </w:p>
    <w:p>
      <w:pPr>
        <w:spacing w:after="0" w:line="79" w:lineRule="exact"/>
        <w:rPr>
          <w:sz w:val="20"/>
          <w:szCs w:val="20"/>
          <w:color w:val="auto"/>
        </w:rPr>
      </w:pPr>
    </w:p>
    <w:p>
      <w:pPr>
        <w:ind w:right="180" w:firstLine="436"/>
        <w:spacing w:after="0" w:line="258"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reasonable best efforts to maintain the listing of the Placement Shares or cause the Placement Shares to be listed on Nasdaq, as applicable. The Company will timely file with Nasdaq all material documents and notices required by Nasdaq of companies that have or will issue securities that are traded on Nasdaq.</w:t>
      </w:r>
    </w:p>
    <w:p>
      <w:pPr>
        <w:spacing w:after="0" w:line="75" w:lineRule="exact"/>
        <w:rPr>
          <w:rFonts w:ascii="Times New Roman" w:cs="Times New Roman" w:eastAsia="Times New Roman" w:hAnsi="Times New Roman"/>
          <w:sz w:val="18"/>
          <w:szCs w:val="18"/>
          <w:color w:val="auto"/>
        </w:rPr>
      </w:pPr>
    </w:p>
    <w:p>
      <w:pPr>
        <w:ind w:right="40" w:firstLine="436"/>
        <w:spacing w:after="0" w:line="255"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w:t>
      </w:r>
    </w:p>
    <w:p>
      <w:pPr>
        <w:spacing w:after="0" w:line="80" w:lineRule="exact"/>
        <w:rPr>
          <w:rFonts w:ascii="Times New Roman" w:cs="Times New Roman" w:eastAsia="Times New Roman" w:hAnsi="Times New Roman"/>
          <w:sz w:val="18"/>
          <w:szCs w:val="18"/>
          <w:color w:val="auto"/>
        </w:rPr>
      </w:pPr>
    </w:p>
    <w:p>
      <w:pPr>
        <w:ind w:firstLine="436"/>
        <w:spacing w:after="0" w:line="261" w:lineRule="auto"/>
        <w:tabs>
          <w:tab w:leader="none" w:pos="6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 provided, that the Company will be deemed to have furnished such statement to its security holders to the extent it is available on EDGAR.</w:t>
      </w:r>
    </w:p>
    <w:p>
      <w:pPr>
        <w:spacing w:after="0" w:line="71"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w:t>
      </w:r>
    </w:p>
    <w:p>
      <w:pPr>
        <w:spacing w:after="0" w:line="5"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3" w:name="page24"/>
    <w:bookmarkEnd w:id="23"/>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or registrar for the Placement Shares, (vii) the fees and associated expenses of the Agent’s outside legal counsel for determining the compliance of the offering of the Placement Shares with FINRA’s Rules in an amount not to exceed $15,000 (in addition to the fees and disbursements referred to in clause (viii) below), and (viii) the reasonable fees and disbursements of the Agent’s outside legal counsel (A) in an amount not to exceed $75,000 arising out of executing this Agreement and the Company’s delivery of the initial certificate pursuant to Section 7(m), (B) in an amount not to exceed $25,000 in connection with each Representation Date (as defined below) involving the filing of a Form 10-K (including any Form 10-K/A containing amended financial information or a material amendment to the previously filed Form 10-K) on which the Company is required to provide a certificate pursuant to Section 7(m) and (C) in an amount not to exceed $15,000 in connection with each other Representation Date (as defined below) on which the Company is required to provide a certificate pursuant to Section 7(m) (in addition to the fees and associated expenses referred to in clause (vii) above).</w:t>
      </w:r>
    </w:p>
    <w:p>
      <w:pPr>
        <w:spacing w:after="0" w:line="64" w:lineRule="exact"/>
        <w:rPr>
          <w:sz w:val="20"/>
          <w:szCs w:val="20"/>
          <w:color w:val="auto"/>
        </w:rPr>
      </w:pPr>
    </w:p>
    <w:p>
      <w:pPr>
        <w:ind w:left="700" w:hanging="264"/>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117" w:lineRule="exact"/>
        <w:rPr>
          <w:rFonts w:ascii="Times New Roman" w:cs="Times New Roman" w:eastAsia="Times New Roman" w:hAnsi="Times New Roman"/>
          <w:sz w:val="18"/>
          <w:szCs w:val="18"/>
          <w:color w:val="auto"/>
        </w:rPr>
      </w:pPr>
    </w:p>
    <w:p>
      <w:pPr>
        <w:ind w:firstLine="436"/>
        <w:spacing w:after="0" w:line="25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xml:space="preserve">. Without the prior written consent of the Agent, the Company will not, directly or indirectly,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during the period beginning on the third Trading Day immediately prior to the date on which any Placement Notice is delivered to Agent hereunder and ending on the third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prior to the later of the termination of this Agreement and the fifth day immediately following the final Settlement Date with respect to Placement Shares sold pursuant to such Placement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shares of Common Stock, options to purchase shares of Common Stock, other securities under the Company’s equity incentive plans or in accordance with Nasdaq Stock Market Rule 5635(c)(4), or shares of Common Stock issuable upon the exercise of options or vesting or settlement of other securities, pursuant to any employee or director stock option or benefits plan, stock ownership plan or dividend reinvestment plan (but not shares of Common Stock subject to a waiver to exceed plan limits in its dividend reinvestment plan) of the Company whether now in effect or hereafter implemented, (ii) shares of Common Stock issuable upon conversion of securities or the exercise of warrants, options or other rights in effect or outstanding, and disclosed in filings by the Company available on EDGAR or otherwise in writing to the Agent and (iii) shares of Common Stock or securities convertible into or exchangeable for shares of Common Stock as consideration for mergers, acquisitions, joint ventures, other business combinations or strategic alliances occurring after the date of this Agreement which are not issued for capital raising purposes.</w:t>
      </w:r>
    </w:p>
    <w:p>
      <w:pPr>
        <w:spacing w:after="0" w:line="81"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4" w:name="page25"/>
    <w:bookmarkEnd w:id="24"/>
    <w:p>
      <w:pPr>
        <w:ind w:left="4" w:right="60" w:firstLine="436"/>
        <w:spacing w:after="0" w:line="261" w:lineRule="auto"/>
        <w:tabs>
          <w:tab w:leader="none" w:pos="6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spacing w:after="0" w:line="71"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5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80"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74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On or prior to the date on which the Company first delivers a Placement Notice pursuant to this Agreement (the “</w:t>
      </w:r>
      <w:r>
        <w:rPr>
          <w:rFonts w:ascii="Times New Roman" w:cs="Times New Roman" w:eastAsia="Times New Roman" w:hAnsi="Times New Roman"/>
          <w:sz w:val="18"/>
          <w:szCs w:val="18"/>
          <w:b w:val="1"/>
          <w:bCs w:val="1"/>
          <w:u w:val="single" w:color="auto"/>
          <w:color w:val="auto"/>
        </w:rPr>
        <w:t>First Placement Notice Date</w:t>
      </w:r>
      <w:r>
        <w:rPr>
          <w:rFonts w:ascii="Times New Roman" w:cs="Times New Roman" w:eastAsia="Times New Roman" w:hAnsi="Times New Roman"/>
          <w:sz w:val="18"/>
          <w:szCs w:val="18"/>
          <w:color w:val="auto"/>
        </w:rPr>
        <w:t>”) and each time the Company:</w:t>
      </w:r>
    </w:p>
    <w:p>
      <w:pPr>
        <w:spacing w:after="0" w:line="53"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1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spacing w:after="0" w:line="67" w:lineRule="exact"/>
        <w:rPr>
          <w:rFonts w:ascii="Times New Roman" w:cs="Times New Roman" w:eastAsia="Times New Roman" w:hAnsi="Times New Roman"/>
          <w:sz w:val="18"/>
          <w:szCs w:val="18"/>
          <w:color w:val="auto"/>
        </w:rPr>
      </w:pPr>
    </w:p>
    <w:p>
      <w:pPr>
        <w:ind w:left="4" w:firstLine="987"/>
        <w:spacing w:after="0" w:line="282" w:lineRule="auto"/>
        <w:tabs>
          <w:tab w:leader="none" w:pos="126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53"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117" w:lineRule="exact"/>
        <w:rPr>
          <w:rFonts w:ascii="Times New Roman" w:cs="Times New Roman" w:eastAsia="Times New Roman" w:hAnsi="Times New Roman"/>
          <w:sz w:val="18"/>
          <w:szCs w:val="18"/>
          <w:color w:val="auto"/>
        </w:rPr>
      </w:pPr>
    </w:p>
    <w:p>
      <w:pPr>
        <w:ind w:left="4" w:right="420" w:firstLine="987"/>
        <w:spacing w:after="0" w:line="276" w:lineRule="auto"/>
        <w:tabs>
          <w:tab w:leader="none" w:pos="1300"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files a current report on Form 8-K containing amended financial information (other than an earnings release that is “furnished” pursuant to Item 2.02 or Item 7.01 of Form 8-K) under the Exchange Act (each date of filing of one or more of the documents referred to in clauses</w:t>
      </w:r>
    </w:p>
    <w:p>
      <w:pPr>
        <w:ind w:left="224" w:hanging="224"/>
        <w:spacing w:after="0"/>
        <w:tabs>
          <w:tab w:leader="none" w:pos="2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color w:val="auto"/>
        </w:rPr>
        <w:t xml:space="preserve"> (modified,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70" w:right="439" w:bottom="1440" w:gutter="0" w:footer="0" w:header="0"/>
        </w:sectPr>
      </w:pPr>
    </w:p>
    <w:bookmarkStart w:id="25" w:name="page26"/>
    <w:bookmarkEnd w:id="25"/>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color w:val="auto"/>
        </w:rPr>
        <w:t>, dated the date of such Placement Notice. Within two Trading Days of each Representation Date, the Company shall have furnished to the Agent such further information, certificates and documents as the Agent may reasonably request.</w:t>
      </w:r>
    </w:p>
    <w:p>
      <w:pPr>
        <w:spacing w:after="0" w:line="75" w:lineRule="exact"/>
        <w:rPr>
          <w:sz w:val="20"/>
          <w:szCs w:val="20"/>
          <w:color w:val="auto"/>
        </w:rPr>
      </w:pPr>
    </w:p>
    <w:p>
      <w:pPr>
        <w:ind w:firstLine="436"/>
        <w:spacing w:after="0" w:line="254"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On or prior to the First Placement Notice Date and on any date which the Company is obligated to deliver a certificate pursuant to Section 7(m) for which no waiver is applicable, the Company shall cause to be furnished to the Agent the written opinion and negative assurance letter of Cooley LLP, counsel to the Company, or such other counsel reasonably satisfactory to the Agent (“</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xml:space="preserve">”),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80"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Opinion</w:t>
      </w:r>
      <w:r>
        <w:rPr>
          <w:rFonts w:ascii="Times New Roman" w:cs="Times New Roman" w:eastAsia="Times New Roman" w:hAnsi="Times New Roman"/>
          <w:sz w:val="18"/>
          <w:szCs w:val="18"/>
          <w:color w:val="auto"/>
        </w:rPr>
        <w:t>. On or prior to the First Placement Notice Date and on any date which the Company is obligated to deliver a certificate pursuant to Section 7(m) for which no waiver is applicable, the Company shall cause to be furnished to the Agent the written opinion of Cooley LLP, counsel for the Company with respect to intellectual property matters, or such other intellectual property counsel reasonably satisfactory to the Agent (“</w:t>
      </w:r>
      <w:r>
        <w:rPr>
          <w:rFonts w:ascii="Times New Roman" w:cs="Times New Roman" w:eastAsia="Times New Roman" w:hAnsi="Times New Roman"/>
          <w:sz w:val="18"/>
          <w:szCs w:val="18"/>
          <w:b w:val="1"/>
          <w:bCs w:val="1"/>
          <w:u w:val="single" w:color="auto"/>
          <w:color w:val="auto"/>
        </w:rPr>
        <w:t>Intellectual Property Counsel</w:t>
      </w:r>
      <w:r>
        <w:rPr>
          <w:rFonts w:ascii="Times New Roman" w:cs="Times New Roman" w:eastAsia="Times New Roman" w:hAnsi="Times New Roman"/>
          <w:sz w:val="18"/>
          <w:szCs w:val="18"/>
          <w:color w:val="auto"/>
        </w:rPr>
        <w:t xml:space="preserve">”), in form and substance satisfactory to the Agent and its counsel, dated the date that the opinion letter is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written opinion for subsequent Representation Dates, Intellectual Property Counsel may furnish the Agent with a letter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80"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First Placement Notice Date and on any date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Section 7(p);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reasonably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 Comfort Letter</w:t>
      </w:r>
      <w:r>
        <w:rPr>
          <w:rFonts w:ascii="Times New Roman" w:cs="Times New Roman" w:eastAsia="Times New Roman" w:hAnsi="Times New Roman"/>
          <w:sz w:val="18"/>
          <w:szCs w:val="18"/>
          <w:color w:val="auto"/>
        </w:rPr>
        <w:t>”) and (iii) 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6" w:name="page27"/>
    <w:bookmarkEnd w:id="26"/>
    <w:p>
      <w:pPr>
        <w:ind w:right="80" w:firstLine="436"/>
        <w:spacing w:after="0" w:line="258"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Activities</w:t>
      </w:r>
      <w:r>
        <w:rPr>
          <w:rFonts w:ascii="Times New Roman" w:cs="Times New Roman" w:eastAsia="Times New Roman" w:hAnsi="Times New Roman"/>
          <w:sz w:val="18"/>
          <w:szCs w:val="18"/>
          <w:color w:val="auto"/>
        </w:rPr>
        <w:t xml:space="preserve">. The Company will not, directly or indirectly, and will direct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bid for and purchase shares of Common Stock in accordance with Rule 10b-18 under the Exchange Act.</w:t>
      </w:r>
    </w:p>
    <w:p>
      <w:pPr>
        <w:spacing w:after="0" w:line="75" w:lineRule="exact"/>
        <w:rPr>
          <w:rFonts w:ascii="Times New Roman" w:cs="Times New Roman" w:eastAsia="Times New Roman" w:hAnsi="Times New Roman"/>
          <w:sz w:val="18"/>
          <w:szCs w:val="18"/>
          <w:color w:val="auto"/>
        </w:rPr>
      </w:pPr>
    </w:p>
    <w:p>
      <w:pPr>
        <w:ind w:firstLine="436"/>
        <w:spacing w:after="0" w:line="282" w:lineRule="auto"/>
        <w:tabs>
          <w:tab w:leader="none" w:pos="6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53" w:lineRule="exact"/>
        <w:rPr>
          <w:rFonts w:ascii="Times New Roman" w:cs="Times New Roman" w:eastAsia="Times New Roman" w:hAnsi="Times New Roman"/>
          <w:sz w:val="18"/>
          <w:szCs w:val="18"/>
          <w:color w:val="auto"/>
        </w:rPr>
      </w:pPr>
    </w:p>
    <w:p>
      <w:pPr>
        <w:ind w:right="140" w:firstLine="436"/>
        <w:spacing w:after="0" w:line="258" w:lineRule="auto"/>
        <w:tabs>
          <w:tab w:leader="none" w:pos="6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certificates, authorizations or permits required by federal, state and local law in order to conduct their businesses as described in the Prospectus (collectively,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and the Company and each of its Subsidiaries shall conduct their businesses, or cause their businesses to be conducted, in substantial compliance with such Permits and with applicable Environmental Laws, except where the failure to maintain or be in compliance with such Permits would not reasonably be expected to result in a Material Adverse Effect.</w:t>
      </w:r>
    </w:p>
    <w:p>
      <w:pPr>
        <w:spacing w:after="0" w:line="75" w:lineRule="exact"/>
        <w:rPr>
          <w:rFonts w:ascii="Times New Roman" w:cs="Times New Roman" w:eastAsia="Times New Roman" w:hAnsi="Times New Roman"/>
          <w:sz w:val="18"/>
          <w:szCs w:val="18"/>
          <w:color w:val="auto"/>
        </w:rPr>
      </w:pPr>
    </w:p>
    <w:p>
      <w:pPr>
        <w:ind w:right="540" w:firstLine="436"/>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67"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commercially reasonable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67"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71" w:lineRule="exact"/>
        <w:rPr>
          <w:rFonts w:ascii="Times New Roman" w:cs="Times New Roman" w:eastAsia="Times New Roman" w:hAnsi="Times New Roman"/>
          <w:sz w:val="18"/>
          <w:szCs w:val="18"/>
          <w:color w:val="auto"/>
        </w:rPr>
      </w:pPr>
    </w:p>
    <w:p>
      <w:pPr>
        <w:ind w:firstLine="436"/>
        <w:spacing w:after="0" w:line="254" w:lineRule="auto"/>
        <w:tabs>
          <w:tab w:leader="none" w:pos="7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7" w:name="page28"/>
    <w:bookmarkEnd w:id="27"/>
    <w:p>
      <w:pPr>
        <w:ind w:firstLine="436"/>
        <w:spacing w:after="0" w:line="252"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Sarbanes-Oxley Act</w:t>
      </w:r>
      <w:r>
        <w:rPr>
          <w:rFonts w:ascii="Times New Roman" w:cs="Times New Roman" w:eastAsia="Times New Roman" w:hAnsi="Times New Roman"/>
          <w:sz w:val="18"/>
          <w:szCs w:val="18"/>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88" w:lineRule="exact"/>
        <w:rPr>
          <w:sz w:val="20"/>
          <w:szCs w:val="20"/>
          <w:color w:val="auto"/>
        </w:rPr>
      </w:pPr>
    </w:p>
    <w:p>
      <w:pPr>
        <w:ind w:right="40" w:firstLine="436"/>
        <w:spacing w:after="0" w:line="253"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 of Registration Statement.</w:t>
      </w:r>
      <w:r>
        <w:rPr>
          <w:rFonts w:ascii="Times New Roman" w:cs="Times New Roman" w:eastAsia="Times New Roman" w:hAnsi="Times New Roman"/>
          <w:sz w:val="18"/>
          <w:szCs w:val="18"/>
          <w:color w:val="auto"/>
        </w:rPr>
        <w:t xml:space="preserve"> If, immediately prior to the third anniversary of the initial effective date of the Registration Statement (the “</w:t>
      </w:r>
      <w:r>
        <w:rPr>
          <w:rFonts w:ascii="Times New Roman" w:cs="Times New Roman" w:eastAsia="Times New Roman" w:hAnsi="Times New Roman"/>
          <w:sz w:val="18"/>
          <w:szCs w:val="18"/>
          <w:b w:val="1"/>
          <w:bCs w:val="1"/>
          <w:u w:val="single" w:color="auto"/>
          <w:color w:val="auto"/>
        </w:rPr>
        <w:t>Renewal Date</w:t>
      </w:r>
      <w:r>
        <w:rPr>
          <w:rFonts w:ascii="Times New Roman" w:cs="Times New Roman" w:eastAsia="Times New Roman" w:hAnsi="Times New Roman"/>
          <w:sz w:val="18"/>
          <w:szCs w:val="18"/>
          <w:color w:val="auto"/>
        </w:rPr>
        <w:t>”), any of the Placement Shares remain unsold and this Agreement has not been terminated, the Company will, at its sole discretion, prior to the Renewal Date, file a new shelf registration statement or, if applicable, an automatic shelf registration statement relating to the Common Stock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commercially reasonable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86" w:lineRule="exact"/>
        <w:rPr>
          <w:sz w:val="20"/>
          <w:szCs w:val="20"/>
          <w:color w:val="auto"/>
        </w:rPr>
      </w:pPr>
    </w:p>
    <w:p>
      <w:pPr>
        <w:ind w:right="80" w:firstLine="436"/>
        <w:spacing w:after="0" w:line="254" w:lineRule="auto"/>
        <w:tabs>
          <w:tab w:leader="none" w:pos="7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Instruction I.B.6. of Form S-3</w:t>
      </w:r>
      <w:r>
        <w:rPr>
          <w:rFonts w:ascii="Times New Roman" w:cs="Times New Roman" w:eastAsia="Times New Roman" w:hAnsi="Times New Roman"/>
          <w:sz w:val="18"/>
          <w:szCs w:val="18"/>
          <w:color w:val="auto"/>
        </w:rPr>
        <w:t xml:space="preserve">. If, from and after the date of this Agreement, the Company is no longer eligible to use Form S-3 (including pursuant to General Instruction I.B.6.) at the time it files with the Commission any post-effective amendment to the Registration Statement, then it shall promptly notify the Agent and, within two Business Days after the date of filing of such amendment to the Registration Statement, the Company shall file a new prospectus supplement with the Commission reflecting the number of shares of Common Stock available to be offered and sold by the Company under this Agreement pursuant to General Instruction I.B.6. of Form S-3;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8" w:name="page29"/>
    <w:bookmarkEnd w:id="28"/>
    <w:p>
      <w:pPr>
        <w:ind w:firstLine="436"/>
        <w:spacing w:after="0" w:line="282" w:lineRule="auto"/>
        <w:tabs>
          <w:tab w:leader="none" w:pos="7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Indemnity</w:t>
      </w:r>
      <w:r>
        <w:rPr>
          <w:rFonts w:ascii="Times New Roman" w:cs="Times New Roman" w:eastAsia="Times New Roman" w:hAnsi="Times New Roman"/>
          <w:sz w:val="18"/>
          <w:szCs w:val="18"/>
          <w:color w:val="auto"/>
        </w:rPr>
        <w:t>. The Company will indemnify and hold harmless the Agent against any documentary, stamp or similar issue tax, including any interest and penalties, on the issue and sale of the Placement Shares.</w:t>
      </w:r>
    </w:p>
    <w:p>
      <w:pPr>
        <w:spacing w:after="0" w:line="53"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has engaged and will maintain, at its sole expense, a transfer agent and registrar for the Common Stock.</w:t>
      </w:r>
    </w:p>
    <w:p>
      <w:pPr>
        <w:spacing w:after="0" w:line="117" w:lineRule="exact"/>
        <w:rPr>
          <w:sz w:val="20"/>
          <w:szCs w:val="20"/>
          <w:color w:val="auto"/>
        </w:rPr>
      </w:pPr>
    </w:p>
    <w:p>
      <w:pPr>
        <w:ind w:right="340" w:firstLine="436"/>
        <w:spacing w:after="0" w:line="261" w:lineRule="auto"/>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72" w:lineRule="exact"/>
        <w:rPr>
          <w:sz w:val="20"/>
          <w:szCs w:val="20"/>
          <w:color w:val="auto"/>
        </w:rPr>
      </w:pPr>
    </w:p>
    <w:p>
      <w:pPr>
        <w:ind w:right="420" w:firstLine="436"/>
        <w:spacing w:after="0" w:line="282"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53"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53"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81"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 shall not have advised the Company that the Registration Statement or Prospectus, or any amendment or supplement thereto, contains an untrue statement of fact that in the Agent’s reasonable opinion is material, or omits to state a fact that in the Agent’s opinion is material and is required to be stated therein or is necessary to make the statements therein not misleading.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9" w:name="page30"/>
    <w:bookmarkEnd w:id="29"/>
    <w:p>
      <w:pPr>
        <w:ind w:left="-40" w:firstLine="436"/>
        <w:spacing w:after="0" w:line="255" w:lineRule="auto"/>
        <w:tabs>
          <w:tab w:leader="none" w:pos="6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would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80" w:lineRule="exact"/>
        <w:rPr>
          <w:rFonts w:ascii="Times New Roman" w:cs="Times New Roman" w:eastAsia="Times New Roman" w:hAnsi="Times New Roman"/>
          <w:sz w:val="18"/>
          <w:szCs w:val="18"/>
          <w:color w:val="auto"/>
        </w:rPr>
      </w:pPr>
    </w:p>
    <w:p>
      <w:pPr>
        <w:ind w:left="-40" w:right="340" w:firstLine="436"/>
        <w:spacing w:after="0" w:line="266" w:lineRule="auto"/>
        <w:tabs>
          <w:tab w:leader="none" w:pos="6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67" w:lineRule="exact"/>
        <w:rPr>
          <w:rFonts w:ascii="Times New Roman" w:cs="Times New Roman" w:eastAsia="Times New Roman" w:hAnsi="Times New Roman"/>
          <w:sz w:val="18"/>
          <w:szCs w:val="18"/>
          <w:color w:val="auto"/>
        </w:rPr>
      </w:pPr>
    </w:p>
    <w:p>
      <w:pPr>
        <w:ind w:left="-40" w:firstLine="436"/>
        <w:spacing w:after="0" w:line="261"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Counsel Legal Opinion</w:t>
      </w:r>
      <w:r>
        <w:rPr>
          <w:rFonts w:ascii="Times New Roman" w:cs="Times New Roman" w:eastAsia="Times New Roman" w:hAnsi="Times New Roman"/>
          <w:sz w:val="18"/>
          <w:szCs w:val="18"/>
          <w:color w:val="auto"/>
        </w:rPr>
        <w:t>. The Agent shall have received from Covington &amp; Burling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spacing w:after="0" w:line="71" w:lineRule="exact"/>
        <w:rPr>
          <w:rFonts w:ascii="Times New Roman" w:cs="Times New Roman" w:eastAsia="Times New Roman" w:hAnsi="Times New Roman"/>
          <w:sz w:val="18"/>
          <w:szCs w:val="18"/>
          <w:color w:val="auto"/>
        </w:rPr>
      </w:pPr>
    </w:p>
    <w:p>
      <w:pPr>
        <w:ind w:left="-40" w:right="240" w:firstLine="436"/>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The Agent shall have received the Comfort Letter required to be delivered pursuant to Section 7(p) on or before the date on which such delivery of such Comfort Letter is required pursuant to Section 7(p).</w:t>
      </w:r>
    </w:p>
    <w:p>
      <w:pPr>
        <w:spacing w:after="0" w:line="53" w:lineRule="exact"/>
        <w:rPr>
          <w:rFonts w:ascii="Times New Roman" w:cs="Times New Roman" w:eastAsia="Times New Roman" w:hAnsi="Times New Roman"/>
          <w:sz w:val="18"/>
          <w:szCs w:val="18"/>
          <w:color w:val="auto"/>
        </w:rPr>
      </w:pPr>
    </w:p>
    <w:p>
      <w:pPr>
        <w:ind w:left="-40" w:right="20" w:firstLine="436"/>
        <w:spacing w:after="0" w:line="282" w:lineRule="auto"/>
        <w:tabs>
          <w:tab w:leader="none" w:pos="6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The Agent shall have received the certificate required to be delivered pursuant to Section 7(m) on or before the date on which delivery of such certificate is required pursuant to Section 7(m).</w:t>
      </w:r>
    </w:p>
    <w:p>
      <w:pPr>
        <w:spacing w:after="0" w:line="53" w:lineRule="exact"/>
        <w:rPr>
          <w:rFonts w:ascii="Times New Roman" w:cs="Times New Roman" w:eastAsia="Times New Roman" w:hAnsi="Times New Roman"/>
          <w:sz w:val="18"/>
          <w:szCs w:val="18"/>
          <w:color w:val="auto"/>
        </w:rPr>
      </w:pPr>
    </w:p>
    <w:p>
      <w:pPr>
        <w:ind w:left="-40" w:right="60" w:firstLine="436"/>
        <w:spacing w:after="0" w:line="255" w:lineRule="auto"/>
        <w:tabs>
          <w:tab w:leader="none" w:pos="6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0" w:right="380" w:firstLine="436"/>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The Common Stock shall be duly listed, and admitted and authorized for trading, subject to official notice of issuance, on Nasdaq. Trading in the Common Stock shall not have been suspended on, and the Common Stock shall not have been delisted from, Nasdaq.</w:t>
      </w:r>
    </w:p>
    <w:p>
      <w:pPr>
        <w:spacing w:after="0" w:line="53" w:lineRule="exact"/>
        <w:rPr>
          <w:rFonts w:ascii="Times New Roman" w:cs="Times New Roman" w:eastAsia="Times New Roman" w:hAnsi="Times New Roman"/>
          <w:sz w:val="18"/>
          <w:szCs w:val="18"/>
          <w:color w:val="auto"/>
        </w:rPr>
      </w:pPr>
    </w:p>
    <w:p>
      <w:pPr>
        <w:ind w:left="-40" w:right="360" w:firstLine="436"/>
        <w:spacing w:after="0" w:line="258" w:lineRule="auto"/>
        <w:tabs>
          <w:tab w:leader="none" w:pos="6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80" w:top="270" w:right="479" w:bottom="1440" w:gutter="0" w:footer="0" w:header="0"/>
        </w:sectPr>
      </w:pPr>
    </w:p>
    <w:bookmarkStart w:id="30" w:name="page31"/>
    <w:bookmarkEnd w:id="30"/>
    <w:p>
      <w:pPr>
        <w:ind w:left="4" w:right="60" w:firstLine="436"/>
        <w:spacing w:after="0" w:line="266" w:lineRule="auto"/>
        <w:tabs>
          <w:tab w:leader="none" w:pos="74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Act Filings Made</w:t>
      </w:r>
      <w:r>
        <w:rPr>
          <w:rFonts w:ascii="Times New Roman" w:cs="Times New Roman" w:eastAsia="Times New Roman" w:hAnsi="Times New Roman"/>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6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Either (i) the Placement Shares shall have been approved for listing on Nasdaq, subject only to notice of issuance, or</w:t>
      </w:r>
    </w:p>
    <w:p>
      <w:pPr>
        <w:spacing w:after="0" w:line="27" w:lineRule="exact"/>
        <w:rPr>
          <w:rFonts w:ascii="Times New Roman" w:cs="Times New Roman" w:eastAsia="Times New Roman" w:hAnsi="Times New Roman"/>
          <w:sz w:val="18"/>
          <w:szCs w:val="18"/>
          <w:color w:val="auto"/>
        </w:rPr>
      </w:pPr>
    </w:p>
    <w:p>
      <w:pPr>
        <w:ind w:left="4" w:right="540" w:hanging="4"/>
        <w:spacing w:after="0" w:line="260" w:lineRule="auto"/>
        <w:tabs>
          <w:tab w:leader="none" w:pos="2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an application for listing of the Placement Shares on Nasdaq at, or prior to, the First Placement Notice Date and Nasdaq shall have reviewed such application and not provided any objections thereto.</w:t>
      </w:r>
    </w:p>
    <w:p>
      <w:pPr>
        <w:spacing w:after="0" w:line="73"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FINRA shall have raised no objection to the terms of the offering contemplated hereby and the amount of compensation allowable or payable to the Agent as described in the Prospectus.</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 to terminate this Agreement pursuant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11(a).</w:t>
      </w:r>
    </w:p>
    <w:p>
      <w:pPr>
        <w:spacing w:after="0" w:line="99" w:lineRule="exact"/>
        <w:rPr>
          <w:sz w:val="20"/>
          <w:szCs w:val="20"/>
          <w:color w:val="auto"/>
        </w:rPr>
      </w:pPr>
    </w:p>
    <w:p>
      <w:pPr>
        <w:ind w:left="624" w:hanging="184"/>
        <w:spacing w:after="0"/>
        <w:tabs>
          <w:tab w:leader="none" w:pos="6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36"/>
        <w:spacing w:after="0" w:line="252" w:lineRule="auto"/>
        <w:tabs>
          <w:tab w:leader="none" w:pos="6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or (y) the omission or alleged omission to state in any such document a material fact required to be stated therein or necessary to make the statements therein (solely with respect to the Prospectus,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1" w:name="page32"/>
    <w:bookmarkEnd w:id="31"/>
    <w:p>
      <w:pPr>
        <w:ind w:left="-40" w:firstLine="436"/>
        <w:spacing w:after="0" w:line="25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Indemnification</w:t>
      </w:r>
      <w:r>
        <w:rPr>
          <w:rFonts w:ascii="Times New Roman" w:cs="Times New Roman" w:eastAsia="Times New Roman" w:hAnsi="Times New Roman"/>
          <w:sz w:val="18"/>
          <w:szCs w:val="18"/>
          <w:color w:val="auto"/>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79" w:lineRule="exact"/>
        <w:rPr>
          <w:rFonts w:ascii="Times New Roman" w:cs="Times New Roman" w:eastAsia="Times New Roman" w:hAnsi="Times New Roman"/>
          <w:sz w:val="18"/>
          <w:szCs w:val="18"/>
          <w:color w:val="auto"/>
        </w:rPr>
      </w:pPr>
    </w:p>
    <w:p>
      <w:pPr>
        <w:ind w:left="-40" w:right="20" w:firstLine="436"/>
        <w:spacing w:after="0" w:line="251" w:lineRule="auto"/>
        <w:tabs>
          <w:tab w:leader="none" w:pos="6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480" w:top="270" w:right="479" w:bottom="1440" w:gutter="0" w:footer="0" w:header="0"/>
        </w:sectPr>
      </w:pPr>
    </w:p>
    <w:bookmarkStart w:id="32" w:name="page33"/>
    <w:bookmarkEnd w:id="32"/>
    <w:p>
      <w:pPr>
        <w:ind w:left="4" w:right="420" w:firstLine="436"/>
        <w:spacing w:after="0" w:line="273" w:lineRule="auto"/>
        <w:tabs>
          <w:tab w:leader="none" w:pos="699"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Without Consent if Failure to Reimburse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If an indemnified party shall have requested an indemnifying party to reimburse the indemnified party for reasonable and documented fees and expenses of counsel for which it is entitled to be reimbursed under this Section 9, such indemnifying party agrees that it shall be liable for any settlement of the nature contemplated by Section 9(a) effected without its written consent if</w:t>
      </w:r>
    </w:p>
    <w:p>
      <w:pPr>
        <w:spacing w:after="0" w:line="1" w:lineRule="exact"/>
        <w:rPr>
          <w:rFonts w:ascii="Times New Roman" w:cs="Times New Roman" w:eastAsia="Times New Roman" w:hAnsi="Times New Roman"/>
          <w:sz w:val="17"/>
          <w:szCs w:val="17"/>
          <w:color w:val="auto"/>
        </w:rPr>
      </w:pPr>
    </w:p>
    <w:p>
      <w:pPr>
        <w:ind w:left="4" w:right="80" w:hanging="4"/>
        <w:spacing w:after="0" w:line="255" w:lineRule="auto"/>
        <w:tabs>
          <w:tab w:leader="none" w:pos="21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77" w:lineRule="exact"/>
        <w:rPr>
          <w:rFonts w:ascii="Times New Roman" w:cs="Times New Roman" w:eastAsia="Times New Roman" w:hAnsi="Times New Roman"/>
          <w:sz w:val="18"/>
          <w:szCs w:val="18"/>
          <w:color w:val="auto"/>
        </w:rPr>
      </w:pPr>
    </w:p>
    <w:p>
      <w:pPr>
        <w:ind w:left="4" w:firstLine="436"/>
        <w:spacing w:after="0" w:line="251" w:lineRule="auto"/>
        <w:tabs>
          <w:tab w:leader="none" w:pos="68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w:t>
      </w:r>
    </w:p>
    <w:p>
      <w:pPr>
        <w:spacing w:after="0" w:line="1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8" w:right="459" w:bottom="1440" w:gutter="0" w:footer="0" w:header="0"/>
        </w:sectPr>
      </w:pPr>
    </w:p>
    <w:bookmarkStart w:id="33" w:name="page34"/>
    <w:bookmarkEnd w:id="33"/>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84" w:lineRule="exact"/>
        <w:rPr>
          <w:sz w:val="20"/>
          <w:szCs w:val="20"/>
          <w:color w:val="auto"/>
        </w:rPr>
      </w:pPr>
    </w:p>
    <w:p>
      <w:pPr>
        <w:ind w:right="200" w:firstLine="436"/>
        <w:spacing w:after="0" w:line="258" w:lineRule="auto"/>
        <w:tabs>
          <w:tab w:leader="none" w:pos="71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2"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the right, by giving notice as hereinafter specified, at any time to terminate this Agreement if (i) any Material Adverse Effect, or any development that would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87"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four business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4" w:name="page35"/>
    <w:bookmarkEnd w:id="34"/>
    <w:p>
      <w:pPr>
        <w:ind w:firstLine="436"/>
        <w:spacing w:after="0" w:line="261"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71"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Section 7(g), Section 9, Section 10, Section 11(f), Section 16 and Section 17 hereof shall remain in full force and effect notwithstanding such termination.</w:t>
      </w:r>
    </w:p>
    <w:p>
      <w:pPr>
        <w:spacing w:after="0" w:line="67" w:lineRule="exact"/>
        <w:rPr>
          <w:rFonts w:ascii="Times New Roman" w:cs="Times New Roman" w:eastAsia="Times New Roman" w:hAnsi="Times New Roman"/>
          <w:sz w:val="18"/>
          <w:szCs w:val="18"/>
          <w:color w:val="auto"/>
        </w:rPr>
      </w:pPr>
    </w:p>
    <w:p>
      <w:pPr>
        <w:ind w:right="40" w:firstLine="436"/>
        <w:spacing w:after="0" w:line="266"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Sections 11(a), (b), (c), or (d)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termination by mutual agreement shall in all cases be deemed to provide that Section 7(g), Section 9, Section 10, Section 11(f), Section 16 and Section 17 shall remain in full force and effect.</w:t>
      </w:r>
    </w:p>
    <w:p>
      <w:pPr>
        <w:spacing w:after="0" w:line="65" w:lineRule="exact"/>
        <w:rPr>
          <w:rFonts w:ascii="Times New Roman" w:cs="Times New Roman" w:eastAsia="Times New Roman" w:hAnsi="Times New Roman"/>
          <w:sz w:val="18"/>
          <w:szCs w:val="18"/>
          <w:color w:val="auto"/>
        </w:rPr>
      </w:pPr>
    </w:p>
    <w:p>
      <w:pPr>
        <w:ind w:right="100" w:firstLine="436"/>
        <w:spacing w:after="0" w:line="257" w:lineRule="auto"/>
        <w:tabs>
          <w:tab w:leader="none" w:pos="6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remain obligated to reimburse the Agent’s expenses incurred prior to termination pursuant to Section 7(g).</w:t>
      </w:r>
    </w:p>
    <w:p>
      <w:pPr>
        <w:spacing w:after="0" w:line="76" w:lineRule="exact"/>
        <w:rPr>
          <w:sz w:val="20"/>
          <w:szCs w:val="20"/>
          <w:color w:val="auto"/>
        </w:rPr>
      </w:pPr>
    </w:p>
    <w:p>
      <w:pPr>
        <w:ind w:right="240" w:firstLine="436"/>
        <w:spacing w:after="0" w:line="282" w:lineRule="auto"/>
        <w:tabs>
          <w:tab w:leader="none" w:pos="7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Leerink Partners LLC</w:t>
      </w:r>
    </w:p>
    <w:p>
      <w:pPr>
        <w:ind w:left="440"/>
        <w:spacing w:after="0" w:line="196" w:lineRule="auto"/>
        <w:rPr>
          <w:sz w:val="20"/>
          <w:szCs w:val="20"/>
          <w:color w:val="auto"/>
        </w:rPr>
      </w:pPr>
      <w:r>
        <w:rPr>
          <w:rFonts w:ascii="Times New Roman" w:cs="Times New Roman" w:eastAsia="Times New Roman" w:hAnsi="Times New Roman"/>
          <w:sz w:val="18"/>
          <w:szCs w:val="18"/>
          <w:color w:val="auto"/>
        </w:rPr>
        <w:t>1301 Avenue of the Americas,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Peter M. Fry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Leerink Partners LLC</w:t>
      </w:r>
    </w:p>
    <w:p>
      <w:pPr>
        <w:ind w:left="440"/>
        <w:spacing w:after="0" w:line="196" w:lineRule="auto"/>
        <w:rPr>
          <w:sz w:val="20"/>
          <w:szCs w:val="20"/>
          <w:color w:val="auto"/>
        </w:rPr>
      </w:pPr>
      <w:r>
        <w:rPr>
          <w:rFonts w:ascii="Times New Roman" w:cs="Times New Roman" w:eastAsia="Times New Roman" w:hAnsi="Times New Roman"/>
          <w:sz w:val="18"/>
          <w:szCs w:val="18"/>
          <w:color w:val="auto"/>
        </w:rPr>
        <w:t>1301 Avenue of the Americas,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1500 District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Burlington, MA 01803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35" w:name="page36"/>
    <w:bookmarkEnd w:id="3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copies (which shall not constitute notice)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Cooley LLP</w:t>
      </w:r>
    </w:p>
    <w:p>
      <w:pPr>
        <w:ind w:left="444"/>
        <w:spacing w:after="0" w:line="196" w:lineRule="auto"/>
        <w:rPr>
          <w:sz w:val="20"/>
          <w:szCs w:val="20"/>
          <w:color w:val="auto"/>
        </w:rPr>
      </w:pPr>
      <w:r>
        <w:rPr>
          <w:rFonts w:ascii="Times New Roman" w:cs="Times New Roman" w:eastAsia="Times New Roman" w:hAnsi="Times New Roman"/>
          <w:sz w:val="18"/>
          <w:szCs w:val="18"/>
          <w:color w:val="auto"/>
        </w:rPr>
        <w:t>500 Boylston Street,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Boston, MA 02116</w:t>
      </w:r>
    </w:p>
    <w:p>
      <w:pPr>
        <w:spacing w:after="0" w:line="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Ryan Sansom</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w:t>
      </w:r>
    </w:p>
    <w:p>
      <w:pPr>
        <w:spacing w:after="0" w:line="2" w:lineRule="exact"/>
        <w:rPr>
          <w:sz w:val="20"/>
          <w:szCs w:val="20"/>
          <w:color w:val="auto"/>
        </w:rPr>
      </w:pPr>
    </w:p>
    <w:p>
      <w:pPr>
        <w:ind w:left="4" w:hanging="4"/>
        <w:spacing w:after="0" w:line="255" w:lineRule="auto"/>
        <w:tabs>
          <w:tab w:leader="none" w:pos="3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Nasdaq and commercial banks in the City of New York are open for business.</w:t>
      </w:r>
    </w:p>
    <w:p>
      <w:pPr>
        <w:spacing w:after="0" w:line="18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Notice</w:t>
      </w:r>
      <w:r>
        <w:rPr>
          <w:rFonts w:ascii="Times New Roman" w:cs="Times New Roman" w:eastAsia="Times New Roman" w:hAnsi="Times New Roman"/>
          <w:sz w:val="18"/>
          <w:szCs w:val="18"/>
          <w:color w:val="auto"/>
        </w:rPr>
        <w:t>”), which shall be sent to the requesting party within 10 days of receipt of the written request for Nonelectronic Notice.</w:t>
      </w:r>
    </w:p>
    <w:p>
      <w:pPr>
        <w:spacing w:after="0" w:line="75" w:lineRule="exact"/>
        <w:rPr>
          <w:sz w:val="20"/>
          <w:szCs w:val="20"/>
          <w:color w:val="auto"/>
        </w:rPr>
      </w:pPr>
    </w:p>
    <w:p>
      <w:pPr>
        <w:ind w:left="4" w:right="40" w:firstLine="436"/>
        <w:spacing w:after="0" w:line="254" w:lineRule="auto"/>
        <w:tabs>
          <w:tab w:leader="none" w:pos="71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Agent may assign its rights and obligations hereunder to an affiliate of the Agent without obtaining the Company’s consent, so long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affiliate is a registered broker-dealer.</w:t>
      </w:r>
    </w:p>
    <w:p>
      <w:pPr>
        <w:spacing w:after="0" w:line="83"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71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53" w:lineRule="exact"/>
        <w:rPr>
          <w:rFonts w:ascii="Times New Roman" w:cs="Times New Roman" w:eastAsia="Times New Roman" w:hAnsi="Times New Roman"/>
          <w:sz w:val="18"/>
          <w:szCs w:val="18"/>
          <w:color w:val="auto"/>
        </w:rPr>
      </w:pPr>
    </w:p>
    <w:p>
      <w:pPr>
        <w:ind w:left="4" w:right="120" w:firstLine="436"/>
        <w:spacing w:after="0" w:line="255" w:lineRule="auto"/>
        <w:tabs>
          <w:tab w:leader="none" w:pos="71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of this Agreement may be amended by either party from time to time by sending a notice containing a revised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to the other party in the manner provided in Section 12 and, upon such amendment, all references herein to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shall automatically be deemed to refer to such amended</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36" w:name="page37"/>
    <w:bookmarkEnd w:id="36"/>
    <w:p>
      <w:pPr>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r>
        <w:rPr>
          <w:rFonts w:ascii="Times New Roman" w:cs="Times New Roman" w:eastAsia="Times New Roman" w:hAnsi="Times New Roman"/>
          <w:sz w:val="18"/>
          <w:szCs w:val="18"/>
          <w:color w:val="auto"/>
        </w:rPr>
        <w:t>. In the event that any one or more of the provisions contained herein, or the application thereof in any circumstance, is held invalid,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75" w:lineRule="exact"/>
        <w:rPr>
          <w:sz w:val="20"/>
          <w:szCs w:val="20"/>
          <w:color w:val="auto"/>
        </w:rPr>
      </w:pPr>
    </w:p>
    <w:p>
      <w:pPr>
        <w:ind w:right="100" w:firstLine="436"/>
        <w:spacing w:after="0" w:line="257"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78" w:lineRule="exact"/>
        <w:rPr>
          <w:rFonts w:ascii="Times New Roman" w:cs="Times New Roman" w:eastAsia="Times New Roman" w:hAnsi="Times New Roman"/>
          <w:sz w:val="18"/>
          <w:szCs w:val="18"/>
          <w:color w:val="auto"/>
        </w:rPr>
      </w:pPr>
    </w:p>
    <w:p>
      <w:pPr>
        <w:jc w:val="both"/>
        <w:ind w:right="20" w:firstLine="436"/>
        <w:spacing w:after="0" w:line="270" w:lineRule="auto"/>
        <w:tabs>
          <w:tab w:leader="none" w:pos="71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w:t>
      </w:r>
    </w:p>
    <w:p>
      <w:pPr>
        <w:spacing w:after="0" w:line="2" w:lineRule="exact"/>
        <w:rPr>
          <w:rFonts w:ascii="Times New Roman" w:cs="Times New Roman" w:eastAsia="Times New Roman" w:hAnsi="Times New Roman"/>
          <w:sz w:val="17"/>
          <w:szCs w:val="17"/>
          <w:color w:val="auto"/>
        </w:rPr>
      </w:pP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80"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and exhibit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defined in the singular shall have a comparable meaning when used in the plural, and vice versa.</w:t>
      </w:r>
    </w:p>
    <w:p>
      <w:pPr>
        <w:spacing w:after="0" w:line="117" w:lineRule="exact"/>
        <w:rPr>
          <w:rFonts w:ascii="Times New Roman" w:cs="Times New Roman" w:eastAsia="Times New Roman" w:hAnsi="Times New Roman"/>
          <w:sz w:val="18"/>
          <w:szCs w:val="18"/>
          <w:color w:val="auto"/>
        </w:rPr>
      </w:pPr>
    </w:p>
    <w:p>
      <w:pPr>
        <w:ind w:right="680" w:firstLine="436"/>
        <w:spacing w:after="0" w:line="282"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“hereto,” “herein” and “hereunder” and words of similar import, when used in this Agreement, shall refer to this Agreement as a whole and not to any particular provision of this Agreement.</w:t>
      </w:r>
    </w:p>
    <w:p>
      <w:pPr>
        <w:spacing w:after="0" w:line="53"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word “include,” “includes” or “including” is used in this Agreement, it shall be deemed to be followed by the words “without limitation.”</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gender shall include each other gender.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66" w:right="499" w:bottom="1440" w:gutter="0" w:footer="0" w:header="0"/>
        </w:sectPr>
      </w:pPr>
    </w:p>
    <w:bookmarkStart w:id="37" w:name="page38"/>
    <w:bookmarkEnd w:id="37"/>
    <w:p>
      <w:pPr>
        <w:jc w:val="both"/>
        <w:ind w:right="140" w:firstLine="436"/>
        <w:spacing w:after="0" w:line="266" w:lineRule="auto"/>
        <w:tabs>
          <w:tab w:leader="none" w:pos="6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6" w:lineRule="exact"/>
        <w:rPr>
          <w:sz w:val="20"/>
          <w:szCs w:val="20"/>
          <w:color w:val="auto"/>
        </w:rPr>
      </w:pPr>
    </w:p>
    <w:p>
      <w:pPr>
        <w:ind w:firstLine="436"/>
        <w:spacing w:after="0" w:line="254" w:lineRule="auto"/>
        <w:tabs>
          <w:tab w:leader="none" w:pos="7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 w:cs="Times New Roman" w:eastAsia="Times New Roman" w:hAnsi="Times New Roman"/>
          <w:sz w:val="18"/>
          <w:szCs w:val="18"/>
          <w:b w:val="1"/>
          <w:bCs w:val="1"/>
          <w:u w:val="single" w:color="auto"/>
          <w:color w:val="auto"/>
        </w:rPr>
        <w:t>Permitted Free Writing Prospectus</w:t>
      </w:r>
      <w:r>
        <w:rPr>
          <w:rFonts w:ascii="Times New Roman" w:cs="Times New Roman" w:eastAsia="Times New Roman" w:hAnsi="Times New Roman"/>
          <w:sz w:val="18"/>
          <w:szCs w:val="18"/>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117" w:lineRule="exact"/>
        <w:rPr>
          <w:sz w:val="20"/>
          <w:szCs w:val="20"/>
          <w:color w:val="auto"/>
        </w:rPr>
      </w:pPr>
    </w:p>
    <w:p>
      <w:pPr>
        <w:ind w:right="20" w:firstLine="436"/>
        <w:spacing w:after="0" w:line="258" w:lineRule="auto"/>
        <w:tabs>
          <w:tab w:leader="none" w:pos="6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been retained to act as sales agent in connection with the sale of the Placement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75" w:lineRule="exact"/>
        <w:rPr>
          <w:rFonts w:ascii="Times New Roman" w:cs="Times New Roman" w:eastAsia="Times New Roman" w:hAnsi="Times New Roman"/>
          <w:sz w:val="18"/>
          <w:szCs w:val="18"/>
          <w:color w:val="auto"/>
        </w:rPr>
      </w:pPr>
    </w:p>
    <w:p>
      <w:pPr>
        <w:ind w:right="460" w:firstLine="436"/>
        <w:spacing w:after="0" w:line="282"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53"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53" w:lineRule="exact"/>
        <w:rPr>
          <w:rFonts w:ascii="Times New Roman" w:cs="Times New Roman" w:eastAsia="Times New Roman" w:hAnsi="Times New Roman"/>
          <w:sz w:val="18"/>
          <w:szCs w:val="18"/>
          <w:color w:val="auto"/>
        </w:rPr>
      </w:pPr>
    </w:p>
    <w:p>
      <w:pPr>
        <w:jc w:val="both"/>
        <w:ind w:right="220" w:firstLine="436"/>
        <w:spacing w:after="0" w:line="266"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67" w:lineRule="exact"/>
        <w:rPr>
          <w:rFonts w:ascii="Times New Roman" w:cs="Times New Roman" w:eastAsia="Times New Roman" w:hAnsi="Times New Roman"/>
          <w:sz w:val="18"/>
          <w:szCs w:val="18"/>
          <w:color w:val="auto"/>
        </w:rPr>
      </w:pPr>
    </w:p>
    <w:p>
      <w:pPr>
        <w:ind w:right="160" w:firstLine="436"/>
        <w:spacing w:after="0" w:line="261" w:lineRule="auto"/>
        <w:tabs>
          <w:tab w:leader="none" w:pos="6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spacing w:after="0" w:line="72" w:lineRule="exact"/>
        <w:rPr>
          <w:sz w:val="20"/>
          <w:szCs w:val="20"/>
          <w:color w:val="auto"/>
        </w:rPr>
      </w:pPr>
    </w:p>
    <w:p>
      <w:pPr>
        <w:ind w:right="60" w:firstLine="436"/>
        <w:spacing w:after="0" w:line="261" w:lineRule="auto"/>
        <w:tabs>
          <w:tab w:leader="none" w:pos="71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38" w:name="page39"/>
    <w:bookmarkEnd w:id="38"/>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right="20" w:hanging="4"/>
        <w:spacing w:after="0" w:line="253" w:lineRule="auto"/>
        <w:tabs>
          <w:tab w:leader="none" w:pos="3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80"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71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79"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71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spacing w:after="0" w:line="63" w:lineRule="exact"/>
        <w:rPr>
          <w:rFonts w:ascii="Times New Roman" w:cs="Times New Roman" w:eastAsia="Times New Roman" w:hAnsi="Times New Roman"/>
          <w:sz w:val="18"/>
          <w:szCs w:val="18"/>
          <w:color w:val="auto"/>
        </w:rPr>
      </w:pPr>
    </w:p>
    <w:p>
      <w:pPr>
        <w:ind w:left="4" w:firstLine="436"/>
        <w:spacing w:after="0" w:line="286" w:lineRule="auto"/>
        <w:tabs>
          <w:tab w:leader="none" w:pos="71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Information</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b w:val="1"/>
          <w:bCs w:val="1"/>
          <w:u w:val="single" w:color="auto"/>
          <w:color w:val="auto"/>
        </w:rPr>
        <w:t>Agent’s Information</w:t>
      </w:r>
      <w:r>
        <w:rPr>
          <w:rFonts w:ascii="Times New Roman" w:cs="Times New Roman" w:eastAsia="Times New Roman" w:hAnsi="Times New Roman"/>
          <w:sz w:val="18"/>
          <w:szCs w:val="18"/>
          <w:color w:val="auto"/>
        </w:rPr>
        <w:t>” means solely the following information in the Registration Statement and the Prospectus: the last sentence of paragraph 8 under the heading “Plan of Distribution” in the Prospectus Supplement.</w:t>
      </w:r>
    </w:p>
    <w:p>
      <w:pPr>
        <w:spacing w:after="0" w:line="159"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3"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All references in this Agreement to “supplements” to the Prospectus shall include any supplements, “wrappers” or similar materials prepared in connection with any offering, sale or private placement of any Placement Shares by the Agent outside of the United States.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[Remainder of Page Intentionally Blank]</w:t>
      </w:r>
    </w:p>
    <w:p>
      <w:pPr>
        <w:sectPr>
          <w:pgSz w:w="11900" w:h="16838" w:orient="portrait"/>
          <w:cols w:equalWidth="0" w:num="1">
            <w:col w:w="9019"/>
          </w:cols>
          <w:pgMar w:left="1440" w:top="266" w:right="1440"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266" w:right="1440" w:bottom="1440" w:gutter="0" w:footer="0" w:header="0"/>
          <w:type w:val="continuous"/>
        </w:sectPr>
      </w:pPr>
    </w:p>
    <w:bookmarkStart w:id="40" w:name="page41"/>
    <w:bookmarkEnd w:id="4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Remy Luthringer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Remy Luthringer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ACCEPTED as of the date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first-above written:</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LEERINK PARTNERS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M.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Peter M. Fry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Head of Alternative Equities</w:t>
      </w:r>
    </w:p>
    <w:p>
      <w:pPr>
        <w:sectPr>
          <w:pgSz w:w="11900" w:h="16838" w:orient="portrait"/>
          <w:cols w:equalWidth="0" w:num="1">
            <w:col w:w="10980"/>
          </w:cols>
          <w:pgMar w:left="440" w:top="270" w:right="4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FORM OF PLACEMENT NOTICE</w:t>
            </w:r>
          </w:p>
        </w:tc>
      </w:tr>
      <w:tr>
        <w:trPr>
          <w:trHeight w:val="46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1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Minerva Neurosciences, Inc.</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Leerink Partners LLC</w:t>
            </w:r>
          </w:p>
        </w:tc>
        <w:tc>
          <w:tcPr>
            <w:tcW w:w="1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5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Leerink Partners—At the Market Offering—Placement Notice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dated May 27, 2026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Minerva Neurosciences,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Leerink Partners LLC (“</w:t>
      </w:r>
      <w:r>
        <w:rPr>
          <w:rFonts w:ascii="Times New Roman" w:cs="Times New Roman" w:eastAsia="Times New Roman" w:hAnsi="Times New Roman"/>
          <w:sz w:val="18"/>
          <w:szCs w:val="18"/>
          <w:b w:val="1"/>
          <w:bCs w:val="1"/>
          <w:u w:val="single" w:color="auto"/>
          <w:color w:val="auto"/>
        </w:rPr>
        <w:t>Leerink Partners</w:t>
      </w:r>
      <w:r>
        <w:rPr>
          <w:rFonts w:ascii="Times New Roman" w:cs="Times New Roman" w:eastAsia="Times New Roman" w:hAnsi="Times New Roman"/>
          <w:sz w:val="18"/>
          <w:szCs w:val="18"/>
          <w:color w:val="auto"/>
        </w:rPr>
        <w:t>”), I hereby request on behalf of the Company that Leerink Partners sell up to [ ] shares of common stock, $0.0001 par value per share, of the Company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xml:space="preserve">”), at a minimum market price of $    per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w:t>
      </w:r>
    </w:p>
    <w:p>
      <w:pPr>
        <w:sectPr>
          <w:pgSz w:w="11900" w:h="16838" w:orient="portrait"/>
          <w:cols w:equalWidth="0" w:num="1">
            <w:col w:w="11020"/>
          </w:cols>
          <w:pgMar w:left="440" w:top="266"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Leerink Partners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Company shall pay Leerink Partners compensation in cash equal to 3.0% of the gross proceeds from the sales of Placement Shares pursuant to the terms of the Sales Agreement of which this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forms a part.</w:t>
      </w:r>
    </w:p>
    <w:p>
      <w:pPr>
        <w:sectPr>
          <w:pgSz w:w="11900" w:h="16838" w:orient="portrait"/>
          <w:cols w:equalWidth="0" w:num="1">
            <w:col w:w="11020"/>
          </w:cols>
          <w:pgMar w:left="440" w:top="266"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7(m)</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ectPr>
          <w:pgSz w:w="11900" w:h="16838" w:orient="portrait"/>
          <w:cols w:equalWidth="0" w:num="1">
            <w:col w:w="10020"/>
          </w:cols>
          <w:pgMar w:left="1440" w:top="266"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165860" cy="377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Sansom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+1 617 937 2335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rsansom@cooley.com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 District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 MA 01803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acted as counsel to Minerva Neurosciences,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offering by the Company of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its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having an aggregate offering price of up to $75,000,000 pursuant to a Registration Statement on Form S-3 (File No. 333-294203)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prospectus supplement relating to the Shares dated May 27, 2026 filed with the Commission pursuant to Rule 424(b)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Shares are to be sold by the Company in accordance with the Sales Agreement, dated May 27, 2026 by and between the Company and Leerink Partners LLC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as described in the Prospectus.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(i) Registration Statement and the Prospectus, (ii) the Agreement, (iii) the Company’s certificate of incorporation and bylaws, each as currently in effect, and (iv)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(ii) that no more than 20,000,000 Shares will be sold under the Agreement pursuant to the Prospectus and (iii) that the price at which the Shares are sold will equal or exceed the par value of the Shares. We express no opinion to the extent that future issuances of securities of the Company, anti-dilution adjustments to outstanding securities of the Company or other matters cause the number of shares of Common Stock issuable under the Agreement to exceed the number of shares of Common Stock available for issuance by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500 Boylston Street   Boston, MA   02116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(617) 937-2300 f: (617) 937-2400 cooley.com</w:t>
      </w:r>
    </w:p>
    <w:p>
      <w:pPr>
        <w:sectPr>
          <w:pgSz w:w="11900" w:h="16838" w:orient="portrait"/>
          <w:cols w:equalWidth="0" w:num="1">
            <w:col w:w="11020"/>
          </w:cols>
          <w:pgMar w:left="440" w:top="117"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Minerva Neurosciences,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opinion is expressed solely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the basis of the foregoing, in reliance thereon, and subject to the qualifications set forth herein, we are of the opinion that the Shares, when sold and issued against payment therefor in accordance with the Agreement, the Registration Statement and the Prospectus, will be validly issued, fully paid and nonassessable.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heading “Legal Matters” in the Prospectus and to the filing of this opinion as an exhibit to the Company’s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Ryan Sansom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Ryan Sansom</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Cooley LLP   500 Boylston Street   Boston, MA   02116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 (617) 937-2300 f: (617) 937-2400 cooley.com</w:t>
      </w:r>
    </w:p>
    <w:sectPr>
      <w:pgSz w:w="11900" w:h="16838" w:orient="portrait"/>
      <w:cols w:equalWidth="0" w:num="1">
        <w:col w:w="10980"/>
      </w:cols>
      <w:pgMar w:left="440" w:top="86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2"/>
    </w:lvl>
  </w:abstractNum>
  <w:abstractNum w:abstractNumId="4">
    <w:nsid w:val="5072367"/>
    <w:multiLevelType w:val="hybridMultilevel"/>
    <w:lvl w:ilvl="0">
      <w:lvlJc w:val="left"/>
      <w:lvlText w:val="%1."/>
      <w:numFmt w:val="decimal"/>
      <w:start w:val="3"/>
    </w:lvl>
  </w:abstractNum>
  <w:abstractNum w:abstractNumId="5">
    <w:nsid w:val="3804823E"/>
    <w:multiLevelType w:val="hybridMultilevel"/>
    <w:lvl w:ilvl="0">
      <w:lvlJc w:val="left"/>
      <w:lvlText w:val="(%1)"/>
      <w:numFmt w:val="lowerLetter"/>
      <w:start w:val="1"/>
    </w:lvl>
  </w:abstractNum>
  <w:abstractNum w:abstractNumId="6">
    <w:nsid w:val="77465F01"/>
    <w:multiLevelType w:val="hybridMultilevel"/>
    <w:lvl w:ilvl="0">
      <w:lvlJc w:val="left"/>
      <w:lvlText w:val="(%1)"/>
      <w:numFmt w:val="lowerLetter"/>
      <w:start w:val="2"/>
    </w:lvl>
  </w:abstractNum>
  <w:abstractNum w:abstractNumId="7">
    <w:nsid w:val="7724C67E"/>
    <w:multiLevelType w:val="hybridMultilevel"/>
    <w:lvl w:ilvl="0">
      <w:lvlJc w:val="left"/>
      <w:lvlText w:val="%1."/>
      <w:numFmt w:val="decimal"/>
      <w:start w:val="5"/>
    </w:lvl>
  </w:abstractNum>
  <w:abstractNum w:abstractNumId="8">
    <w:nsid w:val="5C482A97"/>
    <w:multiLevelType w:val="hybridMultilevel"/>
    <w:lvl w:ilvl="0">
      <w:lvlJc w:val="left"/>
      <w:lvlText w:val="(%1)"/>
      <w:numFmt w:val="lowerLetter"/>
      <w:start w:val="1"/>
    </w:lvl>
  </w:abstractNum>
  <w:abstractNum w:abstractNumId="9">
    <w:nsid w:val="2463B9EA"/>
    <w:multiLevelType w:val="hybridMultilevel"/>
    <w:lvl w:ilvl="0">
      <w:lvlJc w:val="left"/>
      <w:lvlText w:val="(%1)"/>
      <w:numFmt w:val="lowerLetter"/>
      <w:start w:val="3"/>
    </w:lvl>
  </w:abstractNum>
  <w:abstractNum w:abstractNumId="10">
    <w:nsid w:val="5E884ADC"/>
    <w:multiLevelType w:val="hybridMultilevel"/>
    <w:lvl w:ilvl="0">
      <w:lvlJc w:val="left"/>
      <w:lvlText w:val="%1"/>
      <w:numFmt w:val="lowerRoman"/>
      <w:start w:val="1"/>
    </w:lvl>
    <w:lvl w:ilvl="1">
      <w:lvlJc w:val="left"/>
      <w:lvlText w:val="%2."/>
      <w:numFmt w:val="decimal"/>
      <w:start w:val="6"/>
    </w:lvl>
  </w:abstractNum>
  <w:abstractNum w:abstractNumId="11">
    <w:nsid w:val="51EAD36B"/>
    <w:multiLevelType w:val="hybridMultilevel"/>
    <w:lvl w:ilvl="0">
      <w:lvlJc w:val="left"/>
      <w:lvlText w:val="(%1)"/>
      <w:numFmt w:val="lowerRoman"/>
      <w:start w:val="1"/>
    </w:lvl>
    <w:lvl w:ilvl="1">
      <w:lvlJc w:val="left"/>
      <w:lvlText w:val="%2"/>
      <w:numFmt w:val="decimal"/>
      <w:start w:val="1"/>
    </w:lvl>
  </w:abstractNum>
  <w:abstractNum w:abstractNumId="12">
    <w:nsid w:val="2D517796"/>
    <w:multiLevelType w:val="hybridMultilevel"/>
    <w:lvl w:ilvl="0">
      <w:lvlJc w:val="left"/>
      <w:lvlText w:val="(%1)"/>
      <w:numFmt w:val="lowerLetter"/>
      <w:start w:val="1"/>
    </w:lvl>
  </w:abstractNum>
  <w:abstractNum w:abstractNumId="13">
    <w:nsid w:val="580BD78F"/>
    <w:multiLevelType w:val="hybridMultilevel"/>
    <w:lvl w:ilvl="0">
      <w:lvlJc w:val="left"/>
      <w:lvlText w:val="(%1)"/>
      <w:numFmt w:val="lowerLetter"/>
      <w:start w:val="2"/>
    </w:lvl>
  </w:abstractNum>
  <w:abstractNum w:abstractNumId="14">
    <w:nsid w:val="153EA438"/>
    <w:multiLevelType w:val="hybridMultilevel"/>
    <w:lvl w:ilvl="0">
      <w:lvlJc w:val="left"/>
      <w:lvlText w:val="(%1)"/>
      <w:numFmt w:val="lowerLetter"/>
      <w:start w:val="4"/>
    </w:lvl>
  </w:abstractNum>
  <w:abstractNum w:abstractNumId="15">
    <w:nsid w:val="3855585C"/>
    <w:multiLevelType w:val="hybridMultilevel"/>
    <w:lvl w:ilvl="0">
      <w:lvlJc w:val="left"/>
      <w:lvlText w:val="(%1)"/>
      <w:numFmt w:val="lowerLetter"/>
      <w:start w:val="9"/>
    </w:lvl>
  </w:abstractNum>
  <w:abstractNum w:abstractNumId="16">
    <w:nsid w:val="70A64E2A"/>
    <w:multiLevelType w:val="hybridMultilevel"/>
    <w:lvl w:ilvl="0">
      <w:lvlJc w:val="left"/>
      <w:lvlText w:val="%1"/>
      <w:numFmt w:val="lowerLetter"/>
      <w:start w:val="1"/>
    </w:lvl>
    <w:lvl w:ilvl="1">
      <w:lvlJc w:val="left"/>
      <w:lvlText w:val="(%2)"/>
      <w:numFmt w:val="lowerLetter"/>
      <w:start w:val="13"/>
    </w:lvl>
  </w:abstractNum>
  <w:abstractNum w:abstractNumId="17">
    <w:nsid w:val="6A2342EC"/>
    <w:multiLevelType w:val="hybridMultilevel"/>
    <w:lvl w:ilvl="0">
      <w:lvlJc w:val="left"/>
      <w:lvlText w:val="(%1)"/>
      <w:numFmt w:val="lowerLetter"/>
      <w:start w:val="35"/>
    </w:lvl>
    <w:lvl w:ilvl="1">
      <w:lvlJc w:val="left"/>
      <w:lvlText w:val="(%2)"/>
      <w:numFmt w:val="lowerLetter"/>
      <w:start w:val="14"/>
    </w:lvl>
  </w:abstractNum>
  <w:abstractNum w:abstractNumId="18">
    <w:nsid w:val="2A487CB0"/>
    <w:multiLevelType w:val="hybridMultilevel"/>
    <w:lvl w:ilvl="0">
      <w:lvlJc w:val="left"/>
      <w:lvlText w:val="(%1)"/>
      <w:numFmt w:val="lowerLetter"/>
      <w:start w:val="17"/>
    </w:lvl>
  </w:abstractNum>
  <w:abstractNum w:abstractNumId="19">
    <w:nsid w:val="1D4ED43B"/>
    <w:multiLevelType w:val="hybridMultilevel"/>
    <w:lvl w:ilvl="0">
      <w:lvlJc w:val="left"/>
      <w:lvlText w:val="%1"/>
      <w:numFmt w:val="upperLetter"/>
      <w:start w:val="1"/>
    </w:lvl>
    <w:lvl w:ilvl="1">
      <w:lvlJc w:val="left"/>
      <w:lvlText w:val="(%2)"/>
      <w:numFmt w:val="lowerLetter"/>
      <w:start w:val="20"/>
    </w:lvl>
  </w:abstractNum>
  <w:abstractNum w:abstractNumId="20">
    <w:nsid w:val="725A06FB"/>
    <w:multiLevelType w:val="hybridMultilevel"/>
    <w:lvl w:ilvl="0">
      <w:lvlJc w:val="left"/>
      <w:lvlText w:val="(%1)"/>
      <w:numFmt w:val="upperLetter"/>
      <w:start w:val="1"/>
    </w:lvl>
    <w:lvl w:ilvl="1">
      <w:lvlJc w:val="left"/>
      <w:lvlText w:val="%2"/>
      <w:numFmt w:val="lowerLetter"/>
      <w:start w:val="1"/>
    </w:lvl>
  </w:abstractNum>
  <w:abstractNum w:abstractNumId="21">
    <w:nsid w:val="2CD89A32"/>
    <w:multiLevelType w:val="hybridMultilevel"/>
    <w:lvl w:ilvl="0">
      <w:lvlJc w:val="left"/>
      <w:lvlText w:val="%1"/>
      <w:numFmt w:val="lowerLetter"/>
      <w:start w:val="1"/>
    </w:lvl>
    <w:lvl w:ilvl="1">
      <w:lvlJc w:val="left"/>
      <w:lvlText w:val="(%2)"/>
      <w:numFmt w:val="lowerLetter"/>
      <w:start w:val="22"/>
    </w:lvl>
  </w:abstractNum>
  <w:abstractNum w:abstractNumId="22">
    <w:nsid w:val="57E4CCAF"/>
    <w:multiLevelType w:val="hybridMultilevel"/>
    <w:lvl w:ilvl="0">
      <w:lvlJc w:val="left"/>
      <w:lvlText w:val="(%1)"/>
      <w:numFmt w:val="lowerLetter"/>
      <w:start w:val="35"/>
    </w:lvl>
    <w:lvl w:ilvl="1">
      <w:lvlJc w:val="left"/>
      <w:lvlText w:val="(%2)"/>
      <w:numFmt w:val="lowerLetter"/>
      <w:start w:val="27"/>
    </w:lvl>
  </w:abstractNum>
  <w:abstractNum w:abstractNumId="23">
    <w:nsid w:val="7A6D8D3C"/>
    <w:multiLevelType w:val="hybridMultilevel"/>
    <w:lvl w:ilvl="0">
      <w:lvlJc w:val="left"/>
      <w:lvlText w:val="(%1)"/>
      <w:numFmt w:val="lowerLetter"/>
      <w:start w:val="28"/>
    </w:lvl>
  </w:abstractNum>
  <w:abstractNum w:abstractNumId="24">
    <w:nsid w:val="4B588F54"/>
    <w:multiLevelType w:val="hybridMultilevel"/>
    <w:lvl w:ilvl="0">
      <w:lvlJc w:val="left"/>
      <w:lvlText w:val="%1"/>
      <w:numFmt w:val="lowerLetter"/>
      <w:start w:val="1"/>
    </w:lvl>
    <w:lvl w:ilvl="1">
      <w:lvlJc w:val="left"/>
      <w:lvlText w:val="(%2)"/>
      <w:numFmt w:val="lowerLetter"/>
      <w:start w:val="33"/>
    </w:lvl>
  </w:abstractNum>
  <w:abstractNum w:abstractNumId="25">
    <w:nsid w:val="542289EC"/>
    <w:multiLevelType w:val="hybridMultilevel"/>
    <w:lvl w:ilvl="0">
      <w:lvlJc w:val="left"/>
      <w:lvlText w:val="(%1)"/>
      <w:numFmt w:val="lowerLetter"/>
      <w:start w:val="35"/>
    </w:lvl>
    <w:lvl w:ilvl="1">
      <w:lvlJc w:val="left"/>
      <w:lvlText w:val="%2"/>
      <w:numFmt w:val="lowerLetter"/>
      <w:start w:val="1"/>
    </w:lvl>
  </w:abstractNum>
  <w:abstractNum w:abstractNumId="26">
    <w:nsid w:val="6DE91B18"/>
    <w:multiLevelType w:val="hybridMultilevel"/>
    <w:lvl w:ilvl="0">
      <w:lvlJc w:val="left"/>
      <w:lvlText w:val="%1"/>
      <w:numFmt w:val="lowerLetter"/>
      <w:start w:val="1"/>
    </w:lvl>
    <w:lvl w:ilvl="1">
      <w:lvlJc w:val="left"/>
      <w:lvlText w:val="(%2)"/>
      <w:numFmt w:val="lowerLetter"/>
      <w:start w:val="37"/>
    </w:lvl>
  </w:abstractNum>
  <w:abstractNum w:abstractNumId="27">
    <w:nsid w:val="38437FDB"/>
    <w:multiLevelType w:val="hybridMultilevel"/>
    <w:lvl w:ilvl="0">
      <w:lvlJc w:val="left"/>
      <w:lvlText w:val="(%1)"/>
      <w:numFmt w:val="lowerLetter"/>
      <w:start w:val="61"/>
    </w:lvl>
    <w:lvl w:ilvl="1">
      <w:lvlJc w:val="left"/>
      <w:lvlText w:val="(%2)"/>
      <w:numFmt w:val="lowerLetter"/>
      <w:start w:val="39"/>
    </w:lvl>
  </w:abstractNum>
  <w:abstractNum w:abstractNumId="28">
    <w:nsid w:val="7644A45C"/>
    <w:multiLevelType w:val="hybridMultilevel"/>
    <w:lvl w:ilvl="0">
      <w:lvlJc w:val="left"/>
      <w:lvlText w:val="%1"/>
      <w:numFmt w:val="lowerLetter"/>
      <w:start w:val="1"/>
    </w:lvl>
    <w:lvl w:ilvl="1">
      <w:lvlJc w:val="left"/>
      <w:lvlText w:val="(%2)"/>
      <w:numFmt w:val="lowerLetter"/>
      <w:start w:val="41"/>
    </w:lvl>
  </w:abstractNum>
  <w:abstractNum w:abstractNumId="29">
    <w:nsid w:val="32FFF902"/>
    <w:multiLevelType w:val="hybridMultilevel"/>
    <w:lvl w:ilvl="0">
      <w:lvlJc w:val="left"/>
      <w:lvlText w:val="(%1)"/>
      <w:numFmt w:val="lowerLetter"/>
      <w:start w:val="9"/>
    </w:lvl>
    <w:lvl w:ilvl="1">
      <w:lvlJc w:val="left"/>
      <w:lvlText w:val="(%2)"/>
      <w:numFmt w:val="lowerLetter"/>
      <w:start w:val="45"/>
    </w:lvl>
  </w:abstractNum>
  <w:abstractNum w:abstractNumId="30">
    <w:nsid w:val="684A481A"/>
    <w:multiLevelType w:val="hybridMultilevel"/>
    <w:lvl w:ilvl="0">
      <w:lvlJc w:val="left"/>
      <w:lvlText w:val="%1"/>
      <w:numFmt w:val="lowerLetter"/>
      <w:start w:val="1"/>
    </w:lvl>
    <w:lvl w:ilvl="1">
      <w:lvlJc w:val="left"/>
      <w:lvlText w:val="(%2)"/>
      <w:numFmt w:val="lowerLetter"/>
      <w:start w:val="47"/>
    </w:lvl>
  </w:abstractNum>
  <w:abstractNum w:abstractNumId="31">
    <w:nsid w:val="579478FE"/>
    <w:multiLevelType w:val="hybridMultilevel"/>
    <w:lvl w:ilvl="0">
      <w:lvlJc w:val="left"/>
      <w:lvlText w:val="(%1)"/>
      <w:numFmt w:val="lowerLetter"/>
      <w:start w:val="35"/>
    </w:lvl>
    <w:lvl w:ilvl="1">
      <w:lvlJc w:val="left"/>
      <w:lvlText w:val="(%2)"/>
      <w:numFmt w:val="lowerLetter"/>
      <w:start w:val="50"/>
    </w:lvl>
  </w:abstractNum>
  <w:abstractNum w:abstractNumId="32">
    <w:nsid w:val="749ABB43"/>
    <w:multiLevelType w:val="hybridMultilevel"/>
    <w:lvl w:ilvl="0">
      <w:lvlJc w:val="left"/>
      <w:lvlText w:val="(%1)"/>
      <w:numFmt w:val="lowerLetter"/>
      <w:start w:val="1"/>
    </w:lvl>
  </w:abstractNum>
  <w:abstractNum w:abstractNumId="33">
    <w:nsid w:val="3DC240FB"/>
    <w:multiLevelType w:val="hybridMultilevel"/>
    <w:lvl w:ilvl="0">
      <w:lvlJc w:val="left"/>
      <w:lvlText w:val="(%1)"/>
      <w:numFmt w:val="lowerLetter"/>
      <w:start w:val="2"/>
    </w:lvl>
  </w:abstractNum>
  <w:abstractNum w:abstractNumId="34">
    <w:nsid w:val="1BA026FA"/>
    <w:multiLevelType w:val="hybridMultilevel"/>
    <w:lvl w:ilvl="0">
      <w:lvlJc w:val="left"/>
      <w:lvlText w:val="(%1)"/>
      <w:numFmt w:val="lowerLetter"/>
      <w:start w:val="4"/>
    </w:lvl>
  </w:abstractNum>
  <w:abstractNum w:abstractNumId="35">
    <w:nsid w:val="79A1DEAA"/>
    <w:multiLevelType w:val="hybridMultilevel"/>
    <w:lvl w:ilvl="0">
      <w:lvlJc w:val="left"/>
      <w:lvlText w:val="(%1)"/>
      <w:numFmt w:val="lowerLetter"/>
      <w:start w:val="8"/>
    </w:lvl>
  </w:abstractNum>
  <w:abstractNum w:abstractNumId="36">
    <w:nsid w:val="75C6C33A"/>
    <w:multiLevelType w:val="hybridMultilevel"/>
    <w:lvl w:ilvl="0">
      <w:lvlJc w:val="left"/>
      <w:lvlText w:val="%1"/>
      <w:numFmt w:val="lowerLetter"/>
      <w:start w:val="1"/>
    </w:lvl>
    <w:lvl w:ilvl="1">
      <w:lvlJc w:val="left"/>
      <w:lvlText w:val="(%2)"/>
      <w:numFmt w:val="lowerLetter"/>
      <w:start w:val="11"/>
    </w:lvl>
    <w:lvl w:ilvl="2">
      <w:lvlJc w:val="left"/>
      <w:lvlText w:val="(%3)"/>
      <w:numFmt w:val="lowerRoman"/>
      <w:start w:val="1"/>
    </w:lvl>
  </w:abstractNum>
  <w:abstractNum w:abstractNumId="37">
    <w:nsid w:val="12E685FB"/>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8">
    <w:nsid w:val="70C6A529"/>
    <w:multiLevelType w:val="hybridMultilevel"/>
    <w:lvl w:ilvl="0">
      <w:lvlJc w:val="left"/>
      <w:lvlText w:val="(%1)"/>
      <w:numFmt w:val="lowerLetter"/>
      <w:start w:val="14"/>
    </w:lvl>
  </w:abstractNum>
  <w:abstractNum w:abstractNumId="39">
    <w:nsid w:val="520EEDD1"/>
    <w:multiLevelType w:val="hybridMultilevel"/>
    <w:lvl w:ilvl="0">
      <w:lvlJc w:val="left"/>
      <w:lvlText w:val="(%1)"/>
      <w:numFmt w:val="lowerLetter"/>
      <w:start w:val="17"/>
    </w:lvl>
  </w:abstractNum>
  <w:abstractNum w:abstractNumId="40">
    <w:nsid w:val="374A3FE6"/>
    <w:multiLevelType w:val="hybridMultilevel"/>
    <w:lvl w:ilvl="0">
      <w:lvlJc w:val="left"/>
      <w:lvlText w:val="(%1)"/>
      <w:numFmt w:val="lowerRoman"/>
      <w:start w:val="10"/>
    </w:lvl>
  </w:abstractNum>
  <w:abstractNum w:abstractNumId="41">
    <w:nsid w:val="4F4EF005"/>
    <w:multiLevelType w:val="hybridMultilevel"/>
    <w:lvl w:ilvl="0">
      <w:lvlJc w:val="left"/>
      <w:lvlText w:val="(%1)"/>
      <w:numFmt w:val="lowerLetter"/>
      <w:start w:val="26"/>
    </w:lvl>
  </w:abstractNum>
  <w:abstractNum w:abstractNumId="42">
    <w:nsid w:val="23F9C13C"/>
    <w:multiLevelType w:val="hybridMultilevel"/>
    <w:lvl w:ilvl="0">
      <w:lvlJc w:val="left"/>
      <w:lvlText w:val="(%1)"/>
      <w:numFmt w:val="lowerLetter"/>
      <w:start w:val="27"/>
    </w:lvl>
  </w:abstractNum>
  <w:abstractNum w:abstractNumId="43">
    <w:nsid w:val="649BB77C"/>
    <w:multiLevelType w:val="hybridMultilevel"/>
    <w:lvl w:ilvl="0">
      <w:lvlJc w:val="left"/>
      <w:lvlText w:val="(%1)"/>
      <w:numFmt w:val="lowerLetter"/>
      <w:start w:val="28"/>
    </w:lvl>
  </w:abstractNum>
  <w:abstractNum w:abstractNumId="44">
    <w:nsid w:val="275AC794"/>
    <w:multiLevelType w:val="hybridMultilevel"/>
    <w:lvl w:ilvl="0">
      <w:lvlJc w:val="left"/>
      <w:lvlText w:val="%1."/>
      <w:numFmt w:val="decimal"/>
      <w:start w:val="8"/>
    </w:lvl>
  </w:abstractNum>
  <w:abstractNum w:abstractNumId="45">
    <w:nsid w:val="39386575"/>
    <w:multiLevelType w:val="hybridMultilevel"/>
    <w:lvl w:ilvl="0">
      <w:lvlJc w:val="left"/>
      <w:lvlText w:val="(%1)"/>
      <w:numFmt w:val="lowerLetter"/>
      <w:start w:val="1"/>
    </w:lvl>
  </w:abstractNum>
  <w:abstractNum w:abstractNumId="46">
    <w:nsid w:val="1CF10FD8"/>
    <w:multiLevelType w:val="hybridMultilevel"/>
    <w:lvl w:ilvl="0">
      <w:lvlJc w:val="left"/>
      <w:lvlText w:val="(%1)"/>
      <w:numFmt w:val="lowerLetter"/>
      <w:start w:val="5"/>
    </w:lvl>
  </w:abstractNum>
  <w:abstractNum w:abstractNumId="47">
    <w:nsid w:val="180115BE"/>
    <w:multiLevelType w:val="hybridMultilevel"/>
    <w:lvl w:ilvl="0">
      <w:lvlJc w:val="left"/>
      <w:lvlText w:val="%1"/>
      <w:numFmt w:val="lowerLetter"/>
      <w:start w:val="1"/>
    </w:lvl>
    <w:lvl w:ilvl="1">
      <w:lvlJc w:val="left"/>
      <w:lvlText w:val="(%2)"/>
      <w:numFmt w:val="lowerLetter"/>
      <w:start w:val="13"/>
    </w:lvl>
  </w:abstractNum>
  <w:abstractNum w:abstractNumId="48">
    <w:nsid w:val="235BA861"/>
    <w:multiLevelType w:val="hybridMultilevel"/>
    <w:lvl w:ilvl="0">
      <w:lvlJc w:val="left"/>
      <w:lvlText w:val="(%1)"/>
      <w:numFmt w:val="lowerLetter"/>
      <w:start w:val="35"/>
    </w:lvl>
    <w:lvl w:ilvl="1">
      <w:lvlJc w:val="left"/>
      <w:lvlText w:val="(%2)"/>
      <w:numFmt w:val="lowerLetter"/>
      <w:start w:val="15"/>
    </w:lvl>
  </w:abstractNum>
  <w:abstractNum w:abstractNumId="49">
    <w:nsid w:val="47398C89"/>
    <w:multiLevelType w:val="hybridMultilevel"/>
    <w:lvl w:ilvl="0">
      <w:lvlJc w:val="left"/>
      <w:lvlText w:val="%1."/>
      <w:numFmt w:val="decimal"/>
      <w:start w:val="9"/>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lowerLetter"/>
      <w:start w:val="2"/>
    </w:lvl>
  </w:abstractNum>
  <w:abstractNum w:abstractNumId="52">
    <w:nsid w:val="741226BB"/>
    <w:multiLevelType w:val="hybridMultilevel"/>
    <w:lvl w:ilvl="0">
      <w:lvlJc w:val="left"/>
      <w:lvlText w:val="%1"/>
      <w:numFmt w:val="lowerLetter"/>
      <w:start w:val="1"/>
    </w:lvl>
    <w:lvl w:ilvl="1">
      <w:lvlJc w:val="left"/>
      <w:lvlText w:val="(%2)"/>
      <w:numFmt w:val="lowerLetter"/>
      <w:start w:val="4"/>
    </w:lvl>
  </w:abstractNum>
  <w:abstractNum w:abstractNumId="53">
    <w:nsid w:val="D34B6A8"/>
    <w:multiLevelType w:val="hybridMultilevel"/>
    <w:lvl w:ilvl="0">
      <w:lvlJc w:val="left"/>
      <w:lvlText w:val="(%1)"/>
      <w:numFmt w:val="lowerLetter"/>
      <w:start w:val="9"/>
    </w:lvl>
    <w:lvl w:ilvl="1">
      <w:lvlJc w:val="left"/>
      <w:lvlText w:val="(%2)"/>
      <w:numFmt w:val="lowerLetter"/>
      <w:start w:val="5"/>
    </w:lvl>
  </w:abstractNum>
  <w:abstractNum w:abstractNumId="54">
    <w:nsid w:val="10233C99"/>
    <w:multiLevelType w:val="hybridMultilevel"/>
    <w:lvl w:ilvl="0">
      <w:lvlJc w:val="left"/>
      <w:lvlText w:val="%1."/>
      <w:numFmt w:val="decimal"/>
      <w:start w:val="10"/>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lowerLetter"/>
      <w:start w:val="3"/>
    </w:lvl>
  </w:abstractNum>
  <w:abstractNum w:abstractNumId="57">
    <w:nsid w:val="7E0C57B1"/>
    <w:multiLevelType w:val="hybridMultilevel"/>
    <w:lvl w:ilvl="0">
      <w:lvlJc w:val="left"/>
      <w:lvlText w:val="%1."/>
      <w:numFmt w:val="decimal"/>
      <w:start w:val="12"/>
    </w:lvl>
  </w:abstractNum>
  <w:abstractNum w:abstractNumId="58">
    <w:nsid w:val="77AE35EB"/>
    <w:multiLevelType w:val="hybridMultilevel"/>
    <w:lvl w:ilvl="0">
      <w:lvlJc w:val="left"/>
      <w:lvlText w:val="(%1)"/>
      <w:numFmt w:val="lowerRoman"/>
      <w:start w:val="3"/>
    </w:lvl>
  </w:abstractNum>
  <w:abstractNum w:abstractNumId="59">
    <w:nsid w:val="579BE4F1"/>
    <w:multiLevelType w:val="hybridMultilevel"/>
    <w:lvl w:ilvl="0">
      <w:lvlJc w:val="left"/>
      <w:lvlText w:val="%1."/>
      <w:numFmt w:val="decimal"/>
      <w:start w:val="13"/>
    </w:lvl>
  </w:abstractNum>
  <w:abstractNum w:abstractNumId="60">
    <w:nsid w:val="310C50B3"/>
    <w:multiLevelType w:val="hybridMultilevel"/>
    <w:lvl w:ilvl="0">
      <w:lvlJc w:val="left"/>
      <w:lvlText w:val="%1."/>
      <w:numFmt w:val="decimal"/>
      <w:start w:val="16"/>
    </w:lvl>
  </w:abstractNum>
  <w:abstractNum w:abstractNumId="61">
    <w:nsid w:val="5FF87E05"/>
    <w:multiLevelType w:val="hybridMultilevel"/>
    <w:lvl w:ilvl="0">
      <w:lvlJc w:val="left"/>
      <w:lvlText w:val="(%1)"/>
      <w:numFmt w:val="lowerLetter"/>
      <w:start w:val="1"/>
    </w:lvl>
  </w:abstractNum>
  <w:abstractNum w:abstractNumId="62">
    <w:nsid w:val="2F305DEF"/>
    <w:multiLevelType w:val="hybridMultilevel"/>
    <w:lvl w:ilvl="0">
      <w:lvlJc w:val="left"/>
      <w:lvlText w:val="(%1)"/>
      <w:numFmt w:val="lowerLetter"/>
      <w:start w:val="6"/>
    </w:lvl>
  </w:abstractNum>
  <w:abstractNum w:abstractNumId="63">
    <w:nsid w:val="25A70BF7"/>
    <w:multiLevelType w:val="hybridMultilevel"/>
    <w:lvl w:ilvl="0">
      <w:lvlJc w:val="left"/>
      <w:lvlText w:val="%1."/>
      <w:numFmt w:val="decimal"/>
      <w:start w:val="19"/>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decimal"/>
      <w:start w:val="21"/>
    </w:lvl>
  </w:abstractNum>
  <w:abstractNum w:abstractNumId="66">
    <w:nsid w:val="1F48EAA1"/>
    <w:multiLevelType w:val="hybridMultilevel"/>
    <w:lvl w:ilvl="0">
      <w:lvlJc w:val="left"/>
      <w:lvlText w:val="(%1)"/>
      <w:numFmt w:val="lowerRoman"/>
      <w:start w:val="3"/>
    </w:lvl>
    <w:lvl w:ilvl="1">
      <w:lvlJc w:val="left"/>
      <w:lvlText w:val="%2."/>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2026-05-27T15:36:06Z</dcterms:created>
  <dcterms:modified xsi:type="dcterms:W3CDTF">2026-05-27T15:36:06Z</dcterms:modified>
</cp:coreProperties>
</file>