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5" w:lineRule="exact"/>
        <w:rPr>
          <w:rFonts w:ascii="MS PGothic" w:cs="MS PGothic" w:eastAsia="MS PGothic" w:hAnsi="MS PGothic"/>
          <w:sz w:val="32"/>
          <w:szCs w:val="32"/>
          <w:color w:val="auto"/>
          <w:vertAlign w:val="superscript"/>
        </w:rPr>
      </w:pPr>
    </w:p>
    <w:p>
      <w:pPr>
        <w:ind w:left="3820"/>
        <w:spacing w:after="0"/>
        <w:rPr>
          <w:rFonts w:ascii="MS PGothic" w:cs="MS PGothic" w:eastAsia="MS PGothic" w:hAnsi="MS PGothic"/>
          <w:sz w:val="32"/>
          <w:szCs w:val="32"/>
          <w:color w:val="auto"/>
          <w:vertAlign w:val="superscript"/>
        </w:rPr>
      </w:pPr>
      <w:r>
        <w:rPr>
          <w:rFonts w:ascii="Times New Roman" w:cs="Times New Roman" w:eastAsia="Times New Roman" w:hAnsi="Times New Roman"/>
          <w:sz w:val="18"/>
          <w:szCs w:val="18"/>
          <w:b w:val="1"/>
          <w:bCs w:val="1"/>
          <w:color w:val="auto"/>
        </w:rPr>
        <w:t>For the quarterly period ended March 31, 2022</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6"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6"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-20320</wp:posOffset>
            </wp:positionV>
            <wp:extent cx="1294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Minerva Neurosciences,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438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26-0784194</w:t>
            </w:r>
          </w:p>
        </w:tc>
      </w:tr>
      <w:tr>
        <w:trPr>
          <w:trHeight w:val="148"/>
        </w:trPr>
        <w:tc>
          <w:tcPr>
            <w:tcW w:w="4380" w:type="dxa"/>
            <w:vAlign w:val="bottom"/>
          </w:tcPr>
          <w:p>
            <w:pPr>
              <w:jc w:val="center"/>
              <w:ind w:right="1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80" w:type="dxa"/>
            <w:vAlign w:val="bottom"/>
          </w:tcPr>
          <w:p>
            <w:pPr>
              <w:jc w:val="center"/>
              <w:ind w:left="18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8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8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438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1601 Trapelo Road, Suite 286</w:t>
            </w:r>
          </w:p>
        </w:tc>
        <w:tc>
          <w:tcPr>
            <w:tcW w:w="3080" w:type="dxa"/>
            <w:vAlign w:val="bottom"/>
          </w:tcPr>
          <w:p>
            <w:pPr>
              <w:spacing w:after="0"/>
              <w:rPr>
                <w:sz w:val="24"/>
                <w:szCs w:val="24"/>
                <w:color w:val="auto"/>
              </w:rPr>
            </w:pPr>
          </w:p>
        </w:tc>
      </w:tr>
      <w:tr>
        <w:trPr>
          <w:trHeight w:val="214"/>
        </w:trPr>
        <w:tc>
          <w:tcPr>
            <w:tcW w:w="438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30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438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8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600-7373</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0"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4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NERV</w:t>
            </w: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85" w:lineRule="exact"/>
        <w:rPr>
          <w:sz w:val="24"/>
          <w:szCs w:val="24"/>
          <w:color w:val="auto"/>
        </w:rPr>
      </w:pPr>
    </w:p>
    <w:p>
      <w:pPr>
        <w:ind w:right="2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ind w:right="1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ind w:right="46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05" w:right="339" w:bottom="1440" w:gutter="0" w:footer="0" w:header="0"/>
        </w:sectPr>
      </w:pP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16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16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Smaller reporting company</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16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spacing w:after="0"/>
              <w:rPr>
                <w:sz w:val="24"/>
                <w:szCs w:val="24"/>
                <w:color w:val="auto"/>
              </w:rPr>
            </w:pPr>
          </w:p>
        </w:tc>
      </w:tr>
    </w:tbl>
    <w:p>
      <w:pPr>
        <w:spacing w:after="0" w:line="108"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161" w:lineRule="exact"/>
        <w:tabs>
          <w:tab w:leader="none" w:pos="6060" w:val="left"/>
          <w:tab w:leader="none" w:pos="66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$0.0001 par value per share, outstanding as of April 29, 2022 was 42,721,566.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80" w:space="120"/>
            <w:col w:w="440"/>
          </w:cols>
          <w:pgMar w:left="320" w:top="60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restart"/>
          </w:tcPr>
          <w:p>
            <w:pPr>
              <w:spacing w:after="0"/>
              <w:rPr>
                <w:sz w:val="15"/>
                <w:szCs w:val="15"/>
                <w:color w:val="auto"/>
              </w:rPr>
            </w:pPr>
          </w:p>
        </w:tc>
        <w:tc>
          <w:tcPr>
            <w:tcW w:w="256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3480" w:type="dxa"/>
            <w:vAlign w:val="bottom"/>
            <w:gridSpan w:val="6"/>
            <w:vMerge w:val="restart"/>
          </w:tcPr>
          <w:p>
            <w:pPr>
              <w:spacing w:after="0"/>
              <w:rPr>
                <w:sz w:val="15"/>
                <w:szCs w:val="15"/>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560" w:type="dxa"/>
            <w:vAlign w:val="bottom"/>
            <w:tcBorders>
              <w:bottom w:val="single" w:sz="8" w:color="0000EE"/>
            </w:tcBorders>
            <w:gridSpan w:val="6"/>
            <w:vMerge w:val="continue"/>
          </w:tcPr>
          <w:p>
            <w:pPr>
              <w:spacing w:after="0"/>
              <w:rPr>
                <w:sz w:val="14"/>
                <w:szCs w:val="14"/>
                <w:color w:val="auto"/>
              </w:rPr>
            </w:pPr>
          </w:p>
        </w:tc>
        <w:tc>
          <w:tcPr>
            <w:tcW w:w="3480" w:type="dxa"/>
            <w:vAlign w:val="bottom"/>
            <w:gridSpan w:val="6"/>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Financial Statements (unaudited):</w:t>
            </w:r>
          </w:p>
        </w:tc>
        <w:tc>
          <w:tcPr>
            <w:tcW w:w="698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2022 and December 31, 202</w:t>
            </w:r>
            <w:r>
              <w:rPr>
                <w:rFonts w:ascii="Times New Roman" w:cs="Times New Roman" w:eastAsia="Times New Roman" w:hAnsi="Times New Roman"/>
                <w:sz w:val="18"/>
                <w:szCs w:val="18"/>
                <w:color w:val="000000"/>
              </w:rPr>
              <w:t>1</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months ended March 31, 2022 and 2021</w:t>
            </w:r>
          </w:p>
        </w:tc>
        <w:tc>
          <w:tcPr>
            <w:tcW w:w="188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months ended March 31, 2022 and 2021</w:t>
            </w:r>
          </w:p>
        </w:tc>
        <w:tc>
          <w:tcPr>
            <w:tcW w:w="11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months ended March 31, 2022 and 2021</w:t>
            </w:r>
          </w:p>
        </w:tc>
        <w:tc>
          <w:tcPr>
            <w:tcW w:w="182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140" w:type="dxa"/>
            <w:vAlign w:val="bottom"/>
            <w:tcBorders>
              <w:top w:val="single" w:sz="8" w:color="0000EE"/>
            </w:tcBorders>
            <w:gridSpan w:val="5"/>
          </w:tcPr>
          <w:p>
            <w:pPr>
              <w:spacing w:after="0"/>
              <w:rPr>
                <w:sz w:val="17"/>
                <w:szCs w:val="17"/>
                <w:color w:val="auto"/>
              </w:rPr>
            </w:pPr>
          </w:p>
        </w:tc>
        <w:tc>
          <w:tcPr>
            <w:tcW w:w="296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40" w:type="dxa"/>
            <w:vAlign w:val="bottom"/>
            <w:gridSpan w:val="12"/>
          </w:tcPr>
          <w:p>
            <w:pPr>
              <w:jc w:val="center"/>
              <w:ind w:right="3480"/>
              <w:spacing w:after="0"/>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4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2360" w:type="dxa"/>
            <w:vAlign w:val="bottom"/>
            <w:tcBorders>
              <w:top w:val="single" w:sz="8" w:color="0000EE"/>
            </w:tcBorders>
            <w:gridSpan w:val="4"/>
          </w:tcPr>
          <w:p>
            <w:pPr>
              <w:spacing w:after="0"/>
              <w:rPr>
                <w:sz w:val="24"/>
                <w:szCs w:val="24"/>
                <w:color w:val="auto"/>
              </w:rPr>
            </w:pPr>
          </w:p>
        </w:tc>
        <w:tc>
          <w:tcPr>
            <w:tcW w:w="358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420" w:type="dxa"/>
            <w:vAlign w:val="bottom"/>
            <w:tcBorders>
              <w:top w:val="single" w:sz="8" w:color="0000EE"/>
            </w:tcBorders>
            <w:gridSpan w:val="2"/>
          </w:tcPr>
          <w:p>
            <w:pPr>
              <w:spacing w:after="0"/>
              <w:rPr>
                <w:sz w:val="17"/>
                <w:szCs w:val="17"/>
                <w:color w:val="auto"/>
              </w:rPr>
            </w:pPr>
          </w:p>
        </w:tc>
        <w:tc>
          <w:tcPr>
            <w:tcW w:w="8080" w:type="dxa"/>
            <w:vAlign w:val="bottom"/>
            <w:gridSpan w:val="1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060" w:type="dxa"/>
            <w:vAlign w:val="bottom"/>
            <w:gridSpan w:val="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Defaults Upon Senior Securities</w:t>
            </w:r>
          </w:p>
        </w:tc>
        <w:tc>
          <w:tcPr>
            <w:tcW w:w="7080" w:type="dxa"/>
            <w:vAlign w:val="bottom"/>
            <w:gridSpan w:val="1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7640" w:type="dxa"/>
            <w:vAlign w:val="bottom"/>
            <w:gridSpan w:val="1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4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100" w:type="dxa"/>
            <w:vAlign w:val="bottom"/>
            <w:gridSpan w:val="1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 and in our Annual Report on Form 10-K for the year ended December 31, 2021 under Part I, Item IA, “Risk Factors.”</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and service marks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20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r>
      <w:tr>
        <w:trPr>
          <w:trHeight w:val="223"/>
        </w:trPr>
        <w:tc>
          <w:tcPr>
            <w:tcW w:w="7520" w:type="dxa"/>
            <w:vAlign w:val="bottom"/>
            <w:shd w:val="clear" w:color="auto" w:fill="CFF0FC"/>
          </w:tcPr>
          <w:p>
            <w:pPr>
              <w:ind w:left="35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54,946,711</w:t>
            </w:r>
          </w:p>
        </w:tc>
        <w:tc>
          <w:tcPr>
            <w:tcW w:w="1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60,755,080</w:t>
            </w:r>
          </w:p>
        </w:tc>
        <w:tc>
          <w:tcPr>
            <w:tcW w:w="100" w:type="dxa"/>
            <w:vAlign w:val="bottom"/>
            <w:shd w:val="clear" w:color="auto" w:fill="CFF0FC"/>
          </w:tcPr>
          <w:p>
            <w:pPr>
              <w:spacing w:after="0"/>
              <w:rPr>
                <w:sz w:val="19"/>
                <w:szCs w:val="19"/>
                <w:color w:val="auto"/>
              </w:rPr>
            </w:pPr>
          </w:p>
        </w:tc>
      </w:tr>
      <w:tr>
        <w:trPr>
          <w:trHeight w:val="229"/>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650,481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1,346,359</w:t>
            </w:r>
          </w:p>
        </w:tc>
        <w:tc>
          <w:tcPr>
            <w:tcW w:w="100" w:type="dxa"/>
            <w:vAlign w:val="bottom"/>
            <w:shd w:val="clear" w:color="auto" w:fill="CFF0FC"/>
          </w:tcPr>
          <w:p>
            <w:pPr>
              <w:spacing w:after="0"/>
              <w:rPr>
                <w:sz w:val="19"/>
                <w:szCs w:val="19"/>
                <w:color w:val="auto"/>
              </w:rPr>
            </w:pPr>
          </w:p>
        </w:tc>
      </w:tr>
      <w:tr>
        <w:trPr>
          <w:trHeight w:val="223"/>
        </w:trPr>
        <w:tc>
          <w:tcPr>
            <w:tcW w:w="7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55,697,192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62,201,439</w:t>
            </w:r>
          </w:p>
        </w:tc>
        <w:tc>
          <w:tcPr>
            <w:tcW w:w="100" w:type="dxa"/>
            <w:vAlign w:val="bottom"/>
          </w:tcPr>
          <w:p>
            <w:pPr>
              <w:spacing w:after="0"/>
              <w:rPr>
                <w:sz w:val="19"/>
                <w:szCs w:val="19"/>
                <w:color w:val="auto"/>
              </w:rPr>
            </w:pPr>
          </w:p>
        </w:tc>
      </w:tr>
      <w:tr>
        <w:trPr>
          <w:trHeight w:val="229"/>
        </w:trPr>
        <w:tc>
          <w:tcPr>
            <w:tcW w:w="75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net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51,080</w:t>
            </w:r>
          </w:p>
        </w:tc>
        <w:tc>
          <w:tcPr>
            <w:tcW w:w="100" w:type="dxa"/>
            <w:vAlign w:val="bottom"/>
          </w:tcPr>
          <w:p>
            <w:pPr>
              <w:spacing w:after="0"/>
              <w:rPr>
                <w:sz w:val="19"/>
                <w:szCs w:val="19"/>
                <w:color w:val="auto"/>
              </w:rPr>
            </w:pPr>
          </w:p>
        </w:tc>
      </w:tr>
      <w:tr>
        <w:trPr>
          <w:trHeight w:val="22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100" w:type="dxa"/>
            <w:vAlign w:val="bottom"/>
            <w:shd w:val="clear" w:color="auto" w:fill="CFF0FC"/>
          </w:tcPr>
          <w:p>
            <w:pPr>
              <w:spacing w:after="0"/>
              <w:rPr>
                <w:sz w:val="19"/>
                <w:szCs w:val="19"/>
                <w:color w:val="auto"/>
              </w:rPr>
            </w:pPr>
          </w:p>
        </w:tc>
      </w:tr>
      <w:tr>
        <w:trPr>
          <w:trHeight w:val="263"/>
        </w:trPr>
        <w:tc>
          <w:tcPr>
            <w:tcW w:w="75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70,617,671</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77,121,918</w:t>
            </w:r>
          </w:p>
        </w:tc>
        <w:tc>
          <w:tcPr>
            <w:tcW w:w="100" w:type="dxa"/>
            <w:vAlign w:val="bottom"/>
            <w:tcBorders>
              <w:bottom w:val="single" w:sz="8" w:color="CFF0FC"/>
            </w:tcBorders>
          </w:tcPr>
          <w:p>
            <w:pPr>
              <w:spacing w:after="0"/>
              <w:rPr>
                <w:sz w:val="22"/>
                <w:szCs w:val="22"/>
                <w:color w:val="auto"/>
              </w:rPr>
            </w:pPr>
          </w:p>
        </w:tc>
      </w:tr>
      <w:tr>
        <w:trPr>
          <w:trHeight w:val="210"/>
        </w:trPr>
        <w:tc>
          <w:tcPr>
            <w:tcW w:w="75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52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1,586,168</w:t>
            </w:r>
          </w:p>
        </w:tc>
        <w:tc>
          <w:tcPr>
            <w:tcW w:w="180" w:type="dxa"/>
            <w:vAlign w:val="bottom"/>
          </w:tcPr>
          <w:p>
            <w:pPr>
              <w:spacing w:after="0"/>
              <w:rPr>
                <w:sz w:val="19"/>
                <w:szCs w:val="19"/>
                <w:color w:val="auto"/>
              </w:rPr>
            </w:pP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1,853,215</w:t>
            </w:r>
          </w:p>
        </w:tc>
        <w:tc>
          <w:tcPr>
            <w:tcW w:w="100" w:type="dxa"/>
            <w:vAlign w:val="bottom"/>
          </w:tcPr>
          <w:p>
            <w:pPr>
              <w:spacing w:after="0"/>
              <w:rPr>
                <w:sz w:val="19"/>
                <w:szCs w:val="19"/>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1,661,518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965,739</w:t>
            </w:r>
          </w:p>
        </w:tc>
        <w:tc>
          <w:tcPr>
            <w:tcW w:w="100" w:type="dxa"/>
            <w:vAlign w:val="bottom"/>
            <w:shd w:val="clear" w:color="auto" w:fill="CFF0FC"/>
          </w:tcPr>
          <w:p>
            <w:pPr>
              <w:spacing w:after="0"/>
              <w:rPr>
                <w:sz w:val="19"/>
                <w:szCs w:val="19"/>
                <w:color w:val="auto"/>
              </w:rPr>
            </w:pPr>
          </w:p>
        </w:tc>
      </w:tr>
      <w:tr>
        <w:trPr>
          <w:trHeight w:val="223"/>
        </w:trPr>
        <w:tc>
          <w:tcPr>
            <w:tcW w:w="7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3,247,686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2,818,954</w:t>
            </w:r>
          </w:p>
        </w:tc>
        <w:tc>
          <w:tcPr>
            <w:tcW w:w="100" w:type="dxa"/>
            <w:vAlign w:val="bottom"/>
          </w:tcPr>
          <w:p>
            <w:pPr>
              <w:spacing w:after="0"/>
              <w:rPr>
                <w:sz w:val="19"/>
                <w:szCs w:val="19"/>
                <w:color w:val="auto"/>
              </w:rPr>
            </w:pPr>
          </w:p>
        </w:tc>
      </w:tr>
      <w:tr>
        <w:trPr>
          <w:trHeight w:val="22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68,106,115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66,327,321</w:t>
            </w:r>
          </w:p>
        </w:tc>
        <w:tc>
          <w:tcPr>
            <w:tcW w:w="100" w:type="dxa"/>
            <w:vAlign w:val="bottom"/>
            <w:shd w:val="clear" w:color="auto" w:fill="CFF0FC"/>
          </w:tcPr>
          <w:p>
            <w:pPr>
              <w:spacing w:after="0"/>
              <w:rPr>
                <w:sz w:val="19"/>
                <w:szCs w:val="19"/>
                <w:color w:val="auto"/>
              </w:rPr>
            </w:pPr>
          </w:p>
        </w:tc>
      </w:tr>
      <w:tr>
        <w:trPr>
          <w:trHeight w:val="223"/>
        </w:trPr>
        <w:tc>
          <w:tcPr>
            <w:tcW w:w="75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71,353,801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69,146,275</w:t>
            </w:r>
          </w:p>
        </w:tc>
        <w:tc>
          <w:tcPr>
            <w:tcW w:w="100" w:type="dxa"/>
            <w:vAlign w:val="bottom"/>
            <w:tcBorders>
              <w:bottom w:val="single" w:sz="8" w:color="CFF0FC"/>
            </w:tcBorders>
          </w:tcPr>
          <w:p>
            <w:pPr>
              <w:spacing w:after="0"/>
              <w:rPr>
                <w:sz w:val="19"/>
                <w:szCs w:val="19"/>
                <w:color w:val="auto"/>
              </w:rPr>
            </w:pPr>
          </w:p>
        </w:tc>
      </w:tr>
      <w:tr>
        <w:trPr>
          <w:trHeight w:val="223"/>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$0.0001 par value; 100,000,000 shares authorized; none issued or outstanding as of</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March 31, 2022 and December 31, 2021, respectively</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$0.0001 par value; 125,000,000 shares authorized; 42,721,566 shares issued and</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outstanding as of March 31, 2022 and December 31, 2021, respectively</w:t>
            </w: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00" w:type="dxa"/>
            <w:vAlign w:val="bottom"/>
            <w:shd w:val="clear" w:color="auto" w:fill="CFF0FC"/>
          </w:tcPr>
          <w:p>
            <w:pPr>
              <w:spacing w:after="0"/>
              <w:rPr>
                <w:sz w:val="20"/>
                <w:szCs w:val="20"/>
                <w:color w:val="auto"/>
              </w:rPr>
            </w:pPr>
          </w:p>
        </w:tc>
      </w:tr>
      <w:tr>
        <w:trPr>
          <w:trHeight w:val="230"/>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343,725,426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342,672,770</w:t>
            </w:r>
          </w:p>
        </w:tc>
        <w:tc>
          <w:tcPr>
            <w:tcW w:w="100" w:type="dxa"/>
            <w:vAlign w:val="bottom"/>
          </w:tcPr>
          <w:p>
            <w:pPr>
              <w:spacing w:after="0"/>
              <w:rPr>
                <w:sz w:val="19"/>
                <w:szCs w:val="19"/>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(344,465,828)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(334,701,399)</w:t>
            </w:r>
          </w:p>
        </w:tc>
      </w:tr>
      <w:tr>
        <w:trPr>
          <w:trHeight w:val="223"/>
        </w:trPr>
        <w:tc>
          <w:tcPr>
            <w:tcW w:w="75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(736,130)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7,975,643</w:t>
            </w:r>
          </w:p>
        </w:tc>
        <w:tc>
          <w:tcPr>
            <w:tcW w:w="100" w:type="dxa"/>
            <w:vAlign w:val="bottom"/>
            <w:tcBorders>
              <w:bottom w:val="single" w:sz="8" w:color="CFF0FC"/>
            </w:tcBorders>
          </w:tcPr>
          <w:p>
            <w:pPr>
              <w:spacing w:after="0"/>
              <w:rPr>
                <w:sz w:val="19"/>
                <w:szCs w:val="19"/>
                <w:color w:val="auto"/>
              </w:rPr>
            </w:pPr>
          </w:p>
        </w:tc>
      </w:tr>
      <w:tr>
        <w:trPr>
          <w:trHeight w:val="223"/>
        </w:trPr>
        <w:tc>
          <w:tcPr>
            <w:tcW w:w="752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70,617,671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77,121,918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ind w:left="42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76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4,959,863</w:t>
            </w:r>
          </w:p>
        </w:tc>
        <w:tc>
          <w:tcPr>
            <w:tcW w:w="300" w:type="dxa"/>
            <w:vAlign w:val="bottom"/>
          </w:tcPr>
          <w:p>
            <w:pPr>
              <w:spacing w:after="0"/>
              <w:rPr>
                <w:sz w:val="19"/>
                <w:szCs w:val="19"/>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3,258,707</w:t>
            </w: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3,029,395</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4,248,814</w:t>
            </w:r>
          </w:p>
        </w:tc>
        <w:tc>
          <w:tcPr>
            <w:tcW w:w="120" w:type="dxa"/>
            <w:vAlign w:val="bottom"/>
            <w:shd w:val="clear" w:color="auto" w:fill="CFF0FC"/>
          </w:tcPr>
          <w:p>
            <w:pPr>
              <w:spacing w:after="0"/>
              <w:rPr>
                <w:sz w:val="19"/>
                <w:szCs w:val="19"/>
                <w:color w:val="auto"/>
              </w:rPr>
            </w:pPr>
          </w:p>
        </w:tc>
      </w:tr>
      <w:tr>
        <w:trPr>
          <w:trHeight w:val="223"/>
        </w:trPr>
        <w:tc>
          <w:tcPr>
            <w:tcW w:w="76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7,989,258</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7,507,521</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(7,989,258)</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(7,507,521)</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(3,794)</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(4,856)</w:t>
            </w:r>
          </w:p>
        </w:tc>
      </w:tr>
      <w:tr>
        <w:trPr>
          <w:trHeight w:val="23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(1,778,794)</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(1,296,456)</w:t>
            </w:r>
          </w:p>
        </w:tc>
      </w:tr>
      <w:tr>
        <w:trPr>
          <w:trHeight w:val="263"/>
        </w:trPr>
        <w:tc>
          <w:tcPr>
            <w:tcW w:w="76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(9,764,429)</w:t>
            </w:r>
          </w:p>
        </w:tc>
        <w:tc>
          <w:tcPr>
            <w:tcW w:w="30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(8,804,733)</w:t>
            </w:r>
          </w:p>
        </w:tc>
        <w:tc>
          <w:tcPr>
            <w:tcW w:w="120" w:type="dxa"/>
            <w:vAlign w:val="bottom"/>
            <w:tcBorders>
              <w:bottom w:val="single" w:sz="8" w:color="CFF0FC"/>
            </w:tcBorders>
          </w:tcPr>
          <w:p>
            <w:pPr>
              <w:spacing w:after="0"/>
              <w:rPr>
                <w:sz w:val="22"/>
                <w:szCs w:val="22"/>
                <w:color w:val="auto"/>
              </w:rPr>
            </w:pPr>
          </w:p>
        </w:tc>
      </w:tr>
      <w:tr>
        <w:trPr>
          <w:trHeight w:val="210"/>
        </w:trPr>
        <w:tc>
          <w:tcPr>
            <w:tcW w:w="7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6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(0.23)</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(0.21)</w:t>
            </w:r>
          </w:p>
        </w:tc>
      </w:tr>
      <w:tr>
        <w:trPr>
          <w:trHeight w:val="210"/>
        </w:trPr>
        <w:tc>
          <w:tcPr>
            <w:tcW w:w="7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42,721,566</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42,721,566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ind w:left="42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5"/>
                <w:szCs w:val="15"/>
                <w:color w:val="auto"/>
              </w:rPr>
            </w:pPr>
          </w:p>
        </w:tc>
        <w:tc>
          <w:tcPr>
            <w:tcW w:w="1420" w:type="dxa"/>
            <w:vAlign w:val="bottom"/>
            <w:gridSpan w:val="2"/>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3380" w:type="dxa"/>
            <w:vAlign w:val="bottom"/>
          </w:tcPr>
          <w:p>
            <w:pPr>
              <w:spacing w:after="0"/>
              <w:rPr>
                <w:sz w:val="13"/>
                <w:szCs w:val="13"/>
                <w:color w:val="auto"/>
              </w:rPr>
            </w:pPr>
          </w:p>
        </w:tc>
        <w:tc>
          <w:tcPr>
            <w:tcW w:w="1600" w:type="dxa"/>
            <w:vAlign w:val="bottom"/>
            <w:gridSpan w:val="2"/>
          </w:tcPr>
          <w:p>
            <w:pPr>
              <w:ind w:left="4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Pr>
          <w:p>
            <w:pPr>
              <w:spacing w:after="0"/>
              <w:rPr>
                <w:sz w:val="13"/>
                <w:szCs w:val="13"/>
                <w:color w:val="auto"/>
              </w:rPr>
            </w:pPr>
          </w:p>
        </w:tc>
        <w:tc>
          <w:tcPr>
            <w:tcW w:w="960" w:type="dxa"/>
            <w:vAlign w:val="bottom"/>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3"/>
                <w:szCs w:val="13"/>
                <w:color w:val="auto"/>
              </w:rPr>
            </w:pPr>
          </w:p>
        </w:tc>
        <w:tc>
          <w:tcPr>
            <w:tcW w:w="1420" w:type="dxa"/>
            <w:vAlign w:val="bottom"/>
            <w:gridSpan w:val="2"/>
          </w:tcPr>
          <w:p>
            <w:pPr>
              <w:jc w:val="right"/>
              <w:ind w:right="641"/>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64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January 1, 2021</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42,721,566</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4,272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337,453,776</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(284,795,447)</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52,662,601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1,516,064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1,516,064</w:t>
            </w:r>
          </w:p>
        </w:tc>
        <w:tc>
          <w:tcPr>
            <w:tcW w:w="120" w:type="dxa"/>
            <w:vAlign w:val="bottom"/>
          </w:tcPr>
          <w:p>
            <w:pPr>
              <w:spacing w:after="0"/>
              <w:rPr>
                <w:sz w:val="19"/>
                <w:szCs w:val="19"/>
                <w:color w:val="auto"/>
              </w:rPr>
            </w:pPr>
          </w:p>
        </w:tc>
      </w:tr>
      <w:tr>
        <w:trPr>
          <w:trHeight w:val="229"/>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(8,804,733)</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(8,804,733)</w:t>
            </w: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2021</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42,721,566</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4,272</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338,969,840</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(293,600,180</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45,373,932</w:t>
            </w:r>
          </w:p>
        </w:tc>
        <w:tc>
          <w:tcPr>
            <w:tcW w:w="120" w:type="dxa"/>
            <w:vAlign w:val="bottom"/>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January 1, 2022</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42,721,566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4,272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342,672,770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(334,701,399)</w:t>
            </w:r>
          </w:p>
        </w:tc>
        <w:tc>
          <w:tcPr>
            <w:tcW w:w="30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7,975,643</w:t>
            </w:r>
          </w:p>
        </w:tc>
        <w:tc>
          <w:tcPr>
            <w:tcW w:w="120" w:type="dxa"/>
            <w:vAlign w:val="bottom"/>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1,052,656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1,052,656</w:t>
            </w:r>
          </w:p>
        </w:tc>
        <w:tc>
          <w:tcPr>
            <w:tcW w:w="120" w:type="dxa"/>
            <w:vAlign w:val="bottom"/>
          </w:tcPr>
          <w:p>
            <w:pPr>
              <w:spacing w:after="0"/>
              <w:rPr>
                <w:sz w:val="19"/>
                <w:szCs w:val="19"/>
                <w:color w:val="auto"/>
              </w:rPr>
            </w:pPr>
          </w:p>
        </w:tc>
      </w:tr>
      <w:tr>
        <w:trPr>
          <w:trHeight w:val="229"/>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(9,764,429)</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(9,764,429)</w:t>
            </w: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2022</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42,721,566</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4,272</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343,725,426</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(344,465,828</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(736,130)</w:t>
            </w:r>
          </w:p>
        </w:tc>
        <w:tc>
          <w:tcPr>
            <w:tcW w:w="120" w:type="dxa"/>
            <w:vAlign w:val="bottom"/>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ind w:left="42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3"/>
        </w:trPr>
        <w:tc>
          <w:tcPr>
            <w:tcW w:w="686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(9,764,429)</w:t>
            </w:r>
          </w:p>
        </w:tc>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(8,804,733)</w:t>
            </w:r>
          </w:p>
        </w:tc>
      </w:tr>
      <w:tr>
        <w:trPr>
          <w:trHeight w:val="22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42,833</w:t>
            </w:r>
          </w:p>
        </w:tc>
        <w:tc>
          <w:tcPr>
            <w:tcW w:w="100" w:type="dxa"/>
            <w:vAlign w:val="bottom"/>
          </w:tcPr>
          <w:p>
            <w:pPr>
              <w:spacing w:after="0"/>
              <w:rPr>
                <w:sz w:val="19"/>
                <w:szCs w:val="19"/>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1,052,656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1,516,064</w:t>
            </w:r>
          </w:p>
        </w:tc>
        <w:tc>
          <w:tcPr>
            <w:tcW w:w="100" w:type="dxa"/>
            <w:vAlign w:val="bottom"/>
            <w:shd w:val="clear" w:color="auto" w:fill="CFF0FC"/>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Non-cash interest expense associated with the sale of future royalties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1,778,794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1,296,456</w:t>
            </w:r>
          </w:p>
        </w:tc>
        <w:tc>
          <w:tcPr>
            <w:tcW w:w="100" w:type="dxa"/>
            <w:vAlign w:val="bottom"/>
          </w:tcPr>
          <w:p>
            <w:pPr>
              <w:spacing w:after="0"/>
              <w:rPr>
                <w:sz w:val="19"/>
                <w:szCs w:val="19"/>
                <w:color w:val="auto"/>
              </w:rPr>
            </w:pPr>
          </w:p>
        </w:tc>
      </w:tr>
      <w:tr>
        <w:trPr>
          <w:trHeight w:val="22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695,878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533,639</w:t>
            </w:r>
          </w:p>
        </w:tc>
        <w:tc>
          <w:tcPr>
            <w:tcW w:w="10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(267,047)</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134,013</w:t>
            </w:r>
          </w:p>
        </w:tc>
        <w:tc>
          <w:tcPr>
            <w:tcW w:w="100" w:type="dxa"/>
            <w:vAlign w:val="bottom"/>
            <w:shd w:val="clear" w:color="auto" w:fill="CFF0FC"/>
          </w:tcPr>
          <w:p>
            <w:pPr>
              <w:spacing w:after="0"/>
              <w:rPr>
                <w:sz w:val="19"/>
                <w:szCs w:val="19"/>
                <w:color w:val="auto"/>
              </w:rPr>
            </w:pPr>
          </w:p>
        </w:tc>
      </w:tr>
      <w:tr>
        <w:trPr>
          <w:trHeight w:val="229"/>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695,779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111,248</w:t>
            </w:r>
          </w:p>
        </w:tc>
        <w:tc>
          <w:tcPr>
            <w:tcW w:w="100" w:type="dxa"/>
            <w:vAlign w:val="bottom"/>
          </w:tcPr>
          <w:p>
            <w:pPr>
              <w:spacing w:after="0"/>
              <w:rPr>
                <w:sz w:val="19"/>
                <w:szCs w:val="19"/>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(46,879)</w:t>
            </w:r>
          </w:p>
        </w:tc>
      </w:tr>
      <w:tr>
        <w:trPr>
          <w:trHeight w:val="223"/>
        </w:trPr>
        <w:tc>
          <w:tcPr>
            <w:tcW w:w="68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(5,808,369)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(5,217,359)</w:t>
            </w:r>
          </w:p>
        </w:tc>
        <w:tc>
          <w:tcPr>
            <w:tcW w:w="100" w:type="dxa"/>
            <w:vAlign w:val="bottom"/>
            <w:tcBorders>
              <w:bottom w:val="single" w:sz="8" w:color="CFF0FC"/>
            </w:tcBorders>
          </w:tcPr>
          <w:p>
            <w:pPr>
              <w:spacing w:after="0"/>
              <w:rPr>
                <w:sz w:val="19"/>
                <w:szCs w:val="19"/>
                <w:color w:val="auto"/>
              </w:rPr>
            </w:pPr>
          </w:p>
        </w:tc>
      </w:tr>
      <w:tr>
        <w:trPr>
          <w:trHeight w:val="223"/>
        </w:trPr>
        <w:tc>
          <w:tcPr>
            <w:tcW w:w="6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6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6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future royalties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100" w:type="dxa"/>
            <w:vAlign w:val="bottom"/>
          </w:tcPr>
          <w:p>
            <w:pPr>
              <w:spacing w:after="0"/>
              <w:rPr>
                <w:sz w:val="19"/>
                <w:szCs w:val="19"/>
                <w:color w:val="auto"/>
              </w:rPr>
            </w:pPr>
          </w:p>
        </w:tc>
      </w:tr>
      <w:tr>
        <w:trPr>
          <w:trHeight w:val="223"/>
        </w:trPr>
        <w:tc>
          <w:tcPr>
            <w:tcW w:w="686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(5,808,369)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54,782,641</w:t>
            </w:r>
          </w:p>
        </w:tc>
        <w:tc>
          <w:tcPr>
            <w:tcW w:w="10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60,855,080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25,456,952</w:t>
            </w:r>
          </w:p>
        </w:tc>
        <w:tc>
          <w:tcPr>
            <w:tcW w:w="100" w:type="dxa"/>
            <w:vAlign w:val="bottom"/>
            <w:shd w:val="clear" w:color="auto" w:fill="CFF0FC"/>
          </w:tcPr>
          <w:p>
            <w:pPr>
              <w:spacing w:after="0"/>
              <w:rPr>
                <w:sz w:val="19"/>
                <w:szCs w:val="19"/>
                <w:color w:val="auto"/>
              </w:rPr>
            </w:pPr>
          </w:p>
        </w:tc>
      </w:tr>
      <w:tr>
        <w:trPr>
          <w:trHeight w:val="263"/>
        </w:trPr>
        <w:tc>
          <w:tcPr>
            <w:tcW w:w="6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8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55,046,711</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80,239,593</w:t>
            </w:r>
          </w:p>
        </w:tc>
        <w:tc>
          <w:tcPr>
            <w:tcW w:w="100" w:type="dxa"/>
            <w:vAlign w:val="bottom"/>
            <w:tcBorders>
              <w:bottom w:val="single" w:sz="8" w:color="CFF0FC"/>
            </w:tcBorders>
          </w:tcPr>
          <w:p>
            <w:pPr>
              <w:spacing w:after="0"/>
              <w:rPr>
                <w:sz w:val="22"/>
                <w:szCs w:val="22"/>
                <w:color w:val="auto"/>
              </w:rPr>
            </w:pPr>
          </w:p>
        </w:tc>
      </w:tr>
      <w:tr>
        <w:trPr>
          <w:trHeight w:val="188"/>
        </w:trPr>
        <w:tc>
          <w:tcPr>
            <w:tcW w:w="686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Reconciliation of the Condensed Consolidated Statements of Cash Flows to the</w:t>
            </w:r>
          </w:p>
        </w:tc>
        <w:tc>
          <w:tcPr>
            <w:tcW w:w="8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8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54,946,711</w:t>
            </w:r>
          </w:p>
        </w:tc>
        <w:tc>
          <w:tcPr>
            <w:tcW w:w="300" w:type="dxa"/>
            <w:vAlign w:val="bottom"/>
          </w:tcPr>
          <w:p>
            <w:pPr>
              <w:spacing w:after="0"/>
              <w:rPr>
                <w:sz w:val="19"/>
                <w:szCs w:val="19"/>
                <w:color w:val="auto"/>
              </w:rPr>
            </w:pPr>
          </w:p>
        </w:tc>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80,139,593</w:t>
            </w:r>
          </w:p>
        </w:tc>
        <w:tc>
          <w:tcPr>
            <w:tcW w:w="100" w:type="dxa"/>
            <w:vAlign w:val="bottom"/>
          </w:tcPr>
          <w:p>
            <w:pPr>
              <w:spacing w:after="0"/>
              <w:rPr>
                <w:sz w:val="19"/>
                <w:szCs w:val="19"/>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FF0FC"/>
          </w:tcPr>
          <w:p>
            <w:pPr>
              <w:spacing w:after="0"/>
              <w:rPr>
                <w:sz w:val="19"/>
                <w:szCs w:val="19"/>
                <w:color w:val="auto"/>
              </w:rPr>
            </w:pP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8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55,046,711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80,239,593</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of March 31, 2022 and for the Three Months Ended March 31, 2022 and 2021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 AND LIQUIDITY</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Minerva Neurosciences, Inc. (“Minerva” or the “Company”) is a clinical-stage biopharmaceutical company focused on the development and commercialization of product candidates to treat patients suffering from central nervous system (“CNS”) diseases. The Company’s lead product candidate is roluperidone (f/k/a MIN-101), a compound the Company is developing for the treatment of negative symptoms in patients with schizophrenia. The Company holds the license to roluperidone from Mitsubishi Tanabe Pharma Corporation (“MTPC”) with the rights to develop, sell and import roluperidone globally, excluding most of Asia. The Company also has exclusive rights to develop and commercialize MIN-301, a compound for the treatment of Parkinson’s disease. In addition, Minerva previously co-developed seltorexant (f/k/a MIN-202 or JNJ-42847922) with Janssen Pharmaceutica NV (“Janssen”) for the treatment of insomnia disorder and adjunctive treatment of Major Depressive Disorder (“MDD”). During 2020 Minerva exercised its right to opt out of the joint development agreement with Janssen for the future development of seltorexant. As a result, the Company was entitled to collect royalties in the mid-single digits on potential future worldwide sales of seltorexant in certain indications, with no further financial obligations to Janssen. In January 2021, the Company sold its rights to these potential royalties to Royalty Pharma plc (“Royalty Pharma”). For further discussion of the joint development agreement with Janssen and the sale of future royalties, please refer to Note 5, Sale of Future Royalties.</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accompanying interim condensed consolidated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March 31, 2022, the Company had an accumulated deficit of approximately $344.5 million and net cash used in operating activities was approximately $5.8 million during the three months ended March 31, 2022. Management expects to continue to incur operating losses and negative cash flows from operations in the future. The Company has financed its operations to date from proceeds from the sale of common stock, warrants, loans, convertible promissory notes, collaboration agreements and royalty sales.</w:t>
      </w:r>
    </w:p>
    <w:p>
      <w:pPr>
        <w:spacing w:after="0" w:line="16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March 31, 2022, the Company had cash, cash equivalents, and restricted cash of $55.0 million. The Company believes that its existing cash, cash equivalents, and restricted cash will be sufficient to meet its cash commitments for at least the next 12 months after the date that the interim condensed consolidated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a number of factors including but not limited to the design, timing and duration of future clinical trials, the progress of the Company’s research and development programs, the infrastructure to support a commercial enterprise, the cost of a commercial product launch, and the level of financial resources available. The Company has the ability to adjust its operating plan spending levels based on the timing of future clinical trials, which will be predicated upon adequate funding to complete the trials.</w:t>
      </w:r>
    </w:p>
    <w:p>
      <w:pPr>
        <w:spacing w:after="0" w:line="19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will need to raise additional capital in order to continue to fund operations and fully fund any potential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business could be adversely affected by the effects of the ongoing COVID-19 pandemic. Beginning in late 2019 and continuing into 2022, the outbreak of COVID-19 has resulted in the declaration of a global pandemic and adversely affected economic activity across virtually all sectors and industries on a local, national, and global scale. While global vaccination efforts are underway and certain jurisdictions, including Massachusetts, have reopened businesses and governmental agencies, there remain limitations on the physical operations of businesses and prohibitions on certain non-essential gatherings, and we are unable to accurately predict the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8" w:name="page9"/>
    <w:bookmarkEnd w:id="8"/>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full impact that COVID-19 will have due to numerous uncertainties, including the duration of the outbreak, the result of vaccination efforts, resurgence of the virus, actions that may be taken by governmental authorities, the impact on our business including our clinical programs and timelines, and the impact to the business of our service providers and partners.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While the COVID-19 pandemic has not had a material adverse impact on the Company’s operations to date, this disruption, if sustained or recurrent, could have a material adverse effect on the Company’s operating results, its ability to raise capital needed to develop and commercialize products and the Company’s overall financial condition. In addition, a recession or market correction resulting from the spread of the coronavirus could materially affect the value of the Company’s common stock. The impact of the COVID-19 pandemic may also exacerbate other risks discussed in this Quarterly Report on Form 10-Q. Refer to Item 1A. “Risk Factors” in this Quarterly Report on Form 10-Q for a complete description of the material risks that the Company currently faces.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8-03.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March 31, 2022, the results of operations for the three months ended March 31, 2022 and 2021 and cash flows for the three months ended March 31, 2022 and 2021. The results of operations for the three months ended March 31, 2022 are not necessarily indicative of the results to be expected for the full year. The consolidated balance sheet as of December 31, 2021 was derived from the audited annual financial statements. The accompanying unaudited condensed consolidated financial statements and notes thereto should be read in conjunction with the audited consolidated financial statements for the year ended December 31, 2021 included in the Company’s Annual Report on Form 10-K filed with the SEC on March 1, 2022.</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 w:name="page10"/>
    <w:bookmarkEnd w:id="9"/>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Cash accounts with any type of restriction are classified as restricted. The Company maintained restricted cash balances as collateral for corporate credit cards in the amount of $0.1 million at each of March 31, 2022 and December 31, 2021.</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and are adopted by the Company as of the specified effective date. The Company believes that the impact of recently issued, but not yet adopted, accounting pronouncements will not have a material impact on the condensed consolidated financial statements or do not apply to the Company.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ACCRUED EXPENSES AND OTHER LIABILITIES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Pr>
          <w:p>
            <w:pPr>
              <w:spacing w:after="0"/>
              <w:rPr>
                <w:sz w:val="19"/>
                <w:szCs w:val="19"/>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costs and other accrued expenses</w:t>
            </w:r>
          </w:p>
        </w:tc>
        <w:tc>
          <w:tcPr>
            <w:tcW w:w="8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1,116,122</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902,803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381,500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115,912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Vacation pay</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1,661,518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965,739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5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NET LOSS PER SHARE OF COMMON STOCK</w:t>
            </w: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80" w:type="dxa"/>
            <w:vAlign w:val="bottom"/>
            <w:vMerge w:val="continue"/>
          </w:tcPr>
          <w:p>
            <w:pPr>
              <w:spacing w:after="0"/>
              <w:rPr>
                <w:sz w:val="24"/>
                <w:szCs w:val="24"/>
                <w:color w:val="auto"/>
              </w:rPr>
            </w:pPr>
          </w:p>
        </w:tc>
        <w:tc>
          <w:tcPr>
            <w:tcW w:w="568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Diluted loss per share is the same as basic loss per share for all periods presented as the effects of potentially dilutive items were anti-dilutive given the Company’s net loss. Basic loss per share is computed by dividing net loss by the weighted average number of shares of common stock outstanding, plus potential outstanding common stock for the period. Potential outstanding common stock includes stock options and shares underlying RSUs, but only to the extent that their inclusion is dilutive. The following table sets forth the computation of basic and diluted loss per share for common stockholders: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5"/>
        </w:trPr>
        <w:tc>
          <w:tcPr>
            <w:tcW w:w="504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r>
      <w:tr>
        <w:trPr>
          <w:trHeight w:val="22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(9,764,429)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(8,804,733)</w:t>
            </w:r>
          </w:p>
        </w:tc>
        <w:tc>
          <w:tcPr>
            <w:tcW w:w="8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42,721,566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42,721,566</w:t>
            </w:r>
          </w:p>
        </w:tc>
        <w:tc>
          <w:tcPr>
            <w:tcW w:w="8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130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(0.23)</w:t>
            </w:r>
          </w:p>
        </w:tc>
        <w:tc>
          <w:tcPr>
            <w:tcW w:w="36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(0.21)</w:t>
            </w: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securities outstanding at March 31, 2022 and 2021 have been excluded from the calculation of weighted average shares outstanding as their effect on the calculation of loss per share is antidilutive:</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28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5"/>
        </w:trPr>
        <w:tc>
          <w:tcPr>
            <w:tcW w:w="6160" w:type="dxa"/>
            <w:vAlign w:val="bottom"/>
            <w:tcBorders>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r>
      <w:tr>
        <w:trPr>
          <w:trHeight w:val="22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3,619,467</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9,921,311</w:t>
            </w:r>
          </w:p>
        </w:tc>
        <w:tc>
          <w:tcPr>
            <w:tcW w:w="80" w:type="dxa"/>
            <w:vAlign w:val="bottom"/>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3,651,403</w:t>
            </w: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40,790</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40,790</w:t>
            </w:r>
          </w:p>
        </w:tc>
        <w:tc>
          <w:tcPr>
            <w:tcW w:w="80" w:type="dxa"/>
            <w:vAlign w:val="bottom"/>
            <w:shd w:val="clear" w:color="auto" w:fill="CFF0FC"/>
          </w:tcPr>
          <w:p>
            <w:pPr>
              <w:spacing w:after="0"/>
              <w:rPr>
                <w:sz w:val="19"/>
                <w:szCs w:val="19"/>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SALE OF FUTURE ROYALTIES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had previously co-developed seltorexant with Janssen for the treatment of insomnia disorder and adjunctive treatment of MDD. During 2020, the Company exercised its right to opt out of the joint development agreement with Janssen for the future development of seltorexant and, as a result, the Company was entitled to collect royalties in the mid-single digits on potential future sales of seltorexant worldwide in certain indications, with no further financial obligations to Janssen.</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On January 19, 2021, the Company entered into an agreement with Royalty Pharma under which Royalty Pharma acquired the Company’s royalty interest in seltorexant for an upfront payment of $60 million and up to an additional $95 million in potential milestone payments. These milestone payments are contingent upon the achievement of certain clinical, regulatory and commercial milestones for seltorexant by Janssen or any other party in the event that Janssen sells seltorexant. Under the terms of the agreement, the Company has significant continuing involvement in facilitating the transfer of royalties to Royalty Pharma and Royalty Pharma has recourse against the Company relating to the payments due from Janssen. As such, the Company applied the debt recognition guidance under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recorded the upfront payment of $60 million as a liability related to the sale of future royalties (“Royalty Obligation”), which will be amortized under the interest method over the estimated life of the agreement. Under the terms of the agreement, all payments from Royalty Pharma to the Company, including the initial upfront payment of $60 million as well as amortized interest expense and potential milestone payments, are not repayable to Royalty Pharma in the event that Janssen discontinues the clinical development of seltorexant or ceases to pursue its commercialization at a future date for any reason. In addition, in accordance with ASC 470, Debt, the Company will account for any royalties received in the future as non-cash royalty revenue.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0" w:name="page11"/>
    <w:bookmarkEnd w:id="10"/>
    <w:p>
      <w:pPr>
        <w:spacing w:after="0" w:line="252" w:lineRule="auto"/>
        <w:rPr>
          <w:sz w:val="20"/>
          <w:szCs w:val="20"/>
          <w:color w:val="auto"/>
        </w:rPr>
      </w:pPr>
      <w:r>
        <w:rPr>
          <w:rFonts w:ascii="Times New Roman" w:cs="Times New Roman" w:eastAsia="Times New Roman" w:hAnsi="Times New Roman"/>
          <w:sz w:val="18"/>
          <w:szCs w:val="18"/>
          <w:color w:val="auto"/>
        </w:rPr>
        <w:t>As royalties are remitted to the Company from Janssen and subsequently passed onto Royalty Pharma, the balance of the Royalty Obligation will be effectively repaid over the life of the co-development and license agreement (the “Agreement”) with Janssen. In order to determine the amortization of the Royalty Obligation, the Company is required to estimate the total amount of future royalty payments to Royalty Pharma over the life of the Agreement. In addition to the $60 million upfront payment, up to an additional $95 million in potential milestone payments will also be recorded as a liability related to the sale of future royalties and amortized as interest expense over the estimated remaining life of the agreement. At execution, the Company’s estimate of this total interest expense resulted in an effective annual interest rate of approximately 10.5%. As of March 31, 2022, the Company estimated the effective annual interest rate to be approximately 10.7%. This estimate contains significant assumptions, which are considered Level 3 fair value inputs, regarding the timing and amount of expected royalty and milestone payments that impact the interest expense that will be recognized over the royalty period. The Company will periodically assess the estimated royalty payments to Royalty Payments from Janssen and to the extent the amount or timing of such payments is materially different than the original estimates, an adjustment will be recorded prospectively to increase or decrease interest expense. There are a number of factors that could materially affect the amount and timing of royalty payments to Royalty Pharma from Janssen, and correspondingly, the amount of interest expense recorded by the Company, most of which are not within the Company’s control. Such factors include, but are not limited to, delays or discontinuation of development of seltorexant, regulatory approval, changing standards of care, the introduction of competing products, manufacturing or other delays, generic competition, intellectual property matters, adverse events that result in governmental health authority imposed restrictions on the use of the drug products, significant changes in foreign exchange rates as the royalties remitted to Royalty Pharma are made in U.S. dollars (“USD”) while the underlying sales of seltorexant will be made in currencies other than USD, the ongoing COVID-19 pandemic, and other events or circumstances that are not currently foreseen. Changes to any of these factors could result in increases or decreases to both royalty revenues and interest expense.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activity of the Royalty Obligation since the transaction inception through March 31, 2022:</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23"/>
        </w:trPr>
        <w:tc>
          <w:tcPr>
            <w:tcW w:w="7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Upfront payment from the sale of future royalties</w:t>
            </w: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Non-cash interest expense associated with the sale of future royalties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8,106,115</w:t>
            </w:r>
          </w:p>
        </w:tc>
        <w:tc>
          <w:tcPr>
            <w:tcW w:w="100" w:type="dxa"/>
            <w:vAlign w:val="bottom"/>
            <w:tcBorders>
              <w:bottom w:val="single" w:sz="8" w:color="CFF0FC"/>
            </w:tcBorders>
          </w:tcPr>
          <w:p>
            <w:pPr>
              <w:spacing w:after="0"/>
              <w:rPr>
                <w:sz w:val="19"/>
                <w:szCs w:val="19"/>
                <w:color w:val="auto"/>
              </w:rPr>
            </w:pPr>
          </w:p>
        </w:tc>
      </w:tr>
      <w:tr>
        <w:trPr>
          <w:trHeight w:val="223"/>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68,106,115</w:t>
            </w:r>
          </w:p>
        </w:tc>
        <w:tc>
          <w:tcPr>
            <w:tcW w:w="100" w:type="dxa"/>
            <w:vAlign w:val="bottom"/>
            <w:shd w:val="clear" w:color="auto" w:fill="CFF0FC"/>
          </w:tcPr>
          <w:p>
            <w:pPr>
              <w:spacing w:after="0"/>
              <w:rPr>
                <w:sz w:val="19"/>
                <w:szCs w:val="19"/>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 Program</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August 10, 2018, the Company entered into the Sales Agreement with Jefferies pursuant to which the Company may offer and sell, from time to time, through Jefferies, up to $50.0 million in shares of the Company's common stock, by any method permitted by law deemed to be an “at-the-market” offering as defined in Rule 415 promulgated under the Securities Act of 1933, as amended. During the year ended December 31, 2020, the Company issued and sold 3,381,608 shares of the Company's common stock under the Sales Agreement. The shares were sold at an average price of $3.7113 per share for aggregate net proceeds to the Company of approximately $12.1 million, after deducting sales commissions and offering costs payable by the Company. During the three months ended March 31, 2022, no shares of our common stock were issued or sold under the Sales Agreement.</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Term Loan Warrants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Company’s former Loan and Security Agreement with Oxford Finance LLC and Silicon Valley Bank (the “Lenders”), which provided for term loans to the Company in an aggregate principal amount of up to $15 million in two tranches on January 15, 2016, the Company issued the Lenders warrants to purchase 40,790 shares of common stock at a per share exercise price of $5.516. The warrants were immediately exercisable upon issuance, and other than in connection with certain mergers or acquisitions, will expire on the ten-year anniversary of the date of issuance. The fair value of the warrants was estimated at $0.2 million using a Black-Scholes model and assuming: (i) expected volatility of 100.8%, (ii) risk free interest rate of 1.83%, (iii) an expected life of 10 years and (iv) no dividend payments. The fair value of the warrants was included as a discount to the term loans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 w:name="page12"/>
    <w:bookmarkEnd w:id="11"/>
    <w:p>
      <w:pPr>
        <w:ind w:right="320"/>
        <w:spacing w:after="0" w:line="282" w:lineRule="auto"/>
        <w:rPr>
          <w:sz w:val="20"/>
          <w:szCs w:val="20"/>
          <w:color w:val="auto"/>
        </w:rPr>
      </w:pPr>
      <w:r>
        <w:rPr>
          <w:rFonts w:ascii="Times New Roman" w:cs="Times New Roman" w:eastAsia="Times New Roman" w:hAnsi="Times New Roman"/>
          <w:sz w:val="18"/>
          <w:szCs w:val="18"/>
          <w:color w:val="auto"/>
        </w:rPr>
        <w:t>drawn at such time and also as a component of additional paid-in capital and were amortized to interest expense over the term of the loan. Although the term loans were repaid in August 2018, all related warrants were outstanding and exercisable as of March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 AWARD PLAN AND STOCK-BASED COMPENSATION</w:t>
      </w:r>
    </w:p>
    <w:p>
      <w:pPr>
        <w:spacing w:after="0" w:line="22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In December 2013, the Company adopted the 2013 Equity Incentive Plan (as subsequently amended and restated, the “Plan”), which provides for the issuance of options, stock appreciation rights, stock awards and stock units. Pursuant to Nasdaq listing rules, the Company issued inducement awards in December 2017 to the Company’s President outside of the Plan in the form of an option to purchase 775,000 shares of the Company’s common stock and a RSU award to purchase 40,000 shares of the Company’s common stock. As of September 30, 2020, all remaining inducement awards have been canceled or expired. In June 2020, the Company increased the aggregate number of shares of common stock authorized for issuance under the Plan by 2,000,000 shares.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Option Exchange Program</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11, 2021, the Company’s stockholders, upon recommendation of the board of directors of the Company, approved a one-time stock option exchange program (the “Exchange Program”) for certain employee option holders (including its named executive officers) (the “Eligible Participants”) who remained employed by the Company through the completion of the Exchange Program. The Exchange Program permitted Eligible Participants to surrender stock options issued and outstanding under the Plan granted before July 1, 2020, with a per-share exercise price of $4.47 or greater (the “Eligible Options”), in exchange for a grant of performance-based restricted stock units (“PRSUs”) that will settle in shares of the Company’s common stock upon vesting. 50% of the new PRSUs will vest upon the U.S. Food and Drug Administration’s (“FDA”) acceptance of a new drug application for roluperidone, provided that such acceptance is not “over protest” and occurs within three years after the grant date. The remaining new PRSUs will vest upon roluperidone receiving FDA marketing approval provided that such approval occurs within five years after the grant date.</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July 6, 2021, the Company filed with the SEC a Tender Offer Statement on Schedule TO disclosing the terms and conditions of the Exchange Program. The Exchange Program closed on August 3, 2021. On August 6, 2021, options to purchase 7,631,844 shares of the Company’s common stock were exchanged for 3,813,150 PRSUs. Options surrendered in the Exchange Program were cancelled and shares subject to the cancelled options again became available for issuance under the Plan.</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non-cash incremental stock-based compensation cost associated with the Exchange Program was $0.5 million. This incremental cost was measured as the excess of the fair value of each new PRSU, measured as of the date the new PRSUs were granted, over the fair value of the stock options surrendered in exchange for the new PRSU, measured immediately prior to the cancellation. This incremental compensation cost will be recognized when it is deemed probable that the two vesting conditions of the PRSUs will be achieved.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employees and non-employees for the three months ended March 31, 2022 is as follows: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(in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January 1, 2022</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2,119,467</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March 31, 2022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3,619,467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March 31, 2022</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1,244,466</w:t>
            </w:r>
          </w:p>
        </w:tc>
        <w:tc>
          <w:tcPr>
            <w:tcW w:w="2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Available for future grant</w:t>
            </w: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gridSpan w:val="2"/>
            <w:vMerge w:val="continue"/>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2,937,269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outstanding on March 31, 2022 was $1.92 per share. Total unrecognized compensation costs related to non-vested stock options at March 31, 2022 were approximately $2.16 million and are expected to be recognized within future operating results over a weighted-average period of 2.14 years. The total intrinsic value of the options exercised during the three months ended March 31, 2022, and 2021 was zero.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expected term of the employee-related options was estimated using the “simplified” method as defined by the SEC’s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The volatility assumption was determined by examining the historical volatilities for industry peer companies, as the Company did not have sufficient trading history for its common stock.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purposes of estimating the fair value of the options.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model to estimate the fair value of stock options granted. There were no stock options granted during the three months ended March 31, 2021. For stock options granted during the three months ended March 31, 2022, the Company utilized the following assumptions: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6960" w:type="dxa"/>
            <w:vAlign w:val="bottom"/>
            <w:tcBorders>
              <w:bottom w:val="single" w:sz="8" w:color="CFF0FC"/>
            </w:tcBorders>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23"/>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6.25</w:t>
            </w:r>
          </w:p>
        </w:tc>
      </w:tr>
      <w:tr>
        <w:trPr>
          <w:trHeight w:val="22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1.96%</w:t>
            </w:r>
          </w:p>
        </w:tc>
      </w:tr>
      <w:tr>
        <w:trPr>
          <w:trHeight w:val="230"/>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97.18%</w:t>
            </w:r>
          </w:p>
        </w:tc>
      </w:tr>
      <w:tr>
        <w:trPr>
          <w:trHeight w:val="22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w:t>
            </w:r>
          </w:p>
        </w:tc>
      </w:tr>
      <w:tr>
        <w:trPr>
          <w:trHeight w:val="229"/>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share of common stock</w:t>
            </w: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$0.62</w:t>
            </w:r>
          </w:p>
        </w:tc>
      </w:tr>
    </w:tbl>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22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On August 6, 2021, the Company granted 3,813,150 PRSUs through the Exchange Program. The Exchange Program was treated as a Type II modification (Probable-to improbable) under ASC 718. The total PRSUs outstanding at March 31, 2022 was 3,651,403. The Company will recognize the unrecognized grant-date fair value of the pre-modification stock options as well as any incremental non-cash compensation cost of the PRSUs granted in the Exchange Program, if the vesting conditions of the PRSUs are achieved or if they become probable. The Company is using the pre-modification stock options for determining the compensation cost related to the PRSUs as the vesting conditions remain uncertain for the new PRSUs. The total unrecognized compensation costs related to non-vested stock options at March 31, 2022 were approximately $2.89 million and are expected to be recognized within future operating results over a weighted-average period of 1.25 years. As of March 31, 2022, no PRSUs have vested and 161,747 have been cancelled.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stock-based compensation expense included in the Company’s consolidated statements of operations: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5"/>
        </w:trPr>
        <w:tc>
          <w:tcPr>
            <w:tcW w:w="61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501,173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644,176</w:t>
            </w:r>
          </w:p>
        </w:tc>
        <w:tc>
          <w:tcPr>
            <w:tcW w:w="100" w:type="dxa"/>
            <w:vAlign w:val="bottom"/>
            <w:shd w:val="clear" w:color="auto" w:fill="CFF0FC"/>
          </w:tcPr>
          <w:p>
            <w:pPr>
              <w:spacing w:after="0"/>
              <w:rPr>
                <w:sz w:val="19"/>
                <w:szCs w:val="19"/>
                <w:color w:val="auto"/>
              </w:rPr>
            </w:pPr>
          </w:p>
        </w:tc>
      </w:tr>
      <w:tr>
        <w:trPr>
          <w:trHeight w:val="229"/>
        </w:trPr>
        <w:tc>
          <w:tcPr>
            <w:tcW w:w="6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551,483</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871,888</w:t>
            </w:r>
          </w:p>
        </w:tc>
        <w:tc>
          <w:tcPr>
            <w:tcW w:w="100" w:type="dxa"/>
            <w:vAlign w:val="bottom"/>
            <w:tcBorders>
              <w:bottom w:val="single" w:sz="8" w:color="CFF0FC"/>
            </w:tcBorders>
          </w:tcPr>
          <w:p>
            <w:pPr>
              <w:spacing w:after="0"/>
              <w:rPr>
                <w:sz w:val="19"/>
                <w:szCs w:val="19"/>
                <w:color w:val="auto"/>
              </w:rPr>
            </w:pPr>
          </w:p>
        </w:tc>
      </w:tr>
      <w:tr>
        <w:trPr>
          <w:trHeight w:val="22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1,052,656</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1,516,064</w:t>
            </w:r>
          </w:p>
        </w:tc>
        <w:tc>
          <w:tcPr>
            <w:tcW w:w="100" w:type="dxa"/>
            <w:vAlign w:val="bottom"/>
            <w:shd w:val="clear" w:color="auto" w:fill="CFF0FC"/>
          </w:tcPr>
          <w:p>
            <w:pPr>
              <w:spacing w:after="0"/>
              <w:rPr>
                <w:sz w:val="19"/>
                <w:szCs w:val="19"/>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 December 8, 2020 and January 11, 2021, purported stockholders of the Company filed two putative securities class action complaints in the United States District Court for the District of Massachusetts, entitled </w:t>
      </w:r>
      <w:r>
        <w:rPr>
          <w:rFonts w:ascii="Times New Roman" w:cs="Times New Roman" w:eastAsia="Times New Roman" w:hAnsi="Times New Roman"/>
          <w:sz w:val="18"/>
          <w:szCs w:val="18"/>
          <w:i w:val="1"/>
          <w:iCs w:val="1"/>
          <w:color w:val="auto"/>
        </w:rPr>
        <w:t>McCoy v. Minerva Neurosciences, Inc., et al., No. 1:20-cv-12176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Ao v. Minerva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Neurosciences, Inc. et al., No. 1:21-cv-10051</w:t>
      </w:r>
      <w:r>
        <w:rPr>
          <w:rFonts w:ascii="Times New Roman" w:cs="Times New Roman" w:eastAsia="Times New Roman" w:hAnsi="Times New Roman"/>
          <w:sz w:val="18"/>
          <w:szCs w:val="18"/>
          <w:color w:val="auto"/>
        </w:rPr>
        <w:t>, respectively, against the Company and the Company’s Chairman and Chief Executive Officer (collectively,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“Defendants"). The complaints are nearly identical and allege that the Defendants made material false and/or misleading statements regarding the development of the Company’s drug candidate roluperidone purportedly causing losses to investors who acquired the Company’s common stock between May 15, 2017 and November 30, 2020. The complaints do not quantify any alleged damages but, in addition to attorneys' fees and costs, plaintiffs seek to recover damages on behalf of themselves and others who acquired the Company’s stock during the putative class period at allegedly inflated prices and purportedly suffered financial harm as a result. On March 5, 2021, the Court entered an order consolidating the actions into a case captioned </w:t>
      </w:r>
      <w:r>
        <w:rPr>
          <w:rFonts w:ascii="Times New Roman" w:cs="Times New Roman" w:eastAsia="Times New Roman" w:hAnsi="Times New Roman"/>
          <w:sz w:val="18"/>
          <w:szCs w:val="18"/>
          <w:i w:val="1"/>
          <w:iCs w:val="1"/>
          <w:color w:val="auto"/>
        </w:rPr>
        <w:t>In re Minerva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Neurosciences, Inc. Securities Litigation, No. 1:20-cv-12176 </w:t>
      </w:r>
      <w:r>
        <w:rPr>
          <w:rFonts w:ascii="Times New Roman" w:cs="Times New Roman" w:eastAsia="Times New Roman" w:hAnsi="Times New Roman"/>
          <w:sz w:val="18"/>
          <w:szCs w:val="18"/>
          <w:color w:val="auto"/>
        </w:rPr>
        <w:t>and appointing lead plaintiffs and their counsel. On March 19, 2021, the parties filed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stipulated proposed order with the Court staying the Defendants’ response to the complaint until after plaintiffs file an amended complaint. On May 5, 2021, the parties filed a stipulation and proposed order voluntarily dismissing the lawsuit on behalf of the appointed lead plaintiffs. Also on May 5, 2021, a second plaintiff filed a motion for appointment as lead plaintiff, which the Court granted on May 21, 2021. On June 9, 2021, before the lead plaintiff’s deadline to amend the complaint and before defendants filed any response to the complaint, the parties stipulated to voluntary dismissal of the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lawsuit on behalf of the appointed lead plaintiff. The Court entered the parties’ stipulation of dismissal on July 9, 2021 and closed the case.</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Note 9 for the Company’s current lease commitments.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May 5, 2021, the Company entered into an office lease agreement with BP Reservoir Place to lease approximately 5,923 rentable square feet of office space located at 1601 Trapelo Road, Waltham, MA 02451. The term of the lease agreement began on August 1, 2021 and will expire on July 31, 2022, with an annual rate of $239,881.50 payable in equal monthly installments. The Company has elected to not recognize the lease agreement on the balance sheet as the term of the agreement is 12 months or less. The total operating lease costs during the three months ended March 31, 2022 were $59,970.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lease as of March 31, 2022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14"/>
                <w:szCs w:val="14"/>
                <w:color w:val="auto"/>
              </w:rPr>
            </w:pPr>
          </w:p>
        </w:tc>
      </w:tr>
      <w:tr>
        <w:trPr>
          <w:trHeight w:val="173"/>
        </w:trPr>
        <w:tc>
          <w:tcPr>
            <w:tcW w:w="512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Future Operating Lease Payments</w:t>
            </w:r>
          </w:p>
        </w:tc>
        <w:tc>
          <w:tcPr>
            <w:tcW w:w="3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120" w:type="dxa"/>
            <w:vAlign w:val="bottom"/>
          </w:tcPr>
          <w:p>
            <w:pPr>
              <w:spacing w:after="0"/>
              <w:rPr>
                <w:sz w:val="15"/>
                <w:szCs w:val="15"/>
                <w:color w:val="auto"/>
              </w:rPr>
            </w:pPr>
          </w:p>
        </w:tc>
      </w:tr>
      <w:tr>
        <w:trPr>
          <w:trHeight w:val="223"/>
        </w:trPr>
        <w:tc>
          <w:tcPr>
            <w:tcW w:w="1140" w:type="dxa"/>
            <w:vAlign w:val="bottom"/>
          </w:tcPr>
          <w:p>
            <w:pPr>
              <w:spacing w:after="0"/>
              <w:rPr>
                <w:sz w:val="19"/>
                <w:szCs w:val="19"/>
                <w:color w:val="auto"/>
              </w:rPr>
            </w:pPr>
          </w:p>
        </w:tc>
        <w:tc>
          <w:tcPr>
            <w:tcW w:w="3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33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79,960</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 at March 31, 2022</w:t>
            </w:r>
          </w:p>
        </w:tc>
        <w:tc>
          <w:tcPr>
            <w:tcW w:w="3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79,960</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770"/>
        </w:trPr>
        <w:tc>
          <w:tcPr>
            <w:tcW w:w="11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18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2021 as filed with the Securities and Exchange Commission on March 1,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proprietary product candidates to treat patients suffering from central nervous system (“CNS”) diseases. Leveraging our scientific insights and clinical experience, we have acquired or in-licensed compounds that we believe have innovative mechanisms of actions and therapeutic profiles that potentially address the unmet needs of patients with these diseases.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developing roluperidone for the treatment of negative symptoms in patients with schizophrenia and have exclusive rights to develop and commercialize MIN-301 for the treatment of Parkinson’s disease. In addition, we previously co-developed seltorexant with Janssen Pharmaceutica NV (“Janssen”) for the treatment of insomnia disorder and adjunctive treatment of Major Depressive Disorder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 In January 2021, we sold our rights to these potential royalties to Royalty Pharma plc (“Royalty Pharma”).</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not received regulatory approvals to commercialize any of our product candidates, and we have not generated any revenue from the sales or license of our product candidates. We have incurred significant operating losses every year since inception. We expect to incur net losses and negative cash flow from operating activities for the foreseeable future in connection with the clinical development and the potential regulatory approval, infrastructure development and potential commercialization of our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and Regulatory Updates</w:t>
      </w:r>
    </w:p>
    <w:p>
      <w:pPr>
        <w:spacing w:after="0" w:line="229" w:lineRule="exact"/>
        <w:rPr>
          <w:sz w:val="20"/>
          <w:szCs w:val="20"/>
          <w:color w:val="auto"/>
        </w:rPr>
      </w:pPr>
    </w:p>
    <w:p>
      <w:pPr>
        <w:ind w:right="520"/>
        <w:spacing w:after="0" w:line="312" w:lineRule="auto"/>
        <w:rPr>
          <w:sz w:val="20"/>
          <w:szCs w:val="20"/>
          <w:color w:val="auto"/>
        </w:rPr>
      </w:pPr>
      <w:r>
        <w:rPr>
          <w:rFonts w:ascii="Times New Roman" w:cs="Times New Roman" w:eastAsia="Times New Roman" w:hAnsi="Times New Roman"/>
          <w:sz w:val="17"/>
          <w:szCs w:val="17"/>
          <w:color w:val="auto"/>
        </w:rPr>
        <w:t>On April 7, 2022 we announced the results from the Type C meeting held on March 2, 2022 with the U.S. Food and Drug Administration’s (“FDA”) Division of Psychiatry (the “Division”) of the Office of Neuroscience regarding roluperidone’s use as a monotherapy for negative symptoms.</w:t>
      </w:r>
    </w:p>
    <w:p>
      <w:pPr>
        <w:spacing w:after="0" w:line="14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Division agreed that there is an unmet need for negative symptom treatments and restated its position following the November 2020 Type C meeting in which they indicated a marketing application was highly unlikely to be filed. The Division also stated at the November 2020 meeting that, at a minimum, there would be substantial review issues due to the lack of two adequate and well-controlled trials to support efficacy claims for this novel indication. The Division acknowledged at the time that the studies appear to show promising signals and encouraged us to continue the drug development program for this indication. Since the Type C meeting in November 2020, we have completed the Open-label extension of the Phase 3 study and have continued to develop roluperidone as a monotherapy specifically for the treatment of negative symptoms of schizophrenia in the subgroup of patients with moderate to severe negative symptoms and stable positive symptoms. The Division advised that several important and substantial concerns remain, including:</w:t>
      </w:r>
    </w:p>
    <w:p>
      <w:pPr>
        <w:spacing w:after="0" w:line="63" w:lineRule="exact"/>
        <w:rPr>
          <w:sz w:val="20"/>
          <w:szCs w:val="20"/>
          <w:color w:val="auto"/>
        </w:rPr>
      </w:pPr>
    </w:p>
    <w:p>
      <w:pPr>
        <w:ind w:left="880" w:right="120" w:hanging="373"/>
        <w:spacing w:after="0" w:line="266"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the results of the Phase 2b study (conducted in Europe) to the U.S. population. We presented data in the briefing document sent to the Division in advance of the meeting showing comparable baseline data and efficacy across both U.S. and ex-U.S. patients in the Phase 3 study.</w:t>
      </w:r>
    </w:p>
    <w:p>
      <w:pPr>
        <w:spacing w:after="0" w:line="67" w:lineRule="exact"/>
        <w:rPr>
          <w:rFonts w:ascii="Times New Roman" w:cs="Times New Roman" w:eastAsia="Times New Roman" w:hAnsi="Times New Roman"/>
          <w:sz w:val="18"/>
          <w:szCs w:val="18"/>
          <w:color w:val="auto"/>
        </w:rPr>
      </w:pPr>
    </w:p>
    <w:p>
      <w:pPr>
        <w:ind w:left="880" w:right="40" w:hanging="373"/>
        <w:spacing w:after="0" w:line="255"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use of post hoc analyses for the primary endpoint results of the Phase 3 study. The Division added that even with the exclusion of one trial site that we believe to be subject to potential data integrity issues, the overall study remains negative. For the Phase 3 study to be positive, where the truncated Hochberg procedure was used to control the overall Type I error, both roluperidone doses must be statistically significant versus placebo, which was not the case for the 32 mg dose. We confirmed in post-meeting follow-up that the exclusion of one site had been prespecified in the SAP submitted to the Division in May 2020 before the unblinding of the double-blind data. Excluding the trial site with data integrity issues resulted in a nominal p-value of 0.044 on the primary endpoint for the 64 mg dose. In the Phase 2b study the 64 mg and the 32 mg doses of roluperidone achieved statistical significance versus placebo.</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Division sought reassurance that we could reliably identify patients who do not need antipsychotics and how to evaluate the stability of those patients, and potential recurrence of positive symptoms of those patients, what would be considered a significant change in symptoms, how much time patients should be monitored to evaluate whether positive symptoms will recur, and what should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be done if positive symptoms recur. We informed the Division that we believe this patient population can be readily identified by clinicians, that this patient population presents commonly in clinical practice, that there is an unmet need for treatments for these patients and that we expect that the population could be clearly characterized in product labelling.</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Division pointed out that prescribers are likely to use roluperidone in a way that differs significantly from the intended monotherapy use, noting that at this time, there are no data to show that roluperidone does not interfere with the safety or efficacy of antipsychotic medications. We stated that we believe that findings from the completed Phase 2b (MIN101-C03) and Phase 3 (MIN101-C07) studies, (in which roluperidone was administered in monotherapy without concomitant use of antipsychotic medications), demonstrate continued stability of positive symptoms in patients over time. We stated that the relapse rate in these trials was less than 15% of the treated population compared to relapse rates of more than 25% in other trials in which patients were treated with antipsychotics. Following the meeting, we submitted additional data to the Division from the Phase 2b and Phase 3 studies demonstrating that roluperidone does not interfere with the efficacy of antipsychotics in patients who suffered relapse and withdrew from the studies.</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Division confirmed that results from the pivotal bridging Bioequivalence study appear to be adequate for a future acceptable New Drug Application (“NDA”) submission but advised that final confirmation of this would be a matter of review and also acknowledged that our initial pediatric study plan (“iPSP”) dated November 28, 2017, remains in force.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continue to believe that we have conducted two adequate and well controlled studies for the intended indication, and that the data from these studies are sufficient to support a marketing application. We view the concerns raised regarding the data from the Phase 2b and Phase 3 studies as those that FDA would ordinarily consider during its review of an NDA.</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the end of the meeting, the Division suggested that there may be a way to address its concerns, whether the completed studies provide substantial evidence that negative symptoms are responsive to roluperidone, concurrently with the questions about positive symptoms and coadministration with antipsychotic medication through the acquisition of additional data. The Division advised that collection of additional data could begin in parallel with our preparations for a potential marketing application and need not be deferred until a determination about submission or filing of the application has been made.</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Subject to the timing and feedback from the FDA, we continue to prepare for a potential submission of an NDA for roluperidone during the third quarter of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7"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None of our product candidates have been approved for commercialization and we have not received any revenue in connection with the sale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of our product candidates.</w:t>
      </w:r>
    </w:p>
    <w:p>
      <w:pPr>
        <w:spacing w:after="0" w:line="15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costs are expensed as they are incurred and consist principally of costs incurred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development of our product candidates including: fees paid to consultants and clinical research organizations (“CROs”), investigator grants, patient screening, lab work, database management, material management, statistical analysis, license fees, regulatory compliance, and costs related to salaries, benefits, bonuses and stock-based compensation granted to employees in research and development functions.</w:t>
      </w:r>
    </w:p>
    <w:p>
      <w:pPr>
        <w:spacing w:after="0" w:line="18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Completion dates and costs can vary significantly by product candidate and are difficult to predict. We anticipate making determinations as to which programs to pursue and the level of funding to direct to each program on an ongoing basis in response to the scientific and clinical success or failure of each product candidate, the estimated costs to continue the development program relative to our available resources, as well as an ongoing assessment of each product candidate’s commercial potential. We will need to raise additional capital or may seek additional product collaborations in the future to complete the development and commercialization of our product candidates.</w:t>
      </w:r>
    </w:p>
    <w:p>
      <w:pPr>
        <w:spacing w:after="0" w:line="18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costs are expensed as they are incurred and consist principally of costs for facility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systems, professional fees for auditing, consulting and legal services and costs related to salaries, benefits, bonuses and stock-based compensation granted to employees in administrative functions. General and administrative expenses also include costs for maintaining a publicly listed company including increased audit and legal fees, compliance with securities laws, corporate governance and investor relations.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Exchange (Losses) Gains. </w:t>
      </w:r>
      <w:r>
        <w:rPr>
          <w:rFonts w:ascii="Times New Roman" w:cs="Times New Roman" w:eastAsia="Times New Roman" w:hAnsi="Times New Roman"/>
          <w:sz w:val="18"/>
          <w:szCs w:val="18"/>
          <w:color w:val="auto"/>
        </w:rPr>
        <w:t>Foreign exchange (losses) gains are comprised primarily of losses and gains on foreign currency transactions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research and development expenses. We incur certain expenses, primarily in Euros, and record these expenses in United States Dollars at the time the liability is incurred. Changes in the applicable foreign currency rate between the date that an expense is recorded and the payment date is recorded as a foreign currency loss or gain.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 xml:space="preserve">Investment Income. </w:t>
      </w:r>
      <w:r>
        <w:rPr>
          <w:rFonts w:ascii="Times New Roman" w:cs="Times New Roman" w:eastAsia="Times New Roman" w:hAnsi="Times New Roman"/>
          <w:sz w:val="18"/>
          <w:szCs w:val="18"/>
          <w:color w:val="auto"/>
        </w:rPr>
        <w:t>Investment income consists of income earned on our cash equivalents and marketable securities.</w:t>
      </w:r>
    </w:p>
    <w:p>
      <w:pPr>
        <w:spacing w:after="0" w:line="22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Non-cash interest expense for the sale of future royalties. </w:t>
      </w:r>
      <w:r>
        <w:rPr>
          <w:rFonts w:ascii="Times New Roman" w:cs="Times New Roman" w:eastAsia="Times New Roman" w:hAnsi="Times New Roman"/>
          <w:sz w:val="18"/>
          <w:szCs w:val="18"/>
          <w:color w:val="auto"/>
        </w:rPr>
        <w:t>Non-cash interest expense for the sale of future royalties consists of the non-cash interest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Royalty Pharma agreement.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2022 versus March 31,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$5.0 million and $3.3 million for the three months ended March 31, 2022 and 2021, respectively, an increase of approximately $1.7 million. The increase in research and development expenses was primarily due to higher consulting fees related to NDA support activities. Non-cash stock compensation expense included in research and development expenses was $0.5 million and $0.6 million for the three months ended March 31, 2022 and 2021,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$3.0 million and $4.2 million for the three months ended March 31, 2022 and 2021, respectively, a decrease of approximately $1.2 million. The decrease in general and administrative expenses was primarily due to lower staffing related expenses, non-cash stock compensation expense, lower legal and insurance costs. Non-cash stock compensation expense included in general and administrative expenses was $0.6 million and $0.9 million for the three months ended March 31, 2022 and 2021,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Losses</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Foreign exchange losses were $4,000 and $5,000 for the three months ended March 31, 2022 and 2021, respectively, a decrease of $1,000 primarily due to fewer negative currency movements.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2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Investment income was $7,000 and $4,000 for the three months ended March 31, 2022 and 2021, respectively, an increase of $3,000 primarily due to slightly higher interest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interest expense for the sale of future royalties</w:t>
      </w:r>
    </w:p>
    <w:p>
      <w:pPr>
        <w:spacing w:after="0" w:line="22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Non-cash interest expense for the sale of future royalties was $1.8 million and $1.3 million for the three months ended March 31, 2022 and 2021, respectively, an increase of $0.5 million. The increase was primarily due to the higher effective interest rate during 2022 and the increase in the carrying value of the liability related to the sale of future royalties for seltorexant to Royalty Pharma in accordance with ASC 470, Debt.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March 31, 2022, we had an accumulated deficit of approximately $344.5 million. We anticipate that we will continue to incur net losses for the foreseeable future as we continue the development and potential commercialization of our product candidates and to support our operations as a public company. At March 31, 2022, we had approximately $55.0 million in cash, cash equivalents, and restricted cash. In January 2021 Royalty Pharma acquired our royalty interest in seltorexant for an upfront payment of $60 million and up to an additional $95 million in potential milestone payments. The potential future milestone payments to us will be contingent on the achievement of certain clinical, regulatory and commercialization milestones for seltorexant by Janssen. Seltorexant is currently in Phase 3 development for the treatment of MDD with insomnia symptoms by Janssen. We believe that our existing cash, cash equivalents and restricted cash will be sufficient to meet our cash commitments for at least the next 12 months after the date that the financial statements are issued. Our material cash requirements primarily relate to expenditures for the continued development of roluperidone and NDA preparation activities.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Funds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Offering Program</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August 2018 we entered into the Sales Agreement with Jefferies LLC pursuant to which we may offer and sell, from time to time, through Jefferies, up to $50.0 million in shares of our common stock, by any method permitted by law deemed to be an “at-the-market” offering as defined in Rule 415 promulgated under the Securities Act of 1933, as amended. During the year ended December 31, 2020, we issued and sold 3,381,608 shares of our common stock under the Sales Agreement. The shares were sold at an average price of $3.7113 per share for aggregate net proceeds to us of approximately $12.1 million, after deducting sales commissions and offering costs payable by us. During the three months ended March 31, 2022, no shares of our common stock were issued or sold under the Sales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Seltorexant Royalties</w:t>
      </w:r>
    </w:p>
    <w:p>
      <w:pPr>
        <w:spacing w:after="0" w:line="227"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We previously co-developed seltorexant with Janssen for the treatment of insomnia disorder and adjunctive treatment of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w:t>
      </w:r>
    </w:p>
    <w:p>
      <w:pPr>
        <w:spacing w:after="0" w:line="15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January 19, 2021 we entered into an agreement under which Royalty Pharma acquired our royalty interest in seltorexant for an upfront payment of $60 million and up to an additional $95 million in potential milestone payments, contingent upon the achievement of certain clinical, regulatory and commercial milestones for seltorexant by Janssen.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Funds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revenue from sales of products. We have only generated collaborative revenue due to opting out of our license and co-development agreement with Janssen. Furthermore, the $60 million payment received from Royalty Pharma for the sale of our royalty interests in seltorexant has been included on our balance sheet under Liability related to the sale of future royalties We do not know when, or if, we will generate any revenue from sales of our products, or from the potential future non-cash royalty revenue associated with the sale of our royalty interests in seltorexant to Royalty Pharma.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government or other third-party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and the uncertainty and volatility in the capital markets caused by the continuing COVID-19 pandemic may negatively impact the availability and cost of capital. If we are unable to obtain additional financing, future operations would need to be scaled back or discontinued. We believe that our existing cash, cash equivalents, and restricted cash will be sufficient to meet our cash commitments for at least the next 12 months after the date that the interim condensed consolidated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set forth our significant sources and uses of cash for the periods.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3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2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60" w:type="dxa"/>
            <w:vAlign w:val="bottom"/>
            <w:tcBorders>
              <w:bottom w:val="single" w:sz="8" w:color="auto"/>
            </w:tcBorders>
          </w:tcPr>
          <w:p>
            <w:pPr>
              <w:jc w:val="right"/>
              <w:ind w:right="2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5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42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360" w:type="dxa"/>
            <w:vAlign w:val="bottom"/>
            <w:gridSpan w:val="5"/>
          </w:tcPr>
          <w:p>
            <w:pPr>
              <w:jc w:val="right"/>
              <w:ind w:right="33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9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820" w:type="dxa"/>
            <w:vAlign w:val="bottom"/>
            <w:gridSpan w:val="2"/>
          </w:tcPr>
          <w:p>
            <w:pPr>
              <w:jc w:val="right"/>
              <w:ind w:right="70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98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9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9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FF0FC"/>
            </w:tcBorders>
          </w:tcPr>
          <w:p>
            <w:pPr>
              <w:spacing w:after="0"/>
              <w:rPr>
                <w:sz w:val="19"/>
                <w:szCs w:val="19"/>
                <w:color w:val="auto"/>
              </w:rPr>
            </w:pPr>
          </w:p>
        </w:tc>
      </w:tr>
      <w:tr>
        <w:trPr>
          <w:trHeight w:val="22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19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FF0FC"/>
          </w:tcPr>
          <w:p>
            <w:pPr>
              <w:spacing w:after="0"/>
              <w:rPr>
                <w:sz w:val="19"/>
                <w:szCs w:val="19"/>
                <w:color w:val="auto"/>
              </w:rPr>
            </w:pPr>
          </w:p>
        </w:tc>
      </w:tr>
      <w:tr>
        <w:trPr>
          <w:trHeight w:val="20"/>
        </w:trPr>
        <w:tc>
          <w:tcPr>
            <w:tcW w:w="420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approximately $5.8 million during the three months ended March 31, 2022 was primarily due our net loss of $9.8 million and a $0.3 million decrease in accounts payable, partially offset by non-cash interest expense for the sale of future royalties of $1.8 million, stock-based compensation expense of $1.1 million, a $0.7 million decrease in prepaid expense, and an increase in accrued expenses of $0.7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of approximately $5.2 million during the three months ended March 31, 2021 was primarily due our net loss of $8.8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partially offset by stock-based compensation expense of $1.5 million, non-cash interest expense for the sale of future royalties of $1.3 million,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 million decrease in prepaid expense, a $0.1 million increase in accounts payable, and an increase in accrued expenses of approximately $0.2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investing activities was zero during the three months ended March 31, 2022 and 2021.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was zero during the three months ended March 31, 2022.</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$60 million during the three months ended March 31, 2021 was due to the proceeds from the sale of future royalties of $60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our Annual Report on Form 10-K for the fiscal year ended December 31, 2021, our most critical accounting policies and estimates upon which our financial status depends were identified as those relating to research and development costs; in-process research and development; goodwill; income taxes; and the liability related to the sale of future royalties. We reviewed our policies and determined that those policies were our most critical accounting policies for the three months ended March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and are adopted by us as of the specified effective date. See Note 2 of our Annual Report on Form 10-K for the fiscal year ended December 31, 2021 and Note 2 in our condensed consolidated financial statements appearing elsewhere in this Form 10-Q for a description of recent accounting pronouncements applicable to our financial statements. We believe that the impact of recently issued, but not yet adopted, accounting pronouncements will not have a material impact on the condensed consolidated financial statements or do not apply to our operations.</w:t>
      </w: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9"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evaluated the effectiveness of our disclosure controls and procedures as of March 31, 2022. Based on the evaluation of our disclosure controls and procedures as of March 31, 2022, our Chief Executive Officer and Chief Financial Officer concluded that, as of such date, our disclosure controls and procedures were effective at a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during our latest fiscal quarter that would have materially affected, or are reasonably likely to materially affect, our internal control over financial reporting.</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90" w:right="419" w:bottom="1440" w:gutter="0" w:footer="0" w:header="0"/>
        </w:sectPr>
      </w:pPr>
    </w:p>
    <w:bookmarkStart w:id="20" w:name="page21"/>
    <w:bookmarkEnd w:id="2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On December 8, 2020 and January 11, 2021, purported stockholders of the Company filed two putative securities class action complaints in the United States District Court for the District of Massachusetts, entitled </w:t>
      </w:r>
      <w:r>
        <w:rPr>
          <w:rFonts w:ascii="Times New Roman" w:cs="Times New Roman" w:eastAsia="Times New Roman" w:hAnsi="Times New Roman"/>
          <w:sz w:val="18"/>
          <w:szCs w:val="18"/>
          <w:i w:val="1"/>
          <w:iCs w:val="1"/>
          <w:color w:val="auto"/>
        </w:rPr>
        <w:t>McCoy v. Minerva Neurosciences, Inc., et al., No. 1:20-cv-12176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Ao v. Minerva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Neurosciences, Inc. et al., No. 1:21-cv-10051</w:t>
      </w:r>
      <w:r>
        <w:rPr>
          <w:rFonts w:ascii="Times New Roman" w:cs="Times New Roman" w:eastAsia="Times New Roman" w:hAnsi="Times New Roman"/>
          <w:sz w:val="18"/>
          <w:szCs w:val="18"/>
          <w:color w:val="auto"/>
        </w:rPr>
        <w:t>, respectively, against the Company and the Company’s Chairman and Chief Executive Officer (collectively,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“Defendants"). The complaints are nearly identical and allege that the Defendants made material false and/or misleading statements regarding the development of the Company’s drug candidate roluperidone purportedly causing losses to investors who acquired the Company’s common stock between May 15, 2017 and November 30, 2020. The complaints do not quantify any alleged damages but, in addition to attorneys' fees and costs, plaintiffs seek to recover damages on behalf of themselves and others who acquired the Company’s stock during the putative class period at allegedly inflated prices and purportedly suffered financial harm as a result. On March 5, 2021, the Court entered an order consolidating the actions into a case captioned </w:t>
      </w:r>
      <w:r>
        <w:rPr>
          <w:rFonts w:ascii="Times New Roman" w:cs="Times New Roman" w:eastAsia="Times New Roman" w:hAnsi="Times New Roman"/>
          <w:sz w:val="18"/>
          <w:szCs w:val="18"/>
          <w:i w:val="1"/>
          <w:iCs w:val="1"/>
          <w:color w:val="auto"/>
        </w:rPr>
        <w:t>In re Minerva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Neurosciences, Inc. Securities Litigation, No. 1:20-cv-12176 </w:t>
      </w:r>
      <w:r>
        <w:rPr>
          <w:rFonts w:ascii="Times New Roman" w:cs="Times New Roman" w:eastAsia="Times New Roman" w:hAnsi="Times New Roman"/>
          <w:sz w:val="18"/>
          <w:szCs w:val="18"/>
          <w:color w:val="auto"/>
        </w:rPr>
        <w:t>and appointing lead plaintiffs and their counsel. On March 19, 2021, the parties filed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stipulated proposed order with the Court staying the Defendants’ response to the complaint until after plaintiffs file an amended complaint. On May 5, 2021, the parties filed a stipulation and proposed order voluntarily dismissing the lawsuit on behalf of the appointed lead plaintiffs. Also on May 5, 2021, a second plaintiff filed a motion for appointment as lead plaintiff, which the Court granted on May 21, 2021. On June 9, 2021, before the lead plaintiff’s deadline to amend the complaint and before defendants filed any response to the complaint, the parties stipulated to voluntary dismissal of the lawsuit on behalf of the appointed lead plaintiff. The Court entered the parties’ stipulation of dismissal on July 9, 2021 and closed the case.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i w:val="1"/>
          <w:iCs w:val="1"/>
          <w:color w:val="auto"/>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2021, as filed with the SEC on March 1, 2022. The risk factors set forth below are risk factors containing changes, which may be material, from the risk factors previously disclosed in Item 1A of our Annual Report on Form 10-K for the fiscal year ended December 31, 2021, as filed with the SEC.</w:t>
      </w:r>
    </w:p>
    <w:p>
      <w:pPr>
        <w:spacing w:after="0" w:line="1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are a clinical development-stage biopharmaceutical company. In November 2013, we merged with Sonkei Pharmaceuticals, Inc. (“Sonkei”), and, in February 2014, we acquired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As an early stage company, we have limited experience and have not yet demonstrated an ability to successfully overcome many of the risks and uncertainties frequently encountered by companies in new and rapidly evolving fields, particularly the biopharmaceutical area. We have no products approved for commercial sale and have not generated any revenue from product sales to date, and we continue to incur significant research and development and other expenses related to our ongoing operations. Our recent collaborative revenue was due to the recognition of deferred revenue as a result of opting out of an agreement, and is not a recurring source of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we had an accumulated deficit of $344.5 million.</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as we continue our research and development of, and seek regulatory approvals for, our product candidates. If any of our product candidates fail in clinical trials or do not gain regulatory approval, or if any of our product candidates, if approved, fail to achieve market acceptance, we may never generate revenue or become profitable. Even if we achieve profitability in the future, we may not be able to sustain profitability in subsequent periods.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stockholders’ equity and working capital.</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21" w:name="page22"/>
    <w:bookmarkEnd w:id="21"/>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operations and the historic operations of Sonkei and Mind-NRG have consumed substantial amounts of cash since inception. As of March 31, 2022, we had cash, cash equivalents, and restricted cash of $55.0 million. We believe that our existing cash, cash equivalents, and restricted cash will be sufficient to meet our cash commitments for at least the next 12 months after the date that our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both short and long-term, will depend on many factors, including:</w:t>
      </w:r>
    </w:p>
    <w:p>
      <w:pPr>
        <w:spacing w:after="0" w:line="117" w:lineRule="exact"/>
        <w:rPr>
          <w:sz w:val="20"/>
          <w:szCs w:val="20"/>
          <w:color w:val="auto"/>
        </w:rPr>
      </w:pPr>
    </w:p>
    <w:p>
      <w:pPr>
        <w:ind w:left="1000" w:right="580" w:hanging="493"/>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spacing w:after="0" w:line="53" w:lineRule="exact"/>
        <w:rPr>
          <w:rFonts w:ascii="Times New Roman" w:cs="Times New Roman" w:eastAsia="Times New Roman" w:hAnsi="Times New Roman"/>
          <w:sz w:val="18"/>
          <w:szCs w:val="18"/>
          <w:color w:val="auto"/>
        </w:rPr>
      </w:pPr>
    </w:p>
    <w:p>
      <w:pPr>
        <w:ind w:left="1000" w:right="660" w:hanging="493"/>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EMA, FDA, and comparable foreign regulatory authorities, including the potential for such authorities to require that we perform more studies than those that we currently expect;</w:t>
      </w:r>
    </w:p>
    <w:p>
      <w:pPr>
        <w:spacing w:after="0" w:line="53" w:lineRule="exact"/>
        <w:rPr>
          <w:rFonts w:ascii="Times New Roman" w:cs="Times New Roman" w:eastAsia="Times New Roman" w:hAnsi="Times New Roman"/>
          <w:sz w:val="18"/>
          <w:szCs w:val="18"/>
          <w:color w:val="auto"/>
        </w:rPr>
      </w:pPr>
    </w:p>
    <w:p>
      <w:pPr>
        <w:ind w:left="1000" w:right="340" w:hanging="493"/>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 and</w:t>
      </w:r>
    </w:p>
    <w:p>
      <w:pPr>
        <w:spacing w:after="0" w:line="117"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When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raise additional equity financing, our stockholders may experience significant dilution of their ownership interests, and the per-share value of our common stock could decline. If we engage in debt financing, we may be required to accept terms that restrict our ability to incur additional indebtedness and force us to maintain specified liquidity or other ratios. Further, the evolving and volatile global economic climate and global financial market conditions could limit our ability to raise funding and otherwise adversely impact our business or those of our collaborators and providers. If we are unable to raise additional capital in sufficient amounts or on terms acceptable to us we may have to significantly delay, scale back or discontinue the development or commercialization of one or more of our product candidates. Any of these events could significantly harm our business, financial condition and prospects.</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and uncertainties as a result of the ongoing COVID-19 pandemic, and could be subject to risks from further health pandemics or epidemics, as well as uncertainty regarding returning to work and phased re-openings.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business could be adversely affected by the effects of health pandemics or epidemics, including the ongoing COVID-19 pandemic. Beginning in late 2019 and continuing into 2022, the outbreak of COVID-19 has resulted in the declaration of a global pandemic and adversely affected economic activity across virtually all sectors and industries on a local, national, and global scale. While global vaccination efforts are underway and certain jurisdictions, including Massachusetts, where our headquarters are located, have reopened businesses and governmental agencies, there remain limitations on the physical operations of businesses and prohibitions on certain non-essential gatherings, and we are unable to accurately predict the full impact that COVID-19 will have due to numerous uncertainties, including the duration of the outbreak, the result of vaccination efforts, resurgence of the virus including any new variants, actions that may be taken by governmental authorities, the impact on our business including our clinical programs and timelines, and the impact to the business of our service providers and partners. The magnitude of the negative effects of COVID-19 will depend, in part, on the length and severity of the restrictions and other limitations on our ability to conduct our business in the ordinary course, and our ability to respond with minimal disruptions to the evolving restrictions, reopenings, and any future curtailment. These and similar, and perhaps more severe, disruptions in our operations in response to the ongoing COVID-19 pandemic and any future health pandemics or epidemics could negatively impact our business, operating results and financial condition.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2" w:name="page23"/>
    <w:bookmarkEnd w:id="22"/>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our clinical trials may be affected by the COVID-19 pandemic. We may face difficulties enrolling or retaining patients in future clinical trials if patients are affected by the COVID-19 virus or are unable to travel to the clinical trial sites or obtain study medication. Our clinical trials may further be delayed due to prioritization of hospital resources toward the COVID-19 pandemic, and some patients may not be able to comply with clinical trial protocols if quarantines impede patient movement or interrupt healthcare services. Similarly, our ability to recruit and retain principal investigators and site staff who, as healthcare providers, may have heightened exposure to the COVID-19 virus, could be delayed or disrupted, which would adversely impact our clinical trial operations. As a result, we could experience delays in the completion of our trials, which could result in a material adverse impact on our clinical trial plans and timelines.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Furthermore, the COVID-19 pandemic has caused a broad negative impact globally on capital markets and economies worldwide, which could have a negative impact on us economically. While the potential economic impact brought by, and the duration of, the COVID-19 pandemic, may be difficult to assess or predict, it is currently resulting in significant disruption of global financial markets. This disruption, if sustained or recurrent, could have a material adverse effect on our operating results, our ability to raise capital needed to develop and commercialize products and our overall financial condition. In addition, a recession or market correction resulting from the spread of the coronavirus could materially affect the value of our common stock.</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extent of the impact of the COVID-19 pandemic on our business is uncertain and difficult to predict, as the pandemic continues to rapidly evolve. The ultimate impact of the COVID-19 pandemic or a similar health pandemic or epidemic is highly uncertain and subject to change. We do not yet know the extent of potential delays or impacts on our business, our clinical trials, healthcare systems or the global economy as a whole. These effects could have a material impact on our operations, and we will continue to monitor the COVID-19 pandemic closely.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international operations could materially adversely affect our business.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own one Swiss subsidiary, expect to engage in significant cross-border activities, and we will be subject to risks related to international operations, including:</w:t>
      </w:r>
    </w:p>
    <w:p>
      <w:pPr>
        <w:spacing w:after="0" w:line="54" w:lineRule="exact"/>
        <w:rPr>
          <w:sz w:val="20"/>
          <w:szCs w:val="20"/>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maintaining approval of drugs in foreign countries;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contractual and intellectual property rights in certain countries;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880" w:right="440" w:hanging="373"/>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political instability in particular foreign economies and markets, such as the instability caused by Russia’s invasion of Ukraine, or public health issues or pandemics, such as the coronavirus;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laws of various jurisdictions, including with respect to intercompany transfer pricing arrangements and taxable nexus;</w:t>
      </w:r>
    </w:p>
    <w:p>
      <w:pPr>
        <w:spacing w:after="0" w:line="117" w:lineRule="exact"/>
        <w:rPr>
          <w:rFonts w:ascii="Times New Roman" w:cs="Times New Roman" w:eastAsia="Times New Roman" w:hAnsi="Times New Roman"/>
          <w:sz w:val="18"/>
          <w:szCs w:val="18"/>
          <w:color w:val="auto"/>
        </w:rPr>
      </w:pPr>
    </w:p>
    <w:p>
      <w:pPr>
        <w:ind w:left="880" w:right="120" w:hanging="373"/>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North America;</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tighter restrictions on privacy and the collection and use of patient data; and</w:t>
      </w:r>
    </w:p>
    <w:p>
      <w:pPr>
        <w:spacing w:after="0" w:line="117" w:lineRule="exact"/>
        <w:rPr>
          <w:rFonts w:ascii="Times New Roman" w:cs="Times New Roman" w:eastAsia="Times New Roman" w:hAnsi="Times New Roman"/>
          <w:sz w:val="18"/>
          <w:szCs w:val="18"/>
          <w:color w:val="auto"/>
        </w:rPr>
      </w:pPr>
    </w:p>
    <w:p>
      <w:pPr>
        <w:ind w:left="880" w:right="460" w:hanging="373"/>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political instability, hostilities, war and terrorism, such as the military conflict involving Russia and Ukraine, or natural disasters including pandemics, earthquakes, typhoons, floods and fires.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these issues were to occur, our business could be materially harmed.</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ind w:right="20"/>
        <w:spacing w:after="0" w:line="254" w:lineRule="auto"/>
        <w:rPr>
          <w:sz w:val="20"/>
          <w:szCs w:val="20"/>
          <w:color w:val="auto"/>
        </w:rPr>
      </w:pPr>
      <w:r>
        <w:rPr>
          <w:rFonts w:ascii="Times New Roman" w:cs="Times New Roman" w:eastAsia="Times New Roman" w:hAnsi="Times New Roman"/>
          <w:sz w:val="18"/>
          <w:szCs w:val="18"/>
          <w:color w:val="auto"/>
        </w:rPr>
        <w:t>and their employees, agents, contractors, and other collaborators from authorizing, promising, offering, or providing, directly or indirectly, improper payments or anything else of value to recipients in the public or private sector. 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9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9"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processing) personal data and other sensitive data, including proprietary and confidential business data, trade secrets, intellectual property, data we collect about trial participants in connection with clinical trials, sensitive third-party data, and employee data. Our data processing activities may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(e.g. Section 5 of the Federal Trade Commission Act).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In addition, the California Consumer Privacy Act of 2018 (“CCPA”) imposes obligations on covered businesses. These obligations include, but are not limited to, providing specific disclosures in privacy notices and affording California residents certain rights related to their personal data. The CCPA allows for statutory fines for noncompliance (up to $7,500 per violation). Although the CCPA exempts some data processed in the context of clinical trials, the CCPA may increase compliance costs and potential liability with respect to other personal data maintained about California residents. In addition, it is anticipated that the California Privacy Rights Act of 2020 (“CPRA”), effective January 1, 2023, will expand the CCPA. The CPRA establishes a new California Privacy Protection Agency to implement and enforce the CPRA, which could increase the risk of enforcement. Other states have enacted data privacy laws. For example, Virginia passed the Consumer Data Protection Act, Colorado passed the Colorado Privacy Act, and Utah passed the Consumer Privacy Act, all of which become effective in 2023. In addition, data privacy and security laws have been proposed at the federal, state, and local levels in recent years, which could further complicate compliance efforts.</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European Union’s General Data Protection Regulation (“EU GDPR”), and the United Kingdom’s GDPR (“UK GDPR”) impose strict requirements for processing personal data. For example, under the EU GDPR, government regulators may impose temporary or definitive bans on data processing, as well as fines of up to 20 million euros or 4% of annual global revenue, whichever is greater. Further, individuals may initiate litigation related to processing of their personal data.</w:t>
      </w:r>
    </w:p>
    <w:p>
      <w:pPr>
        <w:spacing w:after="0" w:line="18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Certain jurisdictions have enacted data localization laws and cross-border personal data transfer laws, which could make it more difficult to transfer information across jurisdictions (such as transferring or receiving personal data that originates in the EU or in other foreign jurisdictions). Existing mechanisms that facilitate cross-border personal data transfers may change or be invalidated. For example, absent appropriate safeguards or other circumstances, the EU GDPR generally restricts the transfer of personal data to countries outside of the European Economic Area (“EEA”) that the European Commission does not consider to provide an adequate level of data privacy and security, such as the United States. The European Commission released a set of “Standard Contractual Clauses” (“SCCs”) that are designed to be a valid mechanism to facilitate personal data transfers out of the EEA to these jurisdictions.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4" w:name="page25"/>
    <w:bookmarkEnd w:id="24"/>
    <w:p>
      <w:pPr>
        <w:spacing w:after="0" w:line="253" w:lineRule="auto"/>
        <w:rPr>
          <w:sz w:val="20"/>
          <w:szCs w:val="20"/>
          <w:color w:val="auto"/>
        </w:rPr>
      </w:pPr>
      <w:r>
        <w:rPr>
          <w:rFonts w:ascii="Times New Roman" w:cs="Times New Roman" w:eastAsia="Times New Roman" w:hAnsi="Times New Roman"/>
          <w:sz w:val="18"/>
          <w:szCs w:val="18"/>
          <w:color w:val="auto"/>
        </w:rPr>
        <w:t>Currently, these SCCs are a valid mechanism to transfer personal data outside of the EEA, but there exists some uncertainty regarding whether the SCCs will remain a valid mechanism. Additionally, the SCCs impose additional compliance burdens, such as conducting transfer impact assessments to determine whether additional security measures are necessary to protect the at-issue personal data. In addition, the UK similarly restrict personal data transfers outside of those jurisdictions to countries such as the United States that do not provide an adequate level of personal data protection, and certain countries outside Europe (e.g. China)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data privacy and security laws, we may be contractually subject to data privacy and security obligations, including industry standards adopted by industry groups and may become subject to new data privacy and security obligations in the future. For example, certain privacy laws require our customers to impose specific contractual restrictions on their service providers.</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significant resources and may necessitate changes to our information technologies, systems, and practices and to those of any third parties that process personal data on our behalf.</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proceedings against us by governmental entities or others.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185"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may process proprietary, confidential, and sensitive data, including personal data (such as health-related data), intellectual property, and trade secrets (collectively, sensitive information). We may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content delivery to customers, and other functions. Our ability to monitor these third parties’ information security practices is limited, and these third parties may not have adequate information security measures in place. We may share or receive sensitive information with or from third parties.</w:t>
      </w:r>
    </w:p>
    <w:p>
      <w:pPr>
        <w:spacing w:after="0" w:line="187"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Cyberattacks, malicious internet-based activity, and online and offline fraud are prevalent and continue to increase. These threats are becoming increasingly difficult to detect. These threats come from a variety of sources, including traditional computer “hackers,”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supply chain, and ability to produce, sell and distribute our goods and services. We and the third parties upon which we rely may be subject to a variety of evolving threats, including but not limited to social-engineering attacks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ind w:right="120"/>
        <w:spacing w:after="0" w:line="261" w:lineRule="auto"/>
        <w:rPr>
          <w:sz w:val="20"/>
          <w:szCs w:val="20"/>
          <w:color w:val="auto"/>
        </w:rPr>
      </w:pPr>
      <w:r>
        <w:rPr>
          <w:rFonts w:ascii="Times New Roman" w:cs="Times New Roman" w:eastAsia="Times New Roman" w:hAnsi="Times New Roman"/>
          <w:sz w:val="18"/>
          <w:szCs w:val="18"/>
          <w:color w:val="auto"/>
        </w:rPr>
        <w:t>(including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 Future or past business transactions (such as acquisitions or integrations) could expose us to additional cybersecurity risks and vulnerabilities, as our systems could be negatively affected by vulnerabilities present in acquired or integrated entities’ systems and technologies. The COVID-19 pandemic and our remote workforce also poses increased risks to our information technology systems and data, as more of our employees work from home, utilizing network connections outside our premises.</w:t>
      </w:r>
    </w:p>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our sensitive information. A security incident or other interruption could disrupt our ability (and that of third parties upon whom we rely) to provide our services.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or those of a third party upon whom we rely, will be effective. For example, an external contractor experienced a cyberattack in 2019, which resulted in a disruption to patient recruitment in our Phase 3 clinical trial of roluperidone. We may be unable in the future to detect vulnerabilities in our information technology systems because such threats and techniques change frequently, are often sophisticated in nature, and may not be detected until after a security incident has occurred. Despite our efforts to identify and address vulnerabilities, if any, in our information technology systems, our efforts may not be successful. Further, we may experience delays in developing and deploying remedial measures designed to address any such identified vulnerabilities.</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negatively impact our ability to grow and operate our business.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Nasdaq if we fail to comply with continued listing standards.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we fail to meet any of the continued listing standards of Nasdaq, our common stock could be delisted from The Nasdaq Global Market. These continued listing standards include, among other things, a $1.00 minimum closing bid price and shareholders’ equity of $10 million.</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January 12, 2022, we received a deficiency letter from Nasdaq notifying us that, for the previous 30 consecutive business days, the closing bid price of our shares of common stock has not been maintained at the minimum required closing bid price of at least $1.00 per share, as required for continued listing on the Nasdaq Global Market. In accordance with the listing rules of Nasdaq, we have been given 180 calendar days, or until July 11, 2022, to regain compliance with the minimum bid price requirement. If at any time before July 11, 2022, the closing bid price of our common stock is at least $1.00 per share for a minimum of ten consecutive business days,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6" w:name="page27"/>
    <w:bookmarkEnd w:id="26"/>
    <w:p>
      <w:pPr>
        <w:ind w:right="80"/>
        <w:spacing w:after="0" w:line="266" w:lineRule="auto"/>
        <w:rPr>
          <w:sz w:val="20"/>
          <w:szCs w:val="20"/>
          <w:color w:val="auto"/>
        </w:rPr>
      </w:pPr>
      <w:r>
        <w:rPr>
          <w:rFonts w:ascii="Times New Roman" w:cs="Times New Roman" w:eastAsia="Times New Roman" w:hAnsi="Times New Roman"/>
          <w:sz w:val="18"/>
          <w:szCs w:val="18"/>
          <w:color w:val="auto"/>
        </w:rPr>
        <w:t>Nasdaq will provide written notification to us that the Company complies with the minimum bid price requirement. We intend to monitor the closing bid price of our common stock and may, if appropriate, consider implementing available options, including a reverse stock split, to regain compliance with the minimum closing bid price requirement. We are seeking stockholder approval of a reverse stock split at our 2022 annual meeting of stockholders.</w:t>
      </w:r>
    </w:p>
    <w:p>
      <w:pPr>
        <w:spacing w:after="0" w:line="176"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18"/>
          <w:szCs w:val="18"/>
          <w:color w:val="auto"/>
        </w:rPr>
        <w:t>On March 8, 2022, we received a second deficiency letter from Nasdaq that our stockholders’ equity as reported in our Annual Report on Form 10-K for the year ended December 31, 2021 does not satisfy the Nasdaq Global Market continued listing requirement of $10 million as set forth in Nasdaq Stock Market Rule 5450(b)(1). We have 45 calendar days from the date of this letter to submit to Nasdaq a plan to regain compliance with such requirement.</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Nasdaq subsequently extended the deadline for such submission, and we currently anticipate timely submitting such a plan to Nasdaq by the extended deadline. If the plan is accepted, Nasdaq may grant an extension of up to 180 calendar days from the date of the deficiency letter for us to provide evidence of compliance. If the plan is not accepted or we are not granted an extension, we will then consider actions appropriate to the circumstances, which may include applicable appeals to a Nasdaq Hearings Panel.</w:t>
      </w:r>
    </w:p>
    <w:p>
      <w:pPr>
        <w:spacing w:after="0" w:line="18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be able to regain or maintain compliance and remain in compliance in the future. In particular, our share price may continue to decline for a number of reasons, including many that are beyond our control. See the risk factor captioned “The market price of our stock may be volatile, and you could lose all or part of your investment” described in our Annual Report on Form 10-K for the year ended December 31, 2021.</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fail to comply with the continued listing standards of the Nasdaq Global Market, we may seek to list our common stock on the Nasdaq Capital Market, the NYSE American or on a regional stock exchange or, if one or more broker-dealer market makers comply with applicable requirements, the over-the-counter (“OTC”) market. Listing on such other market or exchange could reduce the liquidity of our common stock. If our common stock were to trade in the OTC market, an investor would find it more difficult to dispose of, or to obtain accurate quotations for the price of, the common stock. Delisting of the common stock could depress our stock price, substantially limit liquidity of our common stock and materially adversely affect our ability to raise capital on terms acceptable to us, or at all. Further, delisting of the common stock would likely result in the common stock becoming a “penny stock” under the Exchange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as part of this 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6840" w:type="dxa"/>
            <w:vAlign w:val="bottom"/>
            <w:gridSpan w:val="8"/>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c>
          <w:tcPr>
            <w:tcW w:w="684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0000" w:type="dxa"/>
            <w:vAlign w:val="bottom"/>
            <w:gridSpan w:val="9"/>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Amended and Restated Certificate of Incorporation of the Registrant (incorporated by reference to Exhibit 3.1 to the Registrant’s</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registration statement on Form S-1/A (File No. 333-195169) filed with the SEC on June 10, 2014)</w:t>
              </w:r>
            </w:hyperlink>
          </w:p>
        </w:tc>
        <w:tc>
          <w:tcPr>
            <w:tcW w:w="2200" w:type="dxa"/>
            <w:vAlign w:val="bottom"/>
            <w:tcBorders>
              <w:top w:val="single" w:sz="8" w:color="0000EE"/>
            </w:tcBorders>
            <w:gridSpan w:val="3"/>
          </w:tcPr>
          <w:p>
            <w:pPr>
              <w:spacing w:after="0"/>
              <w:rPr>
                <w:sz w:val="17"/>
                <w:szCs w:val="17"/>
                <w:color w:val="auto"/>
              </w:rPr>
            </w:pPr>
          </w:p>
        </w:tc>
        <w:tc>
          <w:tcPr>
            <w:tcW w:w="7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99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Amended and Restated Bylaws of the Registrant (incorporated by reference to Exhibit 3.2 to the Registrant’s q</w:t>
              </w:r>
              <w:r>
                <w:rPr>
                  <w:rFonts w:ascii="Times New Roman" w:cs="Times New Roman" w:eastAsia="Times New Roman" w:hAnsi="Times New Roman"/>
                  <w:sz w:val="18"/>
                  <w:szCs w:val="18"/>
                  <w:color w:val="0000EE"/>
                  <w:highlight w:val="white"/>
                  <w:w w:val="99"/>
                </w:rPr>
                <w:t>uarterly report on Form 10-</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Q (File No. 001-36517) filed with the SEC on November 4, 2019)</w:t>
              </w:r>
            </w:hyperlink>
          </w:p>
        </w:tc>
        <w:tc>
          <w:tcPr>
            <w:tcW w:w="5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20" w:type="dxa"/>
            <w:vAlign w:val="bottom"/>
          </w:tcPr>
          <w:p>
            <w:pPr>
              <w:spacing w:after="0"/>
              <w:rPr>
                <w:sz w:val="24"/>
                <w:szCs w:val="24"/>
                <w:color w:val="auto"/>
              </w:rPr>
            </w:pP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(Principal Executive Officer) pursuant to Section 302 of Sarbanes-Oxley Act of 2002</w:t>
            </w:r>
          </w:p>
        </w:tc>
        <w:tc>
          <w:tcPr>
            <w:tcW w:w="0" w:type="dxa"/>
            <w:vAlign w:val="bottom"/>
          </w:tcPr>
          <w:p>
            <w:pPr>
              <w:spacing w:after="0"/>
              <w:rPr>
                <w:sz w:val="1"/>
                <w:szCs w:val="1"/>
                <w:color w:val="auto"/>
              </w:rPr>
            </w:pPr>
          </w:p>
        </w:tc>
      </w:tr>
      <w:tr>
        <w:trPr>
          <w:trHeight w:val="31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20" w:type="dxa"/>
            <w:vAlign w:val="bottom"/>
          </w:tcPr>
          <w:p>
            <w:pPr>
              <w:spacing w:after="0"/>
              <w:rPr>
                <w:sz w:val="24"/>
                <w:szCs w:val="24"/>
                <w:color w:val="auto"/>
              </w:rPr>
            </w:pPr>
          </w:p>
        </w:tc>
        <w:tc>
          <w:tcPr>
            <w:tcW w:w="90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(Principal Financial Officer) pursuant to Section 302 of Sarbanes-Oxley Act of 2002</w:t>
            </w:r>
          </w:p>
        </w:tc>
        <w:tc>
          <w:tcPr>
            <w:tcW w:w="9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5800" w:type="dxa"/>
            <w:vAlign w:val="bottom"/>
            <w:gridSpan w:val="3"/>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32.1</w:t>
            </w:r>
            <w:r>
              <w:rPr>
                <w:rFonts w:ascii="Times New Roman" w:cs="Times New Roman" w:eastAsia="Times New Roman" w:hAnsi="Times New Roman"/>
                <w:sz w:val="15"/>
                <w:szCs w:val="15"/>
                <w:color w:val="auto"/>
                <w:w w:val="99"/>
              </w:rPr>
              <w:t>+</w:t>
            </w:r>
          </w:p>
        </w:tc>
        <w:tc>
          <w:tcPr>
            <w:tcW w:w="120" w:type="dxa"/>
            <w:vAlign w:val="bottom"/>
          </w:tcPr>
          <w:p>
            <w:pPr>
              <w:spacing w:after="0"/>
              <w:rPr>
                <w:sz w:val="24"/>
                <w:szCs w:val="24"/>
                <w:color w:val="auto"/>
              </w:rPr>
            </w:pP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(Principal Executive Officer) and Chief Financial Officer (Principal Financial Officer) pursuant to</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Sarbanes-Oxley Act of 2002</w:t>
            </w:r>
          </w:p>
        </w:tc>
        <w:tc>
          <w:tcPr>
            <w:tcW w:w="682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24"/>
                <w:szCs w:val="24"/>
                <w:color w:val="auto"/>
              </w:rPr>
            </w:pP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3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24"/>
                <w:szCs w:val="24"/>
                <w:color w:val="auto"/>
              </w:rPr>
            </w:pP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120" w:type="dxa"/>
            <w:vAlign w:val="bottom"/>
          </w:tcPr>
          <w:p>
            <w:pPr>
              <w:spacing w:after="0"/>
              <w:rPr>
                <w:sz w:val="24"/>
                <w:szCs w:val="24"/>
                <w:color w:val="auto"/>
              </w:rPr>
            </w:pP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120" w:type="dxa"/>
            <w:vAlign w:val="bottom"/>
          </w:tcPr>
          <w:p>
            <w:pPr>
              <w:spacing w:after="0"/>
              <w:rPr>
                <w:sz w:val="24"/>
                <w:szCs w:val="24"/>
                <w:color w:val="auto"/>
              </w:rPr>
            </w:pP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20" w:type="dxa"/>
            <w:vAlign w:val="bottom"/>
          </w:tcPr>
          <w:p>
            <w:pPr>
              <w:spacing w:after="0"/>
              <w:rPr>
                <w:sz w:val="24"/>
                <w:szCs w:val="24"/>
                <w:color w:val="auto"/>
              </w:rPr>
            </w:pP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104Cover Page Interactive Data file (formatted as inline XBRL with applicable taxonomy extension information contained in Exhibits 101)</w:t>
      </w:r>
    </w:p>
    <w:p>
      <w:pPr>
        <w:spacing w:after="0" w:line="225" w:lineRule="exact"/>
        <w:rPr>
          <w:sz w:val="20"/>
          <w:szCs w:val="20"/>
          <w:color w:val="auto"/>
        </w:rPr>
      </w:pPr>
    </w:p>
    <w:p>
      <w:pPr>
        <w:ind w:left="380" w:right="180" w:hanging="372"/>
        <w:spacing w:after="0" w:line="26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28" w:name="page29"/>
    <w:bookmarkEnd w:id="28"/>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25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ind w:left="8320"/>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2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2022</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320" w:top="549" w:right="5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Remy Luthringer, certify that:</w:t>
      </w:r>
    </w:p>
    <w:p>
      <w:pPr>
        <w:spacing w:after="0" w:line="117"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Minerva Neurosciences, Inc.;</w:t>
      </w:r>
    </w:p>
    <w:p>
      <w:pPr>
        <w:spacing w:after="0" w:line="117"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00" w:right="340" w:hanging="493"/>
        <w:spacing w:after="0" w:line="266" w:lineRule="auto"/>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00" w:right="440" w:hanging="493"/>
        <w:spacing w:after="0" w:line="282" w:lineRule="auto"/>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2022</w:t>
            </w: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Remy Luthringer Ph.D.</w:t>
            </w:r>
          </w:p>
        </w:tc>
      </w:tr>
      <w:tr>
        <w:trPr>
          <w:trHeight w:val="191"/>
        </w:trPr>
        <w:tc>
          <w:tcPr>
            <w:tcW w:w="6760" w:type="dxa"/>
            <w:vAlign w:val="bottom"/>
          </w:tcPr>
          <w:p>
            <w:pPr>
              <w:spacing w:after="0"/>
              <w:rPr>
                <w:sz w:val="16"/>
                <w:szCs w:val="16"/>
                <w:color w:val="auto"/>
              </w:rPr>
            </w:pPr>
          </w:p>
        </w:tc>
        <w:tc>
          <w:tcPr>
            <w:tcW w:w="4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Remy Luthringer Ph.D.</w:t>
            </w:r>
          </w:p>
        </w:tc>
      </w:tr>
      <w:tr>
        <w:trPr>
          <w:trHeight w:val="216"/>
        </w:trPr>
        <w:tc>
          <w:tcPr>
            <w:tcW w:w="676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Chairman and</w:t>
            </w:r>
          </w:p>
        </w:tc>
      </w:tr>
      <w:tr>
        <w:trPr>
          <w:trHeight w:val="216"/>
        </w:trPr>
        <w:tc>
          <w:tcPr>
            <w:tcW w:w="676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67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bl>
    <w:p>
      <w:pPr>
        <w:sectPr>
          <w:pgSz w:w="11900" w:h="16838" w:orient="portrait"/>
          <w:cols w:equalWidth="0" w:num="1">
            <w:col w:w="11240"/>
          </w:cols>
          <w:pgMar w:left="320" w:top="33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Frederick Ahlholm, certify that:</w:t>
      </w:r>
    </w:p>
    <w:p>
      <w:pPr>
        <w:spacing w:after="0" w:line="117"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Minerva Neurosciences, Inc.;</w:t>
      </w:r>
    </w:p>
    <w:p>
      <w:pPr>
        <w:spacing w:after="0" w:line="117"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00" w:right="260" w:hanging="492"/>
        <w:spacing w:after="0" w:line="266"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00" w:right="340" w:hanging="493"/>
        <w:spacing w:after="0" w:line="266"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00" w:right="440" w:hanging="493"/>
        <w:spacing w:after="0" w:line="282"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2022</w:t>
            </w: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Frederick Ahlholm</w:t>
            </w:r>
          </w:p>
        </w:tc>
      </w:tr>
      <w:tr>
        <w:trPr>
          <w:trHeight w:val="191"/>
        </w:trPr>
        <w:tc>
          <w:tcPr>
            <w:tcW w:w="6760" w:type="dxa"/>
            <w:vAlign w:val="bottom"/>
          </w:tcPr>
          <w:p>
            <w:pPr>
              <w:spacing w:after="0"/>
              <w:rPr>
                <w:sz w:val="16"/>
                <w:szCs w:val="16"/>
                <w:color w:val="auto"/>
              </w:rPr>
            </w:pPr>
          </w:p>
        </w:tc>
        <w:tc>
          <w:tcPr>
            <w:tcW w:w="4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Frederick Ahlholm</w:t>
            </w:r>
          </w:p>
        </w:tc>
      </w:tr>
      <w:tr>
        <w:trPr>
          <w:trHeight w:val="216"/>
        </w:trPr>
        <w:tc>
          <w:tcPr>
            <w:tcW w:w="676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67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bl>
    <w:p>
      <w:pPr>
        <w:sectPr>
          <w:pgSz w:w="11900" w:h="16838" w:orient="portrait"/>
          <w:cols w:equalWidth="0" w:num="1">
            <w:col w:w="11240"/>
          </w:cols>
          <w:pgMar w:left="320" w:top="33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Remy Luthringer, Executive Chairman and Chief Executive Officer (Principal Executive Officer) of Minerva Neurosciences, Inc. (the “Company”) and Frederick Ahlholm, Chief Financial Officer (Principal Financial Officer) of the Company, each hereby certifies that, to the best of his knowledge:</w:t>
      </w:r>
    </w:p>
    <w:p>
      <w:pPr>
        <w:spacing w:after="0" w:line="72" w:lineRule="exact"/>
        <w:rPr>
          <w:sz w:val="20"/>
          <w:szCs w:val="20"/>
          <w:color w:val="auto"/>
        </w:rPr>
      </w:pPr>
    </w:p>
    <w:p>
      <w:pPr>
        <w:ind w:left="500" w:hanging="492"/>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2022, to which this Certification is attached as Exhibit 32.1 (the “Quarterly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4, 2022</w:t>
      </w:r>
      <w:r>
        <w:rPr>
          <w:sz w:val="20"/>
          <w:szCs w:val="20"/>
          <w:color w:val="auto"/>
        </w:rPr>
        <w:tab/>
      </w:r>
      <w:r>
        <w:rPr>
          <w:rFonts w:ascii="Times New Roman" w:cs="Times New Roman" w:eastAsia="Times New Roman" w:hAnsi="Times New Roman"/>
          <w:sz w:val="17"/>
          <w:szCs w:val="17"/>
          <w:color w:val="auto"/>
        </w:rPr>
        <w:t>Remy Luthringer, Ph.D.</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Executive Chairman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4, 2022</w:t>
      </w:r>
      <w:r>
        <w:rPr>
          <w:sz w:val="20"/>
          <w:szCs w:val="20"/>
          <w:color w:val="auto"/>
        </w:rPr>
        <w:tab/>
      </w:r>
      <w:r>
        <w:rPr>
          <w:rFonts w:ascii="Times New Roman" w:cs="Times New Roman" w:eastAsia="Times New Roman" w:hAnsi="Times New Roman"/>
          <w:sz w:val="18"/>
          <w:szCs w:val="18"/>
          <w:color w:val="auto"/>
        </w:rPr>
        <w:t>Frederick Ahlholm</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Minerva Neurosciences,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46" Type="http://schemas.openxmlformats.org/officeDocument/2006/relationships/hyperlink" Target="http://www.sec.gov/Archives/edgar/data/0001598646/000104746914005459/a2219972zex-3_1.htm" TargetMode="External"/><Relationship Id="rId47" Type="http://schemas.openxmlformats.org/officeDocument/2006/relationships/hyperlink" Target="http://www.sec.gov/Archives/edgar/data/0001598646/000156459019039496/nerv-ex32_1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2022-05-04T06:33:42Z</dcterms:created>
  <dcterms:modified xsi:type="dcterms:W3CDTF">2022-05-04T06:33:42Z</dcterms:modified>
</cp:coreProperties>
</file>