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jc w:val="center"/>
        <w:ind w:right="-99"/>
        <w:spacing w:after="0" w:line="222"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51435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520" w:right="280" w:hanging="512"/>
        <w:spacing w:after="0" w:line="267" w:lineRule="auto"/>
        <w:tabs>
          <w:tab w:leader="none" w:pos="5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 FOR THE TRANSITION PERIOD FROM TO</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Minerva Neurosciences, Inc.</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440" w:type="dxa"/>
            <w:vAlign w:val="bottom"/>
          </w:tcPr>
          <w:p>
            <w:pPr>
              <w:jc w:val="center"/>
              <w:ind w:right="3979"/>
              <w:spacing w:after="0"/>
              <w:rPr>
                <w:sz w:val="20"/>
                <w:szCs w:val="20"/>
                <w:color w:val="auto"/>
              </w:rPr>
            </w:pPr>
            <w:r>
              <w:rPr>
                <w:rFonts w:ascii="Arial" w:cs="Arial" w:eastAsia="Arial" w:hAnsi="Arial"/>
                <w:sz w:val="18"/>
                <w:szCs w:val="18"/>
                <w:b w:val="1"/>
                <w:bCs w:val="1"/>
                <w:color w:val="auto"/>
                <w:w w:val="93"/>
              </w:rPr>
              <w:t>Delaware</w:t>
            </w:r>
          </w:p>
        </w:tc>
        <w:tc>
          <w:tcPr>
            <w:tcW w:w="1120" w:type="dxa"/>
            <w:vAlign w:val="bottom"/>
          </w:tcPr>
          <w:p>
            <w:pPr>
              <w:jc w:val="right"/>
              <w:ind w:right="4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6440" w:type="dxa"/>
            <w:vAlign w:val="bottom"/>
          </w:tcPr>
          <w:p>
            <w:pPr>
              <w:jc w:val="center"/>
              <w:ind w:right="39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440" w:type="dxa"/>
            <w:vAlign w:val="bottom"/>
          </w:tcPr>
          <w:p>
            <w:pPr>
              <w:jc w:val="center"/>
              <w:ind w:right="3979"/>
              <w:spacing w:after="0"/>
              <w:rPr>
                <w:sz w:val="20"/>
                <w:szCs w:val="20"/>
                <w:color w:val="auto"/>
              </w:rPr>
            </w:pPr>
            <w:r>
              <w:rPr>
                <w:rFonts w:ascii="Arial" w:cs="Arial" w:eastAsia="Arial" w:hAnsi="Arial"/>
                <w:sz w:val="14"/>
                <w:szCs w:val="14"/>
                <w:b w:val="1"/>
                <w:bCs w:val="1"/>
                <w:color w:val="auto"/>
                <w:w w:val="93"/>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250"/>
        </w:trPr>
        <w:tc>
          <w:tcPr>
            <w:tcW w:w="6440" w:type="dxa"/>
            <w:vAlign w:val="bottom"/>
          </w:tcPr>
          <w:p>
            <w:pPr>
              <w:jc w:val="center"/>
              <w:ind w:right="3979"/>
              <w:spacing w:after="0"/>
              <w:rPr>
                <w:sz w:val="20"/>
                <w:szCs w:val="20"/>
                <w:color w:val="auto"/>
              </w:rPr>
            </w:pPr>
            <w:r>
              <w:rPr>
                <w:rFonts w:ascii="Arial" w:cs="Arial" w:eastAsia="Arial" w:hAnsi="Arial"/>
                <w:sz w:val="18"/>
                <w:szCs w:val="18"/>
                <w:b w:val="1"/>
                <w:bCs w:val="1"/>
                <w:color w:val="auto"/>
                <w:w w:val="90"/>
              </w:rPr>
              <w:t>1601 Trapelo Road, Suite 286</w:t>
            </w:r>
          </w:p>
        </w:tc>
        <w:tc>
          <w:tcPr>
            <w:tcW w:w="1120" w:type="dxa"/>
            <w:vAlign w:val="bottom"/>
          </w:tcPr>
          <w:p>
            <w:pPr>
              <w:spacing w:after="0"/>
              <w:rPr>
                <w:sz w:val="21"/>
                <w:szCs w:val="21"/>
                <w:color w:val="auto"/>
              </w:rPr>
            </w:pPr>
          </w:p>
        </w:tc>
      </w:tr>
      <w:tr>
        <w:trPr>
          <w:trHeight w:val="212"/>
        </w:trPr>
        <w:tc>
          <w:tcPr>
            <w:tcW w:w="6440" w:type="dxa"/>
            <w:vAlign w:val="bottom"/>
          </w:tcPr>
          <w:p>
            <w:pPr>
              <w:jc w:val="center"/>
              <w:ind w:right="3979"/>
              <w:spacing w:after="0"/>
              <w:rPr>
                <w:sz w:val="20"/>
                <w:szCs w:val="20"/>
                <w:color w:val="auto"/>
              </w:rPr>
            </w:pPr>
            <w:r>
              <w:rPr>
                <w:rFonts w:ascii="Arial" w:cs="Arial" w:eastAsia="Arial" w:hAnsi="Arial"/>
                <w:sz w:val="18"/>
                <w:szCs w:val="18"/>
                <w:b w:val="1"/>
                <w:bCs w:val="1"/>
                <w:color w:val="auto"/>
                <w:w w:val="97"/>
              </w:rPr>
              <w:t>Waltham, MA</w:t>
            </w:r>
          </w:p>
        </w:tc>
        <w:tc>
          <w:tcPr>
            <w:tcW w:w="1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6440" w:type="dxa"/>
            <w:vAlign w:val="bottom"/>
          </w:tcPr>
          <w:p>
            <w:pPr>
              <w:jc w:val="center"/>
              <w:ind w:right="39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36"/>
        </w:trPr>
        <w:tc>
          <w:tcPr>
            <w:tcW w:w="6440" w:type="dxa"/>
            <w:vAlign w:val="bottom"/>
          </w:tcPr>
          <w:p>
            <w:pPr>
              <w:ind w:left="1760"/>
              <w:spacing w:after="0"/>
              <w:rPr>
                <w:sz w:val="20"/>
                <w:szCs w:val="20"/>
                <w:color w:val="auto"/>
              </w:rPr>
            </w:pPr>
            <w:r>
              <w:rPr>
                <w:rFonts w:ascii="Arial" w:cs="Arial" w:eastAsia="Arial" w:hAnsi="Arial"/>
                <w:sz w:val="16"/>
                <w:szCs w:val="16"/>
                <w:b w:val="1"/>
                <w:bCs w:val="1"/>
                <w:color w:val="auto"/>
                <w:w w:val="90"/>
              </w:rPr>
              <w:t>Registrant’s telephone number, including area code: (617) 600-7373</w:t>
            </w:r>
          </w:p>
        </w:tc>
        <w:tc>
          <w:tcPr>
            <w:tcW w:w="11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64135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 Common Stock, Par Value $0.0001 Per Share; Common Stock traded on the NASDAQ Global Market</w:t>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ectPr>
          <w:pgSz w:w="11900" w:h="16838" w:orient="portrait"/>
          <w:cols w:equalWidth="0" w:num="1">
            <w:col w:w="11340"/>
          </w:cols>
          <w:pgMar w:left="240" w:top="346" w:right="319" w:bottom="1440" w:gutter="0" w:footer="0" w:header="0"/>
        </w:sectPr>
      </w:pP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7680" w:space="140"/>
            <w:col w:w="320" w:space="80"/>
            <w:col w:w="140" w:space="160"/>
            <w:col w:w="240" w:space="80"/>
            <w:col w:w="2500"/>
          </w:cols>
          <w:pgMar w:left="240" w:top="346" w:right="31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2" w:lineRule="exact"/>
        <w:rPr>
          <w:sz w:val="24"/>
          <w:szCs w:val="24"/>
          <w:color w:val="auto"/>
        </w:rPr>
      </w:pPr>
    </w:p>
    <w:p>
      <w:pPr>
        <w:sectPr>
          <w:pgSz w:w="11900" w:h="16838" w:orient="portrait"/>
          <w:cols w:equalWidth="0" w:num="4">
            <w:col w:w="7300" w:space="140"/>
            <w:col w:w="320" w:space="80"/>
            <w:col w:w="140" w:space="160"/>
            <w:col w:w="3200"/>
          </w:cols>
          <w:pgMar w:left="240" w:top="346" w:right="319" w:bottom="1440" w:gutter="0" w:footer="0" w:header="0"/>
          <w:type w:val="continuous"/>
        </w:sect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8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18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18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right="30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38" w:lineRule="exact"/>
        <w:rPr>
          <w:sz w:val="24"/>
          <w:szCs w:val="24"/>
          <w:color w:val="auto"/>
        </w:rPr>
      </w:pPr>
    </w:p>
    <w:p>
      <w:pPr>
        <w:ind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460"/>
        <w:spacing w:after="0" w:line="293" w:lineRule="auto"/>
        <w:rPr>
          <w:sz w:val="20"/>
          <w:szCs w:val="20"/>
          <w:color w:val="auto"/>
        </w:rPr>
      </w:pPr>
      <w:r>
        <w:rPr>
          <w:rFonts w:ascii="Arial" w:cs="Arial" w:eastAsia="Arial" w:hAnsi="Arial"/>
          <w:sz w:val="16"/>
          <w:szCs w:val="16"/>
          <w:color w:val="auto"/>
        </w:rPr>
        <w:t>The aggregate value of the Company’s Common Stock held by non-affiliates of the Company was approximately $238.6 million as of June 30, 2017, the last day of the Company’s most recently completed second fiscal quarter, when the last reported sales price was $8.85 per share.</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9, 2018 was 38,749,343.</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DOCUMENTS INCORPORATED BY REFERENCE</w:t>
      </w:r>
    </w:p>
    <w:p>
      <w:pPr>
        <w:spacing w:after="0" w:line="68" w:lineRule="exact"/>
        <w:rPr>
          <w:sz w:val="24"/>
          <w:szCs w:val="24"/>
          <w:color w:val="auto"/>
        </w:rPr>
      </w:pPr>
    </w:p>
    <w:p>
      <w:pPr>
        <w:jc w:val="both"/>
        <w:ind w:right="220"/>
        <w:spacing w:after="0" w:line="278" w:lineRule="auto"/>
        <w:rPr>
          <w:sz w:val="20"/>
          <w:szCs w:val="20"/>
          <w:color w:val="auto"/>
        </w:rPr>
      </w:pPr>
      <w:r>
        <w:rPr>
          <w:rFonts w:ascii="Arial" w:cs="Arial" w:eastAsia="Arial" w:hAnsi="Arial"/>
          <w:sz w:val="16"/>
          <w:szCs w:val="16"/>
          <w:color w:val="auto"/>
        </w:rPr>
        <w:t>Portions of the Registrant’s Definitive Proxy Statement relating to the 2018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6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99"/>
              </w:rPr>
              <w:t>MINERVA NEUROSCIENCES,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80" w:type="dxa"/>
            <w:vAlign w:val="bottom"/>
            <w:gridSpan w:val="8"/>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0" w:type="dxa"/>
            <w:vAlign w:val="bottom"/>
            <w:gridSpan w:val="7"/>
            <w:vMerge w:val="restart"/>
          </w:tcPr>
          <w:p>
            <w:pPr>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380" w:type="dxa"/>
            <w:vAlign w:val="bottom"/>
            <w:gridSpan w:val="6"/>
          </w:tcPr>
          <w:p>
            <w:pPr>
              <w:spacing w:after="0"/>
              <w:rPr>
                <w:sz w:val="17"/>
                <w:szCs w:val="17"/>
                <w:color w:val="auto"/>
              </w:rPr>
            </w:pPr>
          </w:p>
        </w:tc>
        <w:tc>
          <w:tcPr>
            <w:tcW w:w="98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890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Unresolved Staff Comments</w:t>
              </w:r>
            </w:hyperlink>
          </w:p>
        </w:tc>
        <w:tc>
          <w:tcPr>
            <w:tcW w:w="776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Properties</w:t>
              </w:r>
            </w:hyperlink>
          </w:p>
        </w:tc>
        <w:tc>
          <w:tcPr>
            <w:tcW w:w="9080" w:type="dxa"/>
            <w:vAlign w:val="bottom"/>
            <w:gridSpan w:val="1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3.</w:t>
            </w:r>
          </w:p>
        </w:tc>
        <w:tc>
          <w:tcPr>
            <w:tcW w:w="982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4.</w:t>
            </w:r>
          </w:p>
        </w:tc>
        <w:tc>
          <w:tcPr>
            <w:tcW w:w="982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b w:val="1"/>
                <w:bCs w:val="1"/>
                <w:color w:val="0000EE"/>
                <w:w w:val="98"/>
              </w:rPr>
              <w:t>PART II.</w:t>
            </w:r>
          </w:p>
        </w:tc>
        <w:tc>
          <w:tcPr>
            <w:tcW w:w="300" w:type="dxa"/>
            <w:vAlign w:val="bottom"/>
            <w:gridSpan w:val="5"/>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5.</w:t>
            </w:r>
          </w:p>
        </w:tc>
        <w:tc>
          <w:tcPr>
            <w:tcW w:w="982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7.</w:t>
            </w:r>
          </w:p>
        </w:tc>
        <w:tc>
          <w:tcPr>
            <w:tcW w:w="982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36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Financial Statements and Supplementary Data</w:t>
              </w:r>
            </w:hyperlink>
          </w:p>
        </w:tc>
        <w:tc>
          <w:tcPr>
            <w:tcW w:w="648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9.</w:t>
            </w:r>
          </w:p>
        </w:tc>
        <w:tc>
          <w:tcPr>
            <w:tcW w:w="9820" w:type="dxa"/>
            <w:vAlign w:val="bottom"/>
            <w:gridSpan w:val="1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34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9B.</w:t>
            </w:r>
          </w:p>
        </w:tc>
        <w:tc>
          <w:tcPr>
            <w:tcW w:w="9820" w:type="dxa"/>
            <w:vAlign w:val="bottom"/>
            <w:gridSpan w:val="1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rPr>
              <w:t>PART III.</w:t>
            </w:r>
          </w:p>
        </w:tc>
        <w:tc>
          <w:tcPr>
            <w:tcW w:w="22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10.</w:t>
            </w:r>
          </w:p>
        </w:tc>
        <w:tc>
          <w:tcPr>
            <w:tcW w:w="9820" w:type="dxa"/>
            <w:vAlign w:val="bottom"/>
            <w:gridSpan w:val="1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72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12.</w:t>
            </w:r>
          </w:p>
        </w:tc>
        <w:tc>
          <w:tcPr>
            <w:tcW w:w="9820" w:type="dxa"/>
            <w:vAlign w:val="bottom"/>
            <w:gridSpan w:val="1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Person Transactions and Director Independence</w:t>
              </w:r>
            </w:hyperlink>
          </w:p>
        </w:tc>
        <w:tc>
          <w:tcPr>
            <w:tcW w:w="252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14.</w:t>
            </w:r>
          </w:p>
        </w:tc>
        <w:tc>
          <w:tcPr>
            <w:tcW w:w="59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Accountant Fees and Services</w:t>
              </w:r>
            </w:hyperlink>
          </w:p>
        </w:tc>
        <w:tc>
          <w:tcPr>
            <w:tcW w:w="388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w w:val="94"/>
              </w:rPr>
              <w:t>PART IV.</w:t>
            </w:r>
          </w:p>
        </w:tc>
        <w:tc>
          <w:tcPr>
            <w:tcW w:w="260" w:type="dxa"/>
            <w:vAlign w:val="bottom"/>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gridSpan w:val="7"/>
          </w:tcPr>
          <w:p>
            <w:pPr>
              <w:spacing w:after="0" w:line="196" w:lineRule="exact"/>
              <w:rPr>
                <w:sz w:val="20"/>
                <w:szCs w:val="20"/>
                <w:color w:val="auto"/>
              </w:rPr>
            </w:pPr>
            <w:r>
              <w:rPr>
                <w:rFonts w:ascii="Arial" w:cs="Arial" w:eastAsia="Arial" w:hAnsi="Arial"/>
                <w:sz w:val="18"/>
                <w:szCs w:val="18"/>
                <w:color w:val="auto"/>
              </w:rPr>
              <w:t>Item 15.</w:t>
            </w:r>
          </w:p>
        </w:tc>
        <w:tc>
          <w:tcPr>
            <w:tcW w:w="9820" w:type="dxa"/>
            <w:vAlign w:val="bottom"/>
            <w:gridSpan w:val="1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Exhibits and Financial Statement Schedules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5"/>
              </w:rPr>
              <w:t>Signatures</w:t>
            </w:r>
          </w:p>
        </w:tc>
        <w:tc>
          <w:tcPr>
            <w:tcW w:w="24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Exhibit Index</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spacing w:after="0" w:line="283"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 Form 10-K under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I, Item IA, “Risk Factors.</w:t>
      </w:r>
      <w:r>
        <w:rPr>
          <w:rFonts w:ascii="Arial" w:cs="Arial" w:eastAsia="Arial" w:hAnsi="Arial"/>
          <w:sz w:val="21"/>
          <w:szCs w:val="21"/>
          <w:i w:val="1"/>
          <w:iCs w:val="1"/>
          <w:color w:val="auto"/>
        </w:rPr>
        <w:t>”</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may potentially address the unmet needs of patients with these diseases.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product portfolio and potential indications include: roluperidone (also known as MIN-101) for the treatment of schizophrenia; seltorexant (also known as MIN-202 or JNJ-42847922), which we are co-developing with Janssen Pharmaceutica NV, or Janssen, for the treatment of insomnia disorder and major depressive disorder, or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 According to Datamonitor, an independent market research firm, in 2017 approximately 2.8 million people suffered from schizophrenia, 29.0 million suffered from MDD and 2.0 million suffered from Parkinson’s disease in the United States, Japan and the five major European Union markets of France, Germany, Italy, Spain and the United Kingdom. Insomnia as a symptom affects up to 50% of the general population, while insomnia with significant daytime consequences is estimated to affect 7% to 13% of the population worldwide and is recognized as a major public health issue.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several regulatory jurisdictions. In summary, key elements of our strategy are:</w:t>
      </w:r>
    </w:p>
    <w:p>
      <w:pPr>
        <w:spacing w:after="0" w:line="189" w:lineRule="exact"/>
        <w:rPr>
          <w:sz w:val="20"/>
          <w:szCs w:val="20"/>
          <w:color w:val="auto"/>
        </w:rPr>
      </w:pPr>
    </w:p>
    <w:p>
      <w:pPr>
        <w:ind w:left="1040" w:right="20" w:hanging="519"/>
        <w:spacing w:after="0" w:line="25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Identify, acquire and develop differentiated products with innovative mechanisms of action based on biological and clinical insights into the unmet needs of patients;</w:t>
      </w:r>
    </w:p>
    <w:p>
      <w:pPr>
        <w:spacing w:after="0" w:line="1" w:lineRule="exact"/>
        <w:rPr>
          <w:rFonts w:ascii="Arial" w:cs="Arial" w:eastAsia="Arial" w:hAnsi="Arial"/>
          <w:sz w:val="18"/>
          <w:szCs w:val="18"/>
          <w:color w:val="auto"/>
        </w:rPr>
      </w:pPr>
    </w:p>
    <w:p>
      <w:pPr>
        <w:ind w:left="1040" w:right="920" w:hanging="519"/>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Leverage the randomized, double-blind, placebo-controlled data from completed proof-of-principle trials to advance the clinical development of our product candidates in multiple regulatory jurisdictions;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3" w:name="page4"/>
    <w:bookmarkEnd w:id="3"/>
    <w:p>
      <w:pPr>
        <w:ind w:left="1040" w:right="40" w:hanging="519"/>
        <w:spacing w:after="0" w:line="25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Prepare for the commercialization of our lead product, roluperidone, based on its differentiated profile as a potential monotherapy in schizophrenia and, in the longer term as a potential treatment for other degenerative brain disorders in which negative symptoms represent a significant debilitating, unmet need;</w:t>
      </w:r>
    </w:p>
    <w:p>
      <w:pPr>
        <w:ind w:left="1040" w:hanging="519"/>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w:t>
      </w:r>
    </w:p>
    <w:p>
      <w:pPr>
        <w:spacing w:after="0" w:line="1" w:lineRule="exact"/>
        <w:rPr>
          <w:rFonts w:ascii="Arial" w:cs="Arial" w:eastAsia="Arial" w:hAnsi="Arial"/>
          <w:sz w:val="16"/>
          <w:szCs w:val="16"/>
          <w:color w:val="auto"/>
        </w:rPr>
      </w:pPr>
    </w:p>
    <w:p>
      <w:pPr>
        <w:ind w:left="1040" w:right="680" w:hanging="519"/>
        <w:spacing w:after="0" w:line="29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November 2013, Cyrenaic Pharmaceuticals, Inc., or Cyrenaic, and Sonkei Pharmaceuticals, Inc., or Sonkei, merged, and the combined company was renamed Minerva Neurosciences, Inc. Cyrenaic had been incorporated in 2007 and had exclusively licensed roluperidone from Mitsubishi Tanabe Pharma Corporation, or MTPC. Sonkei had been incorporated in 2008 and had exclusively licensed MIN-117 from MTPC. We executed the merger as we saw an opportunity to better serve an underserved patient population through combining a portfolio of promising product candidates targeting CNS diseases. As a result of the merger, we have the rights to develop and commercialize roluperidone and MIN-117 globally, excluding most of Asia.</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further expanded our product candidate portfolio in February 2014 by acquiring the shares of Mind-NRG Sarl, or Mind-NRG, which had exclusive rights to develop and commercialize MIN-301 globally. In addition, in February 2014 we entered into a co-development and license agreement with Janssen, one of the Janssen Pharmaceutical Companies of Johnson &amp; Johnson. Pursuant to this agreement, subsequently amended in June 2017, we are co-developing seltorexant and have the right to commercialize this compound in the European Union, Switzerland, Liechtenstein, Iceland and Norway, or the Minerva Territory, subject to royalty payments to Janssen, with Janssen having commercialization rights outside of the Minerva Territory, subject to royalty payments to us.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172085</wp:posOffset>
            </wp:positionV>
            <wp:extent cx="6080125" cy="4587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0125" cy="458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Roluperidone is a compound that has been shown to block serotonin receptors and sigma receptors, two receptors in the brain that are involved in the regulation of mood, cognition, sleep and anxiety. We are developing roluperidone to treat patients with schizophrenia. Roluperidone has been designed to block a specific subtype of serotonin receptor called 5-HT2A. When 5-HT2A is blocked, certain symptoms of schizophrenia, such as hallucinations, delusions, agitation and thought and movement disorders, as well as the side effects associated with antipsychotic treatments, can be minimized. Additionally, blocking 5-HT2A promotes slow wave sleep, a sleep stage often disrupted in patients with schizophrenia. Roluperidone has also been designed to block a specific subtype of sigma receptor called sigma-2, which is involved in movement control, psychotic symptom control and learning and memory. Blocking sigma-2 also increases calcium levels in neurons in the brain, which can improve memory.</w:t>
      </w:r>
    </w:p>
    <w:p>
      <w:pPr>
        <w:spacing w:after="0" w:line="17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believe the scientifically supported and innovative mechanisms of action of roluperidone may potentially address the unmet needs of schizophrenic patients, which include negative symptoms and cognitive impairment, as well as the side effects of existing therapies. We plan to seek approval of roluperidone initially as a first line monotherapy to treat negative symptoms in patients diagnosed with schizophrenia, and we also may study its use in monotherapy or in combination with approved atypical antipsychotic agents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 Beyond schizophrenia,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we believe roluperidone may possess therapeutic utility in degenerative brain disorders where negative symptoms constitute a significant unmet need.</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exclusively licensed roluperidone and a number of back-up compounds from MTPC. MTPC has retained commercialization rights to roluperidone in most of Asia.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December 19, 2017, we announced the screening of the first patient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or mg, and 64 mg of roluperidone in adult patients with negative symptoms of schizophrenia. The 12-week study will be followed by a 40-week, open-label extension period during which patients on drug will continue receiving their original dose and patients on placebo will receive either 32 mg or 64 mg of roluperidone.</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Approximately 500 patients will be enrolled in this trial at approximately 60 clinical sites in the U.S. and Europe, with about 30 percent of patients coming from the U.S. Patients will be initially randomized equally to receive one of the two doses of roluperidone or placebo for 12 weeks. Thereafter, all patients will continue treatment with active drug for the 40-week extension period. Top-line results from the 12-week double blind phase of this trial are expected in the first half of 2019.</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or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or CGI-S, score and safety and tolerability.</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severe symptoms of excitement/hyperactivity, suspiciousness, 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wash-out before receiving study drug. These parameters were applied in screening the population treated in the Phase 2b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Chemistry, Manufacturing and Controls (CMC) program</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CMC scale-up program for roluperidone is ongoing to ensure consistency between the drug batches to be used during pivotal,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Formulation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22, 2017, we announced the completion of a bridging trial to select an improved, gastro-resistant, or GR, formulation of roluperidone that we are using in the Phase 3 clinical trial with roluperidone and to include in the potential future submission of an NDA.</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Data from the bridging trial of the selected new formulation demonstrated the following: single oral dose administration of the GR formulation in study MIN-101C06, C</w:t>
      </w:r>
      <w:r>
        <w:rPr>
          <w:rFonts w:ascii="Arial" w:cs="Arial" w:eastAsia="Arial" w:hAnsi="Arial"/>
          <w:sz w:val="14"/>
          <w:szCs w:val="14"/>
          <w:color w:val="auto"/>
        </w:rPr>
        <w:t>max</w:t>
      </w:r>
      <w:r>
        <w:rPr>
          <w:rFonts w:ascii="Arial" w:cs="Arial" w:eastAsia="Arial" w:hAnsi="Arial"/>
          <w:sz w:val="17"/>
          <w:szCs w:val="17"/>
          <w:color w:val="auto"/>
        </w:rPr>
        <w:t xml:space="preserve"> was approximately 70% and 80% of those seen with the MR32 formulation administration for roluperidone and BFB-520 (a metabolite of roluperidone), respectively; no reduction in the extent of exposure (AUC</w:t>
      </w:r>
      <w:r>
        <w:rPr>
          <w:rFonts w:ascii="Arial" w:cs="Arial" w:eastAsia="Arial" w:hAnsi="Arial"/>
          <w:sz w:val="14"/>
          <w:szCs w:val="14"/>
          <w:color w:val="auto"/>
        </w:rPr>
        <w:t>inf</w:t>
      </w:r>
      <w:r>
        <w:rPr>
          <w:rFonts w:ascii="Arial" w:cs="Arial" w:eastAsia="Arial" w:hAnsi="Arial"/>
          <w:sz w:val="17"/>
          <w:szCs w:val="17"/>
          <w:color w:val="auto"/>
        </w:rPr>
        <w:t>) for the GR formulation as compared to the formulation used in the Phase 2b study (MR formulation) with a relative bioavailability of 101% and 96.1%, and a delayed T</w:t>
      </w:r>
      <w:r>
        <w:rPr>
          <w:rFonts w:ascii="Arial" w:cs="Arial" w:eastAsia="Arial" w:hAnsi="Arial"/>
          <w:sz w:val="14"/>
          <w:szCs w:val="14"/>
          <w:color w:val="auto"/>
        </w:rPr>
        <w:t>max</w:t>
      </w:r>
      <w:r>
        <w:rPr>
          <w:rFonts w:ascii="Arial" w:cs="Arial" w:eastAsia="Arial" w:hAnsi="Arial"/>
          <w:sz w:val="17"/>
          <w:szCs w:val="17"/>
          <w:color w:val="auto"/>
        </w:rPr>
        <w:t xml:space="preserve"> from 2.4 hours to 6.0 hours and from 6.9 hours to 12.5 hours for roluperidone and BFB-520, respectively; no food effect was observed with this formulation with ratios fed vs fasted of 1.04 and 0.96, respectively. These observed reductions in C</w:t>
      </w:r>
      <w:r>
        <w:rPr>
          <w:rFonts w:ascii="Arial" w:cs="Arial" w:eastAsia="Arial" w:hAnsi="Arial"/>
          <w:sz w:val="14"/>
          <w:szCs w:val="14"/>
          <w:color w:val="auto"/>
        </w:rPr>
        <w:t>max</w:t>
      </w:r>
      <w:r>
        <w:rPr>
          <w:rFonts w:ascii="Arial" w:cs="Arial" w:eastAsia="Arial" w:hAnsi="Arial"/>
          <w:sz w:val="17"/>
          <w:szCs w:val="17"/>
          <w:color w:val="auto"/>
        </w:rPr>
        <w:t xml:space="preserve"> are expected to reduce the potential for transient QTc increases observed in the Phase 2b study at the higher dose, 64 mg, but not the lower dose, 32 mg; no observations of QTc prolongations throughout the bridging trial; no observable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 w:name="page7"/>
    <w:bookmarkEnd w:id="6"/>
    <w:p>
      <w:pPr>
        <w:ind w:right="220"/>
        <w:spacing w:after="0" w:line="277" w:lineRule="auto"/>
        <w:rPr>
          <w:sz w:val="20"/>
          <w:szCs w:val="20"/>
          <w:color w:val="auto"/>
        </w:rPr>
      </w:pPr>
      <w:r>
        <w:rPr>
          <w:rFonts w:ascii="Arial" w:cs="Arial" w:eastAsia="Arial" w:hAnsi="Arial"/>
          <w:sz w:val="18"/>
          <w:szCs w:val="18"/>
          <w:color w:val="auto"/>
        </w:rPr>
        <w:t>food effect, thus allowing administration of the drug with or without food without changing its pharmacokinetic properties; and confirmation of the overall safety and tolerability profile of roluperidone.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exposures of roluperidone in the Phase 2b study and the GR formulation to be used in the Phase 3 trial are comparable, and as the two tested doses are the same for both the Phase 2b and 3 studies, we believe data from both of these studies could collectively form the basis of evaluating efficacy. We have also filed a patent application for the GR formulation, which is in addition to an already granted patent in the U.S. that provides protection until 2035. If granted, the additional patent could potentially extend exclusivity beyond 2035.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End-of-Phase 2 Meeting</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May 2017, we announced the outcome of an “end-of-Phase 2” meeting with the FDA and announced our plans to initiate Phase 3 development of roluperidone. This meeting and additional discussions with the FDA on the Phase 3 trial design and operational conduct led to the finalization of the protocol and design for that trial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May 2016, we announced top line results from a prospective Phase 2b, 12-week, randomized, double-blind, placebo-controlled parallel clinical trial evaluating the efficacy, safety and tolerability of roluperidone as monotherapy in patients with negative symptoms of schizophrenia using the pentagonal structure model, or PSM, of PANSS. These negative symptoms, for which no approved treatment is currently available, affect the majority of schizophrenic patients and can persist over their lifetimes. A total of 244 patients were randomized in equal groups to receive daily doses of roluperidone 32 mg, roluperidone 64 mg or placebo at 32 clinical sites in Russia and five European countries. To participate in the trial, patients were required to have stable positive and negative symptoms for three months prior to entering the study, a PANSS negative sub-score greater than or equal to 20, and scores &lt; 4 on the following PANSS items: excitement/hyperactivity, suspiciousness, persecution, hostility, uncooperativeness, or poor impulse control. All three cohorts were balanced with respect to demographic and baseline disease characteristics.</w:t>
      </w:r>
    </w:p>
    <w:p>
      <w:pPr>
        <w:spacing w:after="0" w:line="1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study met its primary endpoint, as we observed a statistically significant benefit of roluperidone over placebo in improving negative symptoms as measured by the PSM of PANSS. The effect was observed for both doses tested: 32 mg: p ≤ 0.024 with an effect size of 0.45, and 64 mg: p ≤ 0.004 with effect size of 0.57.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also observed a statistically significant benefit of roluperidone over placebo on the PANSS negative symptoms subscale for both doses tested: 32 mg: p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0.006, with an effect size of 0.54, and 64 mg: p ≤ 0.001 with an effect size of 0.70.</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Furthermore, we observed the statistically significant benefit of roluperidone over placebo on the PANSS total score (not significant for the 32 mg dose; p ≤ 0.003 for the 64 mg dose), with effect sizes of 0.34 and 0.57, respectively.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consistency and robustness of the effect was also supported by the observed statistically significant benefit of roluperidone over placebo in multiple other secondary endpoints as measured by the following: the PANSS general psychopathology subscale, Brief Negative Symptoms Scale total score, Clinical Global Impression of Severity, Clinical Global Impression of Improvement, Personal and Social Performance and Brief Assessment of Cognition in Schizophrenia (BACS). Positive symptoms were observed to remain stable, and the absence of extra-pyramidal symptoms (EPS) throughout the three month trial is consistent with the hypothesis that roluperidone has a direct and specific effect on negative symptoms rather than an indirect effect mediated by improvements of positive symptoms.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Discontinuation criteria based on QTcF prolongation were incorporated in the protocol. Two patients out of 162 who received roluperidone were discontinued based upon these criteria; both of these patients received the higher dose (64 mg).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Patients who completed the 12-week double-blind core phase of this study were provided the opportunity to enter into a 24-week, open-label extension phase. The extension phase was completed during the third quarter of 2016, and we announced data from the extension phase in October 2016. Data generated during the extension period were intended to provide long-term supportive evidence of safety and efficacy and to complement the statistically significant results obtained during the core phase.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extension phase, all patients received either 32 mg or 64 mg of roluperidone. Patients who received placebo in the core phase were randomized to one of these two doses at the beginning of the extension phase. One hundred forty-two patients from the treatment and placebo groups in the core phase entered the extension phase, with 88 patients completing the extension. Seventy patients received 32 mg and 72 patients received 64 mg during the extension.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Negative symptoms were observed to continue to improve during the extension phase, as shown by a reduction from the study start for the 32 and 64 mg-treated groups of 5.5 points and 4.9 points, respectively.</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Positive symptoms were observed to remain stable throughout the study, as measured by PANSS positive symptom scores. The absence of modification of positive symptoms and the favorable safety and tolerability profile are consistent with the hypothesis that roluperidone has a direct and specific effect on negative symptoms. General psychopathology was observed to improve during the extension phase for the 32 and 64 mg groups, as shown by reductions in the PANSS general psychopathology subscale score.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Roluperidone was generally reported to be well tolerated through the entire 24-week extension phase and no patient was discontinued for QTc increases. In the extension phase, we also observed that roluperidone at the doses tested did not have an effect on EPS, prolactin or weight gain and thus confirmed over a longer period of treatment that we did not observe those common side effects.</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Additional data analyses from the Phase 2b trial were presented at the 55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Annual Meeting of the American College of Neuropsychopharmacology, or ACNP in December 2016. These analyses concluded that roluperidone has a direct effect on negative symptoms (rather than an indirect or pseudo effect secondary to improvements in other symptoms) as supported by the stability observed in positive symptoms, the absence of EPS and the persistence of this direct effect even after controlling for improvements in depressive symptoms. Researchers noted that since phenomena similar to negative symptoms are manifest in many neuro-psychiatric disorders and in brain degenerative disorders such as Alzheimer’s disease and Parkinson’s disease, future trials with roluperidone could be designed to explore its potential benefit in these patient populations.</w:t>
      </w:r>
    </w:p>
    <w:p>
      <w:pPr>
        <w:spacing w:after="0" w:line="19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post-hoc analysis presented at ACNP, improvement in negative symptoms was shown to be greatest among younger patients. This finding supports the potential therapeutic benefit of roluperidone in patients with schizophrenia who are beginning to manifest these symptoms. It is also consistent with research showing that chronic pharmacotherapeutic intervention in schizophrenia, which includes atypical antipsychotics to treat acute positive symptoms, becomes less effective as patients age and suffer long-term consequences of the disease and side effects of current treatment options, particularly the blockade of dopamine neurotransmitter pathways in the brain.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Additional results presented at ACNP suggest a benefit of treatment with roluperidone in improving cognitive function in schizophrenia patients with predominant negative symptoms. Cognitive function was evaluated using the BACS scale. Cognitive impairment, a core feature of schizophrenia, affects up to 75% of patients and is believed to be a good predictor of functional outcome.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2017, we announced that the American Journal of Psychiatry published online results from the Phase 2b clinical trial of roluperidone in a manuscript, entitled “Efficacy and Safety of MIN-101: A 12-Week Randomized, Double-Blind, Placebo-Controlled Trial of New Drug in Development for the Treatment of Negative Symptoms in Schizophrenia”. The key finding from the publication is that roluperidone achieved its primary outcome in the trial, demonstrating statistically significant superiority over placebo in improving negative symptoms in schizophrenia patients. Supporting these findings were similar and concomitant improvements on several secondary outcome measures, including PANSS cluster analyses of negative symptoms, the PANSS total score, the Clinical Global Impression (CGI) and the Brief Negative Symptom Scale (BNSS). Psychosis measured by the PANSS Positive symptoms subscale remained stable during the trial, suggesting that the improvement in negative symptoms associated with roluperidone was specific and not a pseudo-effect secondary to improvements in psychosis.</w:t>
      </w:r>
    </w:p>
    <w:p>
      <w:pPr>
        <w:spacing w:after="0" w:line="19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second analysis of the Phase 2b data was published in the journal Schizophrenia Research, in the article entitled “The brief negative symptom scale (BNSS): Sensitivity to treatment effects.” Researchers concluded that patients treated with 64 mg of MIN-101 showed a significant decrease in BNSS total score, a secondary outcome measure in the Phase 2b trial.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MIN-117 is a compound we are developing to treat patients suffering from MDD, the most prominent subtype of depression. Patients suffering from MDD experience feelings of sadness, loss of interest or pleasure in activities, changes in sleep such as insomnia, fatigue and diminished ability to concentrate that interfere with their ability to carry out and enjoy once-pleasurable activities. While suicide is the leading cause of death in those with MDD, other factors, such as changes in immune function and susceptibility to disease, can also lead to early mortality.</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MIN-117 has the potential to address limitations of existing therapies, such as slow onset of action and poor safety and tolerability, without many of the typical side effects associated with currently approved therapies. The pharmacological effects of MIN-117 are related to serotonin and dopamine, two neurotransmitters in the brain. MIN-117 is meant to block a specific subtype of serotonin receptor called 5-HT1A. When 5-HT1A is blocked, anxiety and mood can be regulated. In addition, MIN-117 is meant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8" w:name="page9"/>
    <w:bookmarkEnd w:id="8"/>
    <w:p>
      <w:pPr>
        <w:spacing w:after="0" w:line="342" w:lineRule="auto"/>
        <w:rPr>
          <w:sz w:val="20"/>
          <w:szCs w:val="20"/>
          <w:color w:val="auto"/>
        </w:rPr>
      </w:pPr>
      <w:r>
        <w:rPr>
          <w:rFonts w:ascii="Arial" w:cs="Arial" w:eastAsia="Arial" w:hAnsi="Arial"/>
          <w:sz w:val="16"/>
          <w:szCs w:val="16"/>
          <w:color w:val="auto"/>
        </w:rPr>
        <w:t>prevent the reuptake of serotonin and dopamine, which increases the amount of serotonin and dopamine in the brain, which is tied to an improvement in mood in individuals suffering from MDD. MIN-117 is also meant to modulate the levels of Alpha-1a and 1b, which further modulates serotonin and dopamine.</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Based upon clinical and pre-clinical studies completed to date, we believe MIN-117 may demonstrate a safety profile comparable to placebo without many of the typical side effects of current MDD treatments, including cognitive impairment, sexual dysfunction, sleep disorders and weight gain. As part of our license agreement with MTPC, we may develop, sell, and import products related to the MIN-117 compound globally, excluding most of Asia.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Building upon the results of the previous Phase 2a trial with MIN-117 in Europe, we are planning to initiate a Phase 2b trial in MDD in the U.S. and Europe in early 2018. We expect to enroll patients with MDD who also have symptoms of anxiety. In preparation for this trial, a food effect study was recently completed, and the preliminary data show that food has no effect on the exposure PK parameters, therefore allowing dosing with or without food.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Trial</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May 2016, we announced top line results from a Phase 2a clinical trial in MDD with MIN-117. Data from this trial were subsequently presented at the ACNP Annual Meeting in December 2016. This study was a four-arm, parallel-group, randomized double-blind, placebo- and positive-control trial which tested two daily administered doses of MIN-117: 0.5 mg and 2.5 mg. The study included 84 patients (21 per arm) with moderate to severe MDD in four European countries. The goals of the trial were to test efficacy, safety and tolerability of MIN-117 over six weeks of treatment. The antidepressant paroxetine was used as an active control and confirmed assay sensitivity. Change on the Montgomery-Asberg Depression Rating Scale, or MADRS, was used as the main outcome measurement. As established prospectively in the statistical analysis plan, this trial was designed for signal detection and effect size estimation. As such, the study was not powered to demonstrate statistically significant differences between MIN-117 and placebo.</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observed the dose-dependent benefit of MIN-117 over placebo as measured by change in MADRS total scores. We observed that MIN-117 at the 0.5 mg daily dose had an effect size, as compared to the placebo group, of 0.24 while the 2.5 mg daily dose had an effect size of 0.34. This magnitude of effect size is similar to those observed with currently marketed antidepressants. Improvement in MADRS with MIN-117 against placebo was observed at two weeks. Furthermore, data also showed that 24% of the patients treated with 2.5 mg of MIN-117 achieved remission as prospectively defined.</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Both doses of MIN-117 were reported to be well tolerated, and the incidence and types of side effects did not differ significantly between the MIN-117 group and the placebo group. No unexpected adverse events were reported. Treatment with MIN-117 was not associated with cognitive impairment, sexual dysfunction, suicidal ideation or weight gain.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Pharmacodynamic measurements based on sleep recordings showed that MIN-117 preserved sleep continuity and architecture and therefore is not expected to have detrimental effects on rapid eye movement sleep distribution and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Seltorexant </w:t>
      </w:r>
      <w:r>
        <w:rPr>
          <w:rFonts w:ascii="Arial" w:cs="Arial" w:eastAsia="Arial" w:hAnsi="Arial"/>
          <w:sz w:val="18"/>
          <w:szCs w:val="18"/>
          <w:color w:val="auto"/>
        </w:rPr>
        <w:t>is an innovative selective orexin 2 receptor antagonist we are co-developing with Janssen for the treatment of insomnia and as adjunctive therapy</w:t>
      </w:r>
      <w:r>
        <w:rPr>
          <w:rFonts w:ascii="Arial" w:cs="Arial" w:eastAsia="Arial" w:hAnsi="Arial"/>
          <w:sz w:val="18"/>
          <w:szCs w:val="18"/>
          <w:i w:val="1"/>
          <w:iCs w:val="1"/>
          <w:color w:val="auto"/>
        </w:rPr>
        <w:t xml:space="preserve"> </w:t>
      </w:r>
      <w:r>
        <w:rPr>
          <w:rFonts w:ascii="Arial" w:cs="Arial" w:eastAsia="Arial" w:hAnsi="Arial"/>
          <w:sz w:val="18"/>
          <w:szCs w:val="18"/>
          <w:color w:val="auto"/>
        </w:rPr>
        <w:t>for 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the brain, the orexin system is involved in the control of several key functions, including metabolism and wakefulness. </w:t>
      </w:r>
      <w:r>
        <w:rPr>
          <w:rFonts w:ascii="Arial" w:cs="Arial" w:eastAsia="Arial" w:hAnsi="Arial"/>
          <w:sz w:val="18"/>
          <w:szCs w:val="18"/>
          <w:i w:val="1"/>
          <w:iCs w:val="1"/>
          <w:color w:val="auto"/>
        </w:rPr>
        <w:t>Seltorexant</w:t>
      </w:r>
      <w:r>
        <w:rPr>
          <w:rFonts w:ascii="Arial" w:cs="Arial" w:eastAsia="Arial" w:hAnsi="Arial"/>
          <w:sz w:val="18"/>
          <w:szCs w:val="18"/>
          <w:color w:val="auto"/>
        </w:rPr>
        <w:t xml:space="preserve"> seeks to inhibit the activity of the neurons that promote wakefulness by selectively blocking the orexin 2 receptor. Rather than making an individual sleepier, blocking the orexin 2 receptor reduces the level of the neurotransmitters that signal the brain to maintain vigilance and wakefulness, which can be helpful for patients with insomnia. Janssen completed a Phase I single ascending dose study of s</w:t>
      </w:r>
      <w:r>
        <w:rPr>
          <w:rFonts w:ascii="Arial" w:cs="Arial" w:eastAsia="Arial" w:hAnsi="Arial"/>
          <w:sz w:val="18"/>
          <w:szCs w:val="18"/>
          <w:i w:val="1"/>
          <w:iCs w:val="1"/>
          <w:color w:val="auto"/>
        </w:rPr>
        <w:t>eltorexant</w:t>
      </w:r>
      <w:r>
        <w:rPr>
          <w:rFonts w:ascii="Arial" w:cs="Arial" w:eastAsia="Arial" w:hAnsi="Arial"/>
          <w:sz w:val="18"/>
          <w:szCs w:val="18"/>
          <w:color w:val="auto"/>
        </w:rPr>
        <w:t xml:space="preserve"> in 2011 that suggested a relationship which supports a rapid induction and promotion of sleepiness.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We are co-developing s</w:t>
      </w:r>
      <w:r>
        <w:rPr>
          <w:rFonts w:ascii="Arial" w:cs="Arial" w:eastAsia="Arial" w:hAnsi="Arial"/>
          <w:sz w:val="18"/>
          <w:szCs w:val="18"/>
          <w:i w:val="1"/>
          <w:iCs w:val="1"/>
          <w:color w:val="auto"/>
        </w:rPr>
        <w:t>eltorexant</w:t>
      </w:r>
      <w:r>
        <w:rPr>
          <w:rFonts w:ascii="Arial" w:cs="Arial" w:eastAsia="Arial" w:hAnsi="Arial"/>
          <w:sz w:val="18"/>
          <w:szCs w:val="18"/>
          <w:color w:val="auto"/>
        </w:rPr>
        <w:t xml:space="preserve"> with Janssen and own the exclusive rights to develop and commercialize the compound in the Minerva Territory subject to royalty payments to Janssen and we have the right to receive royalties on any sales outside the Minerva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June 2017, we entered into an agreement with Janssen to amend our Co-Development and License Agreement for seltorexant. The effectiveness of this amendment, or the Amendment, was contingent upon approval of its terms by the European Commission and the closing of the acquisition of Actelion by affiliates of Janssen. These conditions were subsequently met, and the agreement became effective on August 29, 2017.</w:t>
      </w:r>
    </w:p>
    <w:p>
      <w:pPr>
        <w:spacing w:after="0" w:line="166"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Under the amended agreement, Janssen has waived its right to royalties on seltorexant insomnia sales in the European Union, Switzerland, Liechtenstein, Iceland and Norway, or the Minerva Territory. We retain all of our rights to seltorexant, including commercialization of the molecule for the treatment of insomnia and as an adjunctive therapy for MDD, which include an exclusive license in the Minerva Territory, with royalties payable by us to Janssen.</w:t>
      </w:r>
    </w:p>
    <w:p>
      <w:pPr>
        <w:spacing w:after="0" w:line="269" w:lineRule="auto"/>
        <w:rPr>
          <w:sz w:val="20"/>
          <w:szCs w:val="20"/>
          <w:color w:val="auto"/>
        </w:rPr>
      </w:pPr>
      <w:r>
        <w:rPr>
          <w:rFonts w:ascii="Arial" w:cs="Arial" w:eastAsia="Arial" w:hAnsi="Arial"/>
          <w:sz w:val="17"/>
          <w:szCs w:val="17"/>
          <w:color w:val="auto"/>
        </w:rPr>
        <w:t>Royalties on sales outside of the Minerva Territory are payable by Janssen to us. Janssen made an upfront payment to us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us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$30 million payment along with the $11.2 million previously accrued collaborative expenses have been included under deferred revenue on our balance sheet at December 31, 2017.</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the Amendment, we assumed strategic control for the clinical development of seltorexant in insomnia under the Phase 2 development program, but we have no further financial obligations until the Phase 2b development milestone is complete, which is expected to occur in the second half of 2019. Upon completion of this development milestone, referred to as “Decision Point 4”, we have the right to opt-out of the agreement and collect a royalty on worldwide sales of seltorexant in the single digits with no further obligations to Janssen. If we elect to continue to Phase 3, we would be obligated to fund the clinical trials related to insomnia, and receive $40 million in milestone payments from Janssen, and would also be responsible for 40% of the development costs in the Phase 3 MDD program.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September 5, 2017, we announced the enrollment of the first patient in a Phase 2b trial of seltorexant as adjunctive therapy to antidepressants in adult patients with MDD who have responded inadequately to antidepressant therapy. The primary objectives of this multi-center, double-blind, randomized, parallel group, placebo-controlled, adaptive-dose finding study are to assess the dose-response relationship and augmentation of antidepressant effects of up to three doses of seltorexant (10 mg, 20 mg and 40mg) and to assess the safety and tolerability of seltorexant compared to placebo. The trial consists of three phases: a screening phase lasting up to four weeks, a six-week double-blind treatment phase and a two-week post-treatment follow-up phase. We plan to enroll approximately 280 patients at approximately 85 clinical sites in the U.S., Europe, Russia and Japan.</w:t>
      </w:r>
    </w:p>
    <w:p>
      <w:pPr>
        <w:spacing w:after="0" w:line="17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On December 21, 2017, we announced the enrollment of the first patient in a Phase 2b clinical trial comparing seltorexant versus quetiapine as adjunctive therapy in patients with MDD who have responded inadequately to antidepressant therapy.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trial consists of three phases: a screening phase lasting up to four weeks, a six-month double-blind treatment phase and a two-week follow-up</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phase. Approximately 100 patients 18 to 64 years of age are planned to be randomized at approximately 34 sites in the U.S. to receive either flexibly dosed seltorexant, 20 mg or 40 mg, or flexibly dosed quetiapine XR, 150 mg or 300 mg. Subjects will continue to take their baseline antidepressant therapy of either an SSRI (selective serotonin reuptake inhibitor) or an SNRI (serotonin-norepinephrine reuptake inhibitor) at the same dose throughout the screening, double-blind and follow-up phases.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December 6, 2017, we announced the enrollment of the first patient in a Phase 2b clinical trial of seltorexant in patients with insomnia disorder.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multicenter, double-blind, randomized, parallel-group, active- and placebo-controlled dose finding study is designed to assess the efficacy and safety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seltorexant in both adult and elderly subjects with insomnia disorder. The primary objective of this trial is to assess the dose-response of three doses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seltorexant (5, 10 and 20 mg daily) compared to placebo on sleep onset as measured by the latency to persistent sleep (LPS) using polysomnography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(PSG). The key secondary objective is to assess the dose-response of these three doses compared to placebo on wake after sleep onset (WASO) over the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six hours using PSG. In addition, the effects of seltorexant on sleep and cognition will be compared to those effects of zolpidem to determine potential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compounds.</w:t>
      </w:r>
    </w:p>
    <w:p>
      <w:pPr>
        <w:spacing w:after="0" w:line="23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 total of approximately 360 patients 18 to 85 years of age will be randomized in this study at clinical sites in the United States, European Union and Japan. The duration of participation in this study for an individual subject will be up to 61 days, including screening and follow-up.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developing MIN-301, a soluble recombinant form of the Neuregulin-1b1, or NRG-1b1, protein, for the treatment of Parkinson’s disease and potentially for other neurodegenerative disorders. We believe MIN-301 has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GABA and glutamate in the brain, which are often unbalanced in individuals with Parkinson’s disease. Further, ErbB4 promotes oxygenation and metabolism of neurons, which could indicate MIN-301 could reverse the damage caused by Parkinson’s disease.</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has the potential to address these unmet needs of patients and, if approved, may be used as an early-stage monotherapy as well as a complementary therapy to existing treatments.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previously announced results from a non-human primate study showing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or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License Agreement with MTPC</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entered into a license agreement with MTPC dated as of August 30, 2007, as amended, or the Roluperidone License Agreement. Under the terms of the Roluperidone License Agreement, we acquired an exclusive license to the lead compound known as CYR-101 (subsequently renamed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has a term of the later of 12 years from the launch of the product in each country in our territory, or the expiration of our obligation to pay royalties, upon which we will have a fully paid-up, non-exclusive, perpetual,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 w:name="page12"/>
    <w:bookmarkEnd w:id="11"/>
    <w:p>
      <w:pPr>
        <w:ind w:right="500"/>
        <w:spacing w:after="0" w:line="277" w:lineRule="auto"/>
        <w:rPr>
          <w:sz w:val="20"/>
          <w:szCs w:val="20"/>
          <w:color w:val="auto"/>
        </w:rPr>
      </w:pPr>
      <w:r>
        <w:rPr>
          <w:rFonts w:ascii="Arial" w:cs="Arial" w:eastAsia="Arial" w:hAnsi="Arial"/>
          <w:sz w:val="18"/>
          <w:szCs w:val="18"/>
          <w:color w:val="auto"/>
        </w:rPr>
        <w:t>irrevocable license. Our obligation to pay royalties continues, on a country-by-country basis, until the expiration of the last-to-expire patent that covers roluperidone in each country in our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 License Agreement with MTPC</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Sonkei entered into a license agreement with MTPC dated September 1, 2008, as amended, or the MIN-117 License Agreement. Under the terms of the MIN-117 License Agreement, we acquired an exclusive license to the lead compound known as SON-117 (subsequently renamed MIN-117) and other data included within the valid claims of certain patents licensed to us under the MIN-117 License Agreement. Sonkei paid MTPC an initial license fee of $0.5 million. The license is for world-wide rights other than certain countries in Asia, including China, Japan, India and South Korea. We will pay a tiered royalty for net sales of product by it or any of its affiliates or sublicensees containing the licensed compound ranging from the high single digits to the low teens depending on net sales of products under the MIN-117 License Agreement. Through the date of the agreement, as amended, we were required to make payments up to $57.5 million upon the achievement of certain commercial milestones.</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January 2014, we renegotiated the structure of the license for MIN-117 such that we are required to make certain milestone payments upon the achievement of certain commercial milestones up to $47.5 million. In addition, in the event that we sell the rights to the license, MTPC will be entitled to a percentage of milestone payments in the low teens and a percentage of royalties received by us in the low double digits. This license agreement has a term of the later of 10 years from the launch of the product in each country in our territory, or the expiration of our obligation to pay royalties, upon which we will have a fully paid-up, non-exclusive, perpetual, irrevocable license. Our obligation to pay royalties continues, on a country-by-country basis, until the expiration of the last-to-expire patent that covers MIN-117 in each country in our territory. In April 2015, we amended the diligence milestone obligation under the license agreement for MIN-117 to extend the deadline from April 30, 2015 to June 30, 2015 to begin enrollment in a Phase IIa or Phase IIb study with MIN-117 in patients suffering major mood disorders. As consideration for the two-month extension, we paid MTPC, and recorded an expense for, $80,000 in the year ended December 31, 2015. We met the enrollment milestone obligation in June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Co-Development and License Agreement with Janssen</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February 13, 2014, we signed a co-development and license agreement (“the agreement”) with Janssen, which became effective upon completion of our initial public offering and the payment of a $22.0 million license fee. Under the agreement, Janssen, the licensor, granted us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 In addition, upon regulatory approval in the Minerva Territory (and earlier if certain default events occur), we will have rights to manufacture seltorexant, also known as JNJ-42847922. We have granted to the licensor an exclusive license, with the right to sublicense, under all patent rights and know-how controlled by us related to seltorexant to sell seltorexant outside the Minerva Territory. In consideration of the licenses granted on July 7, 2014, we made a license fee payment of $22.0 million, which was included as a component of research and development expense in 2014.</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original agreement contains certain provisions, which include our ability to opt-out of the agreement upon completion of certain milestones. If we elect to participate in the development program through to the potential commercial approval of seltorexant we will pay a quarterly royalty percentage to the licensor in the high single digits on aggregate net sales for seltorexant products sold by us, our affiliates and sublicensees in the Minerva Territory. The licensor will pay a quarterly royalty percentage to us in the high single digits on aggregate net sales for seltorexant products sold by the licensor outside the Minerva Territory. In accordance with the development agreement, we will pay 40% of seltorexant development costs related to the joint development of any seltorexant products.</w:t>
      </w:r>
    </w:p>
    <w:p>
      <w:pPr>
        <w:spacing w:after="0" w:line="19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share of aggregate development costs shall not exceed (i) $5.0 million for the period beginning from the effective date of the license and ending following the completion of certain Phase 1b clinical trials and animal toxicology studies, and (ii) $24.0 million for the period beginning from the effective date of the license and ending following the completion of certain Phase 2 clinical trials. Janssen has a right to opt out at the end of certain development milestones, after which, Janssen will not have to fund further development of seltorexant and the Minerva Territory will be expanded to also include all of North America. We would then owe Janssen a reduced royalty in the mid-single digits for all sales in the Minerva Territory. Janssen may also terminate the agreement for our material breach or certain insolvency events, including if we are unable to fund our portion of the development costs.</w:t>
      </w:r>
    </w:p>
    <w:p>
      <w:pPr>
        <w:spacing w:after="0" w:line="16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We account for the co-development and license agreement as a joint risk-sharing collaboration in accordance with ASC 808, </w:t>
      </w:r>
      <w:r>
        <w:rPr>
          <w:rFonts w:ascii="Arial" w:cs="Arial" w:eastAsia="Arial" w:hAnsi="Arial"/>
          <w:sz w:val="18"/>
          <w:szCs w:val="18"/>
          <w:i w:val="1"/>
          <w:iCs w:val="1"/>
          <w:color w:val="auto"/>
        </w:rPr>
        <w:t>Collaboration Arrangements</w:t>
      </w:r>
      <w:r>
        <w:rPr>
          <w:rFonts w:ascii="Arial" w:cs="Arial" w:eastAsia="Arial" w:hAnsi="Arial"/>
          <w:sz w:val="18"/>
          <w:szCs w:val="18"/>
          <w:color w:val="auto"/>
        </w:rPr>
        <w:t>. Payments between us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 We have included zero and $2.5 million in accrued collaborative expenses, as of December 31, 2017</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2" w:name="page13"/>
    <w:bookmarkEnd w:id="12"/>
    <w:p>
      <w:pPr>
        <w:ind w:right="640"/>
        <w:spacing w:after="0" w:line="277" w:lineRule="auto"/>
        <w:rPr>
          <w:sz w:val="20"/>
          <w:szCs w:val="20"/>
          <w:color w:val="auto"/>
        </w:rPr>
      </w:pPr>
      <w:r>
        <w:rPr>
          <w:rFonts w:ascii="Arial" w:cs="Arial" w:eastAsia="Arial" w:hAnsi="Arial"/>
          <w:sz w:val="18"/>
          <w:szCs w:val="18"/>
          <w:color w:val="auto"/>
        </w:rPr>
        <w:t>and December 31, 2016, respectively, related to this agreement. In the 12 months ended December 31, 2017 and 2016, we paid $2.5 million and zero, respectively, related to development activities under this agreement.</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July 6, 2016, we and Janssen agreed that “Decision Point 2” had been reached as defined under the co-development agreement. As neither party has exercised their right to withdraw from the agreement, we paid Janssen $3.5 million and incurred direct expenses of $0.3 million related to development activities under the current phase of development. During the 12 months ended December 31, 2017 and 2016, we recorded an expense of $11.2 million and $3.5 million, respectively, for certain development activities in accordance with the terms of the co-development agreement. We have included zero and $2.5 million in accrued collaborative expenses as of December 31, 2017 and December 31, 2016, respectively, related to this agreement.</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2017, we entered into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 Under the amended agreement, Janssen has waived its right to royalties on seltorexant insomnia sales in the European Union, Switzerland, Liechtenstein, Iceland and Norway (the “Minerva Territory”). We retain all of its rights to seltorexant, including commercialization of the molecule for the treatment of insomnia and as an as adjunctive therapy for MDD, which include an exclusive license in the Minerva Territory, with royalties payable by us to Janssen on seltorexant MDD sales. Royalties on sales outside of the Minerva Territory are payable by Janssen to us. Janssen made an upfront payment to us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us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our balance sheet at December 31, 2017. In connection with the Amendment, we repurchased all of the approximately 3.9 million shares of its common stock previously owned by Johnson &amp; Johnson Innovation-JJDC Inc. at a per share price of $0.0001, for an aggregate purchase price of approximately $389.</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Amendment, we assumed strategic control for the clinical development of seltorexant in insomnia under the Phase 2 development program, but has no further financial obligations until the Phase 2b development milestone is complete, which is expected to occur in the second half of 2019. Upon completion of this development milestone, referred to as “Decision Point 4”, Minerva has the right to opt-out of the agreement and collect a royalty on worldwide sales of seltorexant in the single digits with no further obligations to Janssen. If we elect to continue to Phase 3, we would be obligated to fund the clinical trials related to insomnia, and receive $40 million in milestone payments from Janssen, and would also be responsible for 40% of Janssen’s development costs in their Phase 3 MDD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Competition in the Pharmaceutical Market for the Treatment of Schizophrenia</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Johnson &amp; Johnson’s Haldol (haloperidol), or second-generation “atypical antipsychotics,” such as Novartis’ Clozaril (clozapine), Johnson &amp; Johnson’s Risperdal (risperidone), AstraZeneca’s Seroquel (quetiapine), Eli Lilly’s Zyprexa (olanzapine) and Bristol-Myers Squibb’s Abilify (aripiprazole).</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Given the focus of currently approved drug therapies for positive symptoms and their side effect profiles, we believe these therapies are unlikely to be directly competitive with roluperidone, which is intended to target primarily negative symptoms and cognitive impairment.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 On Sept. 22, 2017, Allergan announced it had received a Refusal to File (RTF) letter from the FDA regarding their antipsychotic product, Vraylar. The FDA, according to Allergan’s press-release, determined that the sNDA for the treatment of negative symptoms was not sufficiently complete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 w:name="page14"/>
    <w:bookmarkEnd w:id="13"/>
    <w:p>
      <w:pPr>
        <w:ind w:right="340"/>
        <w:spacing w:after="0" w:line="277" w:lineRule="auto"/>
        <w:rPr>
          <w:sz w:val="20"/>
          <w:szCs w:val="20"/>
          <w:color w:val="auto"/>
        </w:rPr>
      </w:pPr>
      <w:r>
        <w:rPr>
          <w:rFonts w:ascii="Arial" w:cs="Arial" w:eastAsia="Arial" w:hAnsi="Arial"/>
          <w:sz w:val="18"/>
          <w:szCs w:val="18"/>
          <w:color w:val="auto"/>
        </w:rPr>
        <w:t>to permit a substantive review. Allergan has stated that the company is in the process of planning a meeting with the FDA, to respond to the issues, and to seek clarification of what information will be required.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Specific compounds under development that include negative symptoms as a target include Acadia Pharmaceuticals’ Pimavanserin, a selective serotonin inverse agonist (SSIA) that is approved for the treatment of hallucinations and delusions associated with Parkinson’s disease psychosis. Other products in clinical development whose targets include negative symptoms (although not necessarily defined as a primary outcome of their clinical trials) are SyneuRx’s NaBen and Avanir Pharmaceuticals’ AVP-786.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 Competition in the Pharmaceutical Market for the Treatment of MDD</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pharmaceutical market for the treatment of MDD is largely comprised of selective serotonin reuptake inhibitors (SSRIs), serotonin and norepinephrine reuptake inhibitors (SNRIs) and atypical antipsychotics. By the time of MIN-117’s estimated launch, if approved by the FDA, a number of these marketed antidepressants will be generic, and would be key competitors to MIN-117. These products include Forest’s Lexapro/Cipralex (escitalopram), Pfizer’s Zoloft (sertraline), GlaxoSmithKline’s Paxil/Seroxat (paroxetine), Eli Lilly’s Prozac (fluoxetine), Forest’s Viibryd (vilazodone), Pfizer’s Effexor (venlafaxine), Pfizer’s Pristiq (desvenlafaxine), Eli Lilly’s Cymbalta (duloxetine), AstraZeneca’s Seroquel (quetiapine) and Bristol-Myers Squibb’s Abilify (aripiprazole).</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Both SSRIs and SNRIs have significant limitations. SSRIs may lead to varying levels of weight gain and the impairment in cognitive and sexual functions. In some cases, SNRIs have a worse safety and tolerability profile compared to SSRIs, in particular with respect to cardiovascular side effects. In addition, SSRIs and SNRIs are effective in only a part of the MDD patient population. Over one-third of patients fail to respond to two or more successive lines of antidepressant therapy.</w:t>
      </w:r>
    </w:p>
    <w:p>
      <w:pPr>
        <w:spacing w:after="0" w:line="18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Patients with treatment-resistant depression (TRD) often require treatment with several antidepressants, such as an SSRI or SNRI, combined with an “adjunct” therapy such as an antipsychotic or mood stabilizer. These antipsychotic compounds, such as AstraZeneca’s Seroquel (quetiapine) and Bristol-Myers Squibb’s Abilify (aripiprazole), and mood stabilizers, such as Janssen Pharmaceuticals’ Topamax (topiramate), cause some slight improvements in efficacy but often have unacceptable side effects, including motor symptoms, sedation, lack of concentration, and weight gain.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MIN-117 may have a faster onset of action, fewer side effects than existing treatments, and could benefit non- or partial-responders, but a number of products in development could also compete with MIN-117. Lundbeck’s Vortioxetine (Brintellix), an SSRI with additional 5-HT receptor modulation activity, has been developed as a monotherapy and was recently approved by the FDA for use as a second-line therapy. Brintellix has been shown to have fewer side effects, in particular less impact on cognition, than existing therapies, though it does not show improved efficacy on depressive symptoms In addition, Janssen’s esketamine and Allergan’s rapastinel (formerly Naurex GLYX-13) both target the NMDA receptor and are expected to have a faster onset of therapeutic effect as compared to currently available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Competition in the Pharmaceutical Market for the Treatment of Insomnia</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Most of the pharmaceuticals on the market for insomnia target neurotransmitter pathways involved in depressing the brain activity, such as the histamine and GABA pathways, to induce a decrease in vigilance and attention, leading to sedation and sleep induction. The leading molecule among the current third generation of GABAergic drugs is Sanofi’s zolpidem, often marketed under the name Ambien, and is available in generic form. However, zolpidem requires careful utilization to avoid tolerance and drug abuse and extensive sleep studies have demonstrated that zolpidem does not restore physiological sleep and does not allow restorative sleep, which prevents good daytime performance.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Unlike existing therapies, seltorexant, if approved, is expected to inhibit wakefulness-promoting neurotransmitters, rather than activating sleep-promoting neurotransmitters. In August 2014, Merck &amp; Co.’s dual orexin receptor antagonist, suvorexant, was approved by the FDA and is currently marketed under the name Belsomra®. We believe that Belsomra may be the only new insomnia pharmaceutical product to launch significantly in advance of seltorexant’s launch. If approved, we believe seltorexant, which is a single orexin receptor antagonist that targets orexin 2 pathways only and has a different pharmacokinetic profile from Belsomra, may have equal or superior efficacy, less residual sedation and impaired daytime functioning, and superior preservation of appropriate levels of REM as compared to Belsomra.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 Competition in the Pharmaceutical Market for the Treatment of Parkinson’s Disease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such as DDIs, to manage these side effects. While initially effective, symptoms become increasingly difficult to control over time, and patients experience a pattern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 w:name="page15"/>
    <w:bookmarkEnd w:id="14"/>
    <w:p>
      <w:pPr>
        <w:ind w:right="120"/>
        <w:spacing w:after="0" w:line="264" w:lineRule="auto"/>
        <w:rPr>
          <w:sz w:val="20"/>
          <w:szCs w:val="20"/>
          <w:color w:val="auto"/>
        </w:rPr>
      </w:pPr>
      <w:r>
        <w:rPr>
          <w:rFonts w:ascii="Arial" w:cs="Arial" w:eastAsia="Arial" w:hAnsi="Arial"/>
          <w:sz w:val="18"/>
          <w:szCs w:val="18"/>
          <w:color w:val="auto"/>
        </w:rPr>
        <w:t>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Parkinson’s disease are still in the pre-clinical stage.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portfolios for our product candidates, which we own or are exclusively licensed to us,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Under our agreement with MTPC, we have an exclusive license to U.S. Patent No. 7,166,617, which claims the roluperidone compound, as well as to corresponding patents in the following countries: Australia, Canada, Europe (Albania, Austria, Belgium, Republic of Cyprus, Denmark, Finland, France, Germany, Greece, Ireland, Italy, Latvia, Liechtenstein, Lithuania, Luxembourg, Macedonia, Monaco, Netherlands, Portugal, Romania, Slovenia, Spain, Sweden, Switzerland, Turkey, and United Kingdom), Israel, New Zealand, and Russia.</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US ‘617 patent expires no earlier than May 17, 2021, and a patent term extension of up to 5 years may be available in the U.S. The foreign patents expire no earlier than February 26,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Compositions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a granted U.S. patent, a pending U.S. application and a corresponding PCT application which claim modified-release formulations of roluperidone. We plan to nationalize the PCT application in a number of foreign countries in the coming months. The terms of existing and any future granted patents in this patent family will expire no earlier than November 30, 2035.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Use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own two granted patents in the U.S., Russia, and Europe (Austria, Belgium, Denmark, Finland, France, Germany, Greece, Ireland, Italy, Luxembourg, Netherlands, Norway, Poland, Portugal, Spain, Sweden, Switzerland, Turkey, and United Kingdom) and several pending applications in two patent families that are directed to methods of use of roluperidone to treat negative and other symptoms of schizophrenia, sleep disorders, depression and other sigma-2 disorders or conditions. Applications from these families are currently pending in the United States, Australia, Brazil, Canada, Europe and Russia. The terms of existing and any future granted patents in these two families will expire no earlier than July 20, 2031.</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also own a PCT application filed in 2017, which is directed to the use of roluperidone to treat negative symptoms in non-schizophrenic patients. We plan to file a national phase application in late 2018 from this PCT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our agreement with MTPC, we have an exclusive license to U.S. Patent No. 6,720,320, which claims the MIN-117 compound, as well as to corresponding patents in the following countries: Canada and Europe (Germany, France, Italy, Netherlands, Spain and United Kingdom). The U.S. ‘320 patent expires no earlier than August 13, 2020, and a patent term extension of up to 5 years may be available in the U.S. The foreign patents expire no earlier than May 22,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Pharmaceutical Compositions and Methods of Use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own pending applications in a patent family that are directed to compositions comprising a low dose of MIN-117 and their use for treating depression, sleep disorders and improving cognitive impairment in patients with depression. The applications we own are pending in the United States, Europe, Australia, Brazil, Canada, Chile, Colombia, Israel, Mexico, New Zealand, Peru, Russia, and South Africa. Patents that grant from these applications will expire no earlier than January 24, 2034. A patent term extension of up to five years may be available in the United States.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own a PCT application filed in 2017, which is directed to the use of MIN-117 to treat anxiety disorders. We plan to file national phase applications in 2018 from this patent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our agreement with Janssen, we are an exclusive licensee of European Patent EP2491038, which claims the seltorexant compound and was validated in 39 European countries. The terms of these patents will expire no earlier than October 21, 2030.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also have rights to a U.S. provisional patent application filed in 2016, which is directed to the use of seltorexant to treat depression.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own a patent family that is directed to the use of MIN-301 for treating neurologic and psychiatric diseases, including Parkinson’s disease. This patent family includes patents granted in Australia, Europe (Austria, Belgium, Denmark, France, Germany, Greece, Ireland, Italy, Netherlands, Norway, Portugal, Spain, Sweden, Switzerland, Turkey and United Kingdom), Japan, Mexico and Russia. Applications are pending in the United States, Canada, China, Hong Kong and Mexico. The term of existing and any future granted patents in this family will expire no earlier than November 17, 2028. A patent term extension of up to five years may be available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patent protection, our product candidates may also be eligible for data and marketing exclusivity protection in the U.S., EU and certain other countries. If this protection is available, no competitor may use the data in our marketing application to obtain marketing approval of a generic product during the exclusivity period.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small molecules, such as roluperidone, seltorexant and MIN-117, the data and marketing exclusivity period is generally five years in the U.S. and ten years in the EU, measured from the FDA and EU approval dates, respectively. If MIN-301 is approved as a biologic product, it may be eligible for a data and marketing exclusivity period of twelve years in the U.S. and ten years in the EU. The data and marketing exclusivity periods in the U.S. and EU may be extended by 6 months of pediatric exclusivity if a qualifying pediatric study is performed.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marketing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expanded our internal capabilities related to commercial planning, strategic product development and product marketing during the fourth quarter of 2017 as we plan the establishment of a sales, marketing and product distribution infrastructure in the future. Except for most of Asia, we have global commercialization rights for two of our product candidates, roluperidone and MIN-117, and European Union commercialization rights for seltorexant. We have worldwide rights for MIN-301. We believe that it will be possible for us to access European and, in the case of roluperidone, MIN-117 and MIN-301, other priority markets including the United States,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6" w:name="page17"/>
    <w:bookmarkEnd w:id="16"/>
    <w:p>
      <w:pPr>
        <w:ind w:right="260"/>
        <w:spacing w:after="0" w:line="308" w:lineRule="auto"/>
        <w:rPr>
          <w:sz w:val="20"/>
          <w:szCs w:val="20"/>
          <w:color w:val="auto"/>
        </w:rPr>
      </w:pPr>
      <w:r>
        <w:rPr>
          <w:rFonts w:ascii="Arial" w:cs="Arial" w:eastAsia="Arial" w:hAnsi="Arial"/>
          <w:sz w:val="17"/>
          <w:szCs w:val="17"/>
          <w:color w:val="auto"/>
        </w:rPr>
        <w:t>Asia, and Latin America, through a focused, specialized sales force where the population dynamics would prove efficient. Alternatively, we may enter into distribution and other marketing arrangements with third parties for any of our drug candidates that obtain marketing approval.</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Subject to receiving marketing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and Marketing Authorization in the European Union</w:t>
      </w:r>
    </w:p>
    <w:p>
      <w:pPr>
        <w:spacing w:after="0" w:line="22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Europe, a clinical trial application, or CTA, must currently be submitted to the competent national regulatory authority and to independent ethics committees in each country in which we intend to conduct clinical trials. Once the CTA is approved in accordance with that country’s requirements, clinical trial development may proceed in that country. Under the new Regulation on Clinical Trials, which is expected to take effect in 2019,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In all cases, the clinical trials must be conducted in accordance with good clinical practices and other applicable regulatory requirements and medicines used in clinical trials must be manufactured in accordance with good manufacturing practices. A clinical trial may only be undertaken subject to certain conditions. The relevant ethics committee must give its opinion, before a clinical trial commences, on any issue requested. Clinical trials information must be entered into a European database. There are strict requirements in relation to the labeling and packaging of our product candidates, the verification of compliance with the provisions on good clinical and manufacturing practice and the notification of adverse events and serious adverse reactions.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Under European Union regulatory systems, a company may not market a medicinal product without marketing authorization.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There are four procedures for submitting a Marketing Authorization Application, or MAA, in the EU: (i) the national procedure, (ii) the mutual recognition procedure, or MRP; (iii) the decentralized, or DCP and (iv) the centralized procedure, or CP. The submission strategy for a given product will depend on the nature of the product, the target indication(s), the history of the product, and the marketing plan. The centralized procedure is compulsory for certain medicinal products which are produced by biotechnology processes, advanced therapy medicinal products and orphans. Besides the products falling under the mandatory scope, the centralized procedure is also open for medicinal products that constitute a significant therapeutic, scientific or technical innovation i.e. new active substances or other medicinal products that constitute a significant therapeutic, scientific or technical innovation.</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centralized procedure leads to approval of the product in all 28 EU member states and in Norway, Iceland and Liechtenstein, collectively referred to herein as the EEA. Submission of one MAA thus leads to one assessment process and one authorization that allows access to the market of the entire EEA. The process of the centralized procedure is triggered when the applicant submits an MAA to the EMA. The letter of intent also initiates the assignment of the Rapporteur and Co-Rapporteur, who are the two appointed members of the Committee for Human Medicinal Products, or CHMP, representing two EU member states. Under the centralized procedure, the maximum timeframe for the evaluation of an MAA by the EMA is 210 days. This excludes so-called clock stops, during which additional written or oral information is to be provided by the applicant in response to questions asked by the Committee for Human Medicinal Products, or CHMP. At the end of the review period, the CHMP provides an opinion to the European Commission. If this is opinion favorable, the Commission may then adopt a decision to grant a marketing authorization. In exceptional cases, the CHMP might perform an accelerated review of an MAA in no more than 150 days. This is usually when the product is of major interest from the point of view of public health and, in particular, from the viewpoint of therapeutic innovation.</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When using the MRP or DCP, the applicant must select which and how many EU member states in which to seek approval. In the case of an MRP, the applicant must initially receive national approval in one EU member state. This will be the so-called reference member state, or RMS, for the MRP. Then, the applicant seeks approval for the product in other EU member states, the so-called concerned member states, or CMS, in a second step: the mutual recognition process. For the DCP, the applicant will approach all chosen member states at the same time. To do so, the applicant will identify the RMS that will assess the submitted MAA and provide the other selected member states with the conclusions und results of the assessment.</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European Union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 w:name="page18"/>
    <w:bookmarkEnd w:id="17"/>
    <w:p>
      <w:pPr>
        <w:ind w:right="240"/>
        <w:spacing w:after="0" w:line="277" w:lineRule="auto"/>
        <w:rPr>
          <w:sz w:val="20"/>
          <w:szCs w:val="20"/>
          <w:color w:val="auto"/>
        </w:rPr>
      </w:pPr>
      <w:r>
        <w:rPr>
          <w:rFonts w:ascii="Arial" w:cs="Arial" w:eastAsia="Arial" w:hAnsi="Arial"/>
          <w:sz w:val="18"/>
          <w:szCs w:val="18"/>
          <w:color w:val="auto"/>
        </w:rPr>
        <w:t>national laws in certain EU Member States may prohibit or restrict us from commercializing our products, even if they have been granted an EU marketing authorization.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innovator company enjoys a period of “data exclusivity” during which their pre-clinical and clinical trials data may not be referenced in the regulatory filings of another company (typically a generic company) for the same drug substance.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Data exclusivity in Europe is 8 years from the date of first authorization in Europe with an additional period of 2 years of “market exclusivity.” This is the period of time during which a generic company may not market an equivalent generic version of the originator’s pharmaceutical product. An additional 1 year may be obtained where the innovator company is granted a marketing authorization within the above 8-year period for a significant new indication for the relevant medicinal product.</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Pediatric Regulation provides that an application for a new marketing authorization must include the results of all trials performed and details of all information collected in compliance with an agreed pediatric investigation plan, or PIP, unless a deferral or waiver applies on the basis that pediatric use is not relevant - also the requirement can be deferred by agreement.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When the application for marketing authorization is made, the competent authority responsible for granting a marketing authorization must verify whether the application complies with the relevant requirements, including compliance with the agreed PIP. Assuming it does, the marketing authorization may be granted and the relevant results are included in the summary of product characteristics, or SmPC, for the product, along with a statement indicating compliance with the agreed PIP. The applicant then receives the six month extension to the SPC. It is not necessary for the product actually to be indicated for use in the pediatric population (for example, if the results show that that would not be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Approval Process</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or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a qualified investigator. Clinical trials must be conducted in compliance with federal regulations, good clinical practices, or GCP, which include the ethical principles that all research subjects provide their informed consent in writing for their participation in any clinical trial, and that all trials be approved and monitored on an ongoing basis by an institutional review board, or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 w:name="page19"/>
    <w:bookmarkEnd w:id="18"/>
    <w:p>
      <w:pPr>
        <w:ind w:right="260"/>
        <w:spacing w:after="0" w:line="277" w:lineRule="auto"/>
        <w:rPr>
          <w:sz w:val="20"/>
          <w:szCs w:val="20"/>
          <w:color w:val="auto"/>
        </w:rPr>
      </w:pPr>
      <w:r>
        <w:rPr>
          <w:rFonts w:ascii="Arial" w:cs="Arial" w:eastAsia="Arial" w:hAnsi="Arial"/>
          <w:sz w:val="18"/>
          <w:szCs w:val="18"/>
          <w:color w:val="auto"/>
        </w:rPr>
        <w:t>protocol amendments must be submitted to the FDA as part of the IND. The study protocol and informed consent information for subjects in clinical trials, along with all amendments, must also be submitted to an IRB for approval.</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I,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II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II evaluations, generally two adequate and well-controlled Phase III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IV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or NIH, for public dissemination on their clinicaltrials.gov website.</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manufacture of investigational drugs for the conduct of human clinical trials is subject to the Current Good Manufacturing Practices, or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 may suspend or terminate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66"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addition, under the Pediatric Research Equity Act, or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or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jc w:val="both"/>
        <w:ind w:right="60"/>
        <w:spacing w:after="0" w:line="264" w:lineRule="auto"/>
        <w:rPr>
          <w:sz w:val="20"/>
          <w:szCs w:val="20"/>
          <w:color w:val="auto"/>
        </w:rPr>
      </w:pPr>
      <w:r>
        <w:rPr>
          <w:rFonts w:ascii="Arial" w:cs="Arial" w:eastAsia="Arial" w:hAnsi="Arial"/>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black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FDA review and approval.</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announced and unannounced inspections by the FDA and these state agencies for compliance with cGMP and other regulatory requirements. Changes to the manufacturing process are strictly regulated and may require prior FDA approval or notification before being implemented. FDA regulations also require investigation and correction of any deviations from cGMP and impose reporting and documentation requirements upon the sponsor and any third-party manufacturers that the sponsor may decide to use.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20" w:name="page21"/>
    <w:bookmarkEnd w:id="20"/>
    <w:p>
      <w:pPr>
        <w:ind w:right="240"/>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trials or clinical trials to assess new safety risks; or imposition of distribution or other restrictions under a REMS program. Other potential consequences include, among other things:</w:t>
      </w:r>
    </w:p>
    <w:p>
      <w:pPr>
        <w:spacing w:after="0" w:line="187"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34"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 Untitled Letters, Warning Letters or holds on post-approval clinical trials;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32" w:lineRule="exact"/>
        <w:rPr>
          <w:rFonts w:ascii="Arial" w:cs="Arial" w:eastAsia="Arial" w:hAnsi="Arial"/>
          <w:sz w:val="16"/>
          <w:szCs w:val="16"/>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injunctions or the imposition of administrative civil or criminal penalties, including fines and imprisonment.</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agencies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Moreover, the Drug Quality and Security Act imposes obligations on manufacturers of pharmaceutical products, among others, related to product and tracking and tracing.</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European Union, holders of a marketing authorization must establish and maintain a pharmacovigilance system and appoint an individual qualified person for pharmacovigilance, or QPPV, who is responsible for oversight of that system. Key obligations include expedited reporting of suspected serious adverse reactions and submission of periodic safety update reports, or PSURs.</w:t>
      </w:r>
    </w:p>
    <w:p>
      <w:pPr>
        <w:spacing w:after="0" w:line="18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All new European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 Applicable state anti-kickback and false claims laws may be broader in scope than federal law and may apply regardless of payor, in addition to items and services reimbursed under Medicaid and other state programs.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also be subject to state laws governing the privacy and security of health information in certain circumstances, many of which differ from each other in significant ways and often are not preempted by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ind w:right="240"/>
        <w:spacing w:after="0" w:line="255" w:lineRule="auto"/>
        <w:rPr>
          <w:sz w:val="20"/>
          <w:szCs w:val="20"/>
          <w:color w:val="auto"/>
        </w:rPr>
      </w:pPr>
      <w:r>
        <w:rPr>
          <w:rFonts w:ascii="Arial" w:cs="Arial" w:eastAsia="Arial" w:hAnsi="Arial"/>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federal level,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the United States, the pharmaceutical industry has been a particular focus of these efforts and has been significantly affected by major legislative initiatives, including the Patient Protection and Affordable Care Act of 2010, as amended by the Health Care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7"/>
          <w:szCs w:val="17"/>
          <w:color w:val="auto"/>
        </w:rPr>
        <w:t>Education Reconciliation Act of 2010, or collectively,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judicial and congressional challenges to the ACA,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While Congress has not passed comprehensive repeal legislation, two bills affecting the implementation of certain taxes under the ACA have been signed into law, including the repeal, effective January 1, 2019, of the tax-based shared responsibility payment imposed by the ACA on certain individuals who fail to maintain qualifying health coverage for all or part of a year that is commonly referred to as the “individual mandate” and delays in the implementation of the so-called “Cadillac” tax on certain high cost employer-sponsored insurance plans, the annual fee imposed on certain health insurance providers based on market share, and the medical device excise tax on imposed on certain non-exempt medical devices. Congress could still consider other legislation to repeal or repeal and replace all or portions of the ACA. Congress could still consider other legislation to repeal or repeal and replace all or portions of the ACA.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Foreign Corrupt Practices Act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withdrawal of the United Kingdom from the European Union is expected to take effect either on the effective date of the withdrawal agreement to be negotiated by the parties or, in the absence of agreement, two years after the United Kingdom provided the notice of withdrawal pursuant to the Treaty on European Union, or on March 29, 2019.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immediately following Brexit, it is expected that the United Kingdom’s regulatory regime will remain aligned to European regulations. It remains to be seen how, if at all, Brexit will impact regulatory requirements for product candidates and products in the United Kingdom. In the longer term, Brexit could materially impact the future regulatory regime which applies to products and the approval of product candidates in the United Kingdom.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2017, we had 12 full-time employees. In addition, we are or have engaged with a number of consultants and companies, including Pharma Partnering in Research &amp; Strategy SAS, or PPRS, that provide expertise in the key functions involved with the development of our products. None of our employees is subject to a collective bargaining agreement and we consider our relationship with our employees to be good.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file reports with the Securities and Exchange Commission, or SEC, including annual reports on Form 10-K, quarterly reports on Form 10-Q, current reports on Form 8-K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23" w:name="page24"/>
    <w:bookmarkEnd w:id="23"/>
    <w:p>
      <w:pPr>
        <w:ind w:right="260"/>
        <w:spacing w:after="0" w:line="312" w:lineRule="auto"/>
        <w:rPr>
          <w:sz w:val="20"/>
          <w:szCs w:val="20"/>
          <w:color w:val="auto"/>
        </w:rPr>
      </w:pPr>
      <w:r>
        <w:rPr>
          <w:rFonts w:ascii="Arial" w:cs="Arial" w:eastAsia="Arial" w:hAnsi="Arial"/>
          <w:sz w:val="16"/>
          <w:szCs w:val="16"/>
          <w:color w:val="auto"/>
        </w:rPr>
        <w:t>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(http://www.sec.gov) that contains reports, proxy and information statements, and other information regarding issuers that file electronically with the SEC.</w:t>
      </w: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not profitable and have incurred losses in each period since our inception in 2007. For the year ended December 31, 2017, and 2016, we reported net losses of $31.5 million and $31.0 million, respectively. As of December 31, 2017, we had an accumulated deficit of $164.4 million.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particularly as we advance our product candidates into clinical trials.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2017, we had cash, cash equivalents and marketable securities (current and non-current) of $133.2 million. We believe that our existing cash, cash equivalents and marketable securities (current and non-current) will be sufficient to meet our cash commitments for at least the next 12 months after the date that the year-end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40" w:hanging="519"/>
        <w:spacing w:after="0" w:line="25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820" w:hanging="519"/>
        <w:spacing w:after="0" w:line="28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80" w:hanging="519"/>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60" w:hanging="519"/>
        <w:spacing w:after="0" w:line="26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regarding fair value of intangible assets may result in an adverse impact on our results of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w:t>
      </w:r>
    </w:p>
    <w:p>
      <w:pPr>
        <w:spacing w:after="0" w:line="18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existing NOL carryforwards may be limited as a result of issuance of equity securities.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2017, we had approximately $64.8 million of Federal NOL carryforwards. These Federal NOL carryforwards will begin to expire at various dates beginning in 2027, if not utilized. Under the newly enacted Federal income tax law, Federal NOLs incurred in 2018 and in future years may be carried forward indefinitely, but the deductibility of such Federal NOLs is limited. We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spacing w:after="0" w:line="269" w:lineRule="auto"/>
        <w:rPr>
          <w:sz w:val="20"/>
          <w:szCs w:val="20"/>
          <w:color w:val="auto"/>
        </w:rPr>
      </w:pPr>
      <w:r>
        <w:rPr>
          <w:rFonts w:ascii="Arial" w:cs="Arial" w:eastAsia="Arial" w:hAnsi="Arial"/>
          <w:sz w:val="17"/>
          <w:szCs w:val="17"/>
          <w:color w:val="auto"/>
        </w:rPr>
        <w:t>plan to use our operating losses to offset any potential future taxable income generated from operations or collaborations. To the extent we generate taxable income, we plan to use our existing NOL carryforwards and future losses to offset income that would otherwise be taxable. If substantial changes in ownership have occurred, there could be annual limitations on the amount of carryforwards that can be realized in future periods. We have not performed a detailed analysis to determine whether an ownership change occurred upon consummation of the merger between us and Sonkei, upon the acquisition of Mind-NRG or our initial public offering, the concurrent private placements or our subsequent public offerings. However, as a result of these transactions, it is likely that an ownership change has occurred. Therefore, it is likely that some or all of our existing NOL carryforwards would be limited by the provisions of Section 382 of the Code. Further, state NOL carryforwards may be similarly limited. We had approximately $56.3 million of state net operating carryforwards at December 31, 2017. It is also possible that future changes in ownership, including as a result of subsequent sales of securities by us or our stockholders, could similarly limit our ability to utilize NOL carryforwards. It is possible that all of our existing NOL carryforwards have been or will be disallowed.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regulatory approval process is expensive and the time required to obtain approval from the EMA, FDA or other regulatory authorities in other jurisdictions to sell any product is uncertain and may take years.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or NDA, or Biologics License Application, or BLA, requires a payment of a significant user fee upon submission. The filing of marketing applications for our product candidates may be delayed due to our lack of financial resources to pay such user fee.</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following submission, our application is not accepted for substantive review or approval,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sufficient any additional required trials, data or information that we perform or provide, or we may decide, or be required, to abandon the program.</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40" w:right="40" w:hanging="519"/>
        <w:spacing w:after="0" w:line="26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the design or implementation of our clinical trials. We have not yet consulted with the EMA or the FDA on the design and conduct of the clinical trials that have already been conducted or that we intend to conduct. Thus, the EMA, FDA and other comparable foreign authorities may not agree with the design or implementation of these trials. We intend to seek guidance from the EMA in relation to the European Union clinical trial program and the FDA on the design and conduct of clinical trials of our compounds when we initiate a clinical program in the United States in the future.</w:t>
      </w:r>
    </w:p>
    <w:p>
      <w:pPr>
        <w:spacing w:after="0" w:line="3" w:lineRule="exact"/>
        <w:rPr>
          <w:rFonts w:ascii="Arial" w:cs="Arial" w:eastAsia="Arial" w:hAnsi="Arial"/>
          <w:sz w:val="17"/>
          <w:szCs w:val="17"/>
          <w:color w:val="auto"/>
        </w:rPr>
      </w:pPr>
    </w:p>
    <w:p>
      <w:pPr>
        <w:ind w:left="1040" w:right="480" w:hanging="519"/>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FDA or other regulatory authorities that a product candidate is safe and effective for its proposed indication.</w:t>
      </w:r>
    </w:p>
    <w:p>
      <w:pPr>
        <w:ind w:left="1040" w:right="400" w:hanging="519"/>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FDA or other regulatory authorities for approval.</w:t>
      </w: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EMA, FDA or other regulatory authorities may disagree with our interpretation of data from pre-clinical studies or clinical trials.</w:t>
      </w:r>
    </w:p>
    <w:p>
      <w:pPr>
        <w:spacing w:after="0" w:line="9" w:lineRule="exact"/>
        <w:rPr>
          <w:rFonts w:ascii="Arial" w:cs="Arial" w:eastAsia="Arial" w:hAnsi="Arial"/>
          <w:sz w:val="18"/>
          <w:szCs w:val="18"/>
          <w:color w:val="auto"/>
        </w:rPr>
      </w:pPr>
    </w:p>
    <w:p>
      <w:pPr>
        <w:ind w:left="1040" w:right="460" w:hanging="519"/>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6" w:name="page27"/>
    <w:bookmarkEnd w:id="26"/>
    <w:p>
      <w:pPr>
        <w:ind w:left="1040" w:right="100" w:hanging="519"/>
        <w:spacing w:after="0" w:line="25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EMA, FDA or other regulatory authorities may fail to approve the manufacturing processes or facilities of third-party manufacturers with which we contract for clinical and commercial supplies.</w:t>
      </w:r>
    </w:p>
    <w:p>
      <w:pPr>
        <w:spacing w:after="0" w:line="1" w:lineRule="exact"/>
        <w:rPr>
          <w:rFonts w:ascii="Arial" w:cs="Arial" w:eastAsia="Arial" w:hAnsi="Arial"/>
          <w:sz w:val="18"/>
          <w:szCs w:val="18"/>
          <w:color w:val="auto"/>
        </w:rPr>
      </w:pPr>
    </w:p>
    <w:p>
      <w:pPr>
        <w:ind w:left="1040" w:right="400" w:hanging="519"/>
        <w:spacing w:after="0" w:line="261"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policies or regulations of the EMA, FDA or other regulatory authorities may significantly change in a manner rendering our clinical data insufficient for approval.</w:t>
      </w:r>
    </w:p>
    <w:p>
      <w:pPr>
        <w:spacing w:after="0" w:line="18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or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plan to conduct our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or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completion of clinical development can be delayed or halted for a number of reasons, including:</w:t>
      </w:r>
    </w:p>
    <w:p>
      <w:pPr>
        <w:spacing w:after="0" w:line="225" w:lineRule="exact"/>
        <w:rPr>
          <w:sz w:val="20"/>
          <w:szCs w:val="20"/>
          <w:color w:val="auto"/>
        </w:rPr>
      </w:pPr>
    </w:p>
    <w:p>
      <w:pPr>
        <w:ind w:left="1040" w:right="660" w:hanging="519"/>
        <w:spacing w:after="0" w:line="25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 w:lineRule="exact"/>
        <w:rPr>
          <w:rFonts w:ascii="Arial" w:cs="Arial" w:eastAsia="Arial" w:hAnsi="Arial"/>
          <w:sz w:val="18"/>
          <w:szCs w:val="18"/>
          <w:color w:val="auto"/>
        </w:rPr>
      </w:pPr>
    </w:p>
    <w:p>
      <w:pPr>
        <w:ind w:left="1040" w:right="120" w:hanging="519"/>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40" w:right="840" w:hanging="519"/>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failing to conduct the trial in accordance with regulatory requirements;</w:t>
      </w: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third parties, such as CROs, to satisfy their contractual duties or meet expected deadlines;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27" w:name="page28"/>
    <w:bookmarkEnd w:id="27"/>
    <w:p>
      <w:pPr>
        <w:ind w:left="1040" w:right="300" w:hanging="519"/>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identification and auditing of central or other laboratories and the transfer and validation of assays or tests to be used;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9" w:lineRule="exact"/>
        <w:rPr>
          <w:rFonts w:ascii="Arial" w:cs="Arial" w:eastAsia="Arial" w:hAnsi="Arial"/>
          <w:sz w:val="18"/>
          <w:szCs w:val="18"/>
          <w:color w:val="auto"/>
        </w:rPr>
      </w:pPr>
    </w:p>
    <w:p>
      <w:pPr>
        <w:ind w:left="1040" w:right="160" w:hanging="519"/>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 or complying with conditions imposed by IRBs or ethics committees;</w:t>
      </w:r>
    </w:p>
    <w:p>
      <w:pPr>
        <w:ind w:left="1040" w:right="180" w:hanging="519"/>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competition from other programs for the treatment of similar conditions;</w:t>
      </w: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9" w:lineRule="exact"/>
        <w:rPr>
          <w:rFonts w:ascii="Arial" w:cs="Arial" w:eastAsia="Arial" w:hAnsi="Arial"/>
          <w:sz w:val="18"/>
          <w:szCs w:val="18"/>
          <w:color w:val="auto"/>
        </w:rPr>
      </w:pPr>
    </w:p>
    <w:p>
      <w:pPr>
        <w:ind w:left="1040" w:hanging="519"/>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two of our product candidates, roluperidone and MIN-117;</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holds or termination imposed by the European Union national regulatory authorities, the FDA or IRBs or ethics committees.</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181"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the trial protocols and applicable laws;</w:t>
      </w:r>
    </w:p>
    <w:p>
      <w:pPr>
        <w:spacing w:after="0" w:line="23" w:lineRule="exact"/>
        <w:rPr>
          <w:rFonts w:ascii="Arial" w:cs="Arial" w:eastAsia="Arial" w:hAnsi="Arial"/>
          <w:sz w:val="18"/>
          <w:szCs w:val="18"/>
          <w:color w:val="auto"/>
        </w:rPr>
      </w:pPr>
    </w:p>
    <w:p>
      <w:pPr>
        <w:ind w:left="1040" w:right="8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EMA, FDA or other comparable foreign regulatory authorities that ultimately result in the imposition of a clinical hold;</w:t>
      </w: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no experience in advancing product candidates beyond Phase 2, which makes it difficult to assess our ability to develop and commercialize our product candidates.</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no experience in progressing clinical trials past Phase 2,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subject enrollment. Many factors affect subject enrollment, including:</w:t>
      </w:r>
    </w:p>
    <w:p>
      <w:pPr>
        <w:spacing w:after="0" w:line="225"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and nature of the subject population;</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subjects;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8" w:name="page29"/>
    <w:bookmarkEnd w:id="28"/>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and maintain subject consents;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and</w:t>
      </w:r>
    </w:p>
    <w:p>
      <w:pPr>
        <w:spacing w:after="0" w:line="9" w:lineRule="exact"/>
        <w:rPr>
          <w:rFonts w:ascii="Arial" w:cs="Arial" w:eastAsia="Arial" w:hAnsi="Arial"/>
          <w:sz w:val="18"/>
          <w:szCs w:val="18"/>
          <w:color w:val="auto"/>
        </w:rPr>
      </w:pPr>
    </w:p>
    <w:p>
      <w:pPr>
        <w:ind w:left="1040" w:right="420" w:hanging="519"/>
        <w:spacing w:after="0" w:line="261"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and MIN-117 due to the mental health of the subjects that we will need to enroll, related diagnoses and drop-out rates.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although we believe our Phase 2b trial with roluperidone met its primary endpoint as we observed the statistically significant benefit of roluperidone over placebo in improving negative symptoms in patients with schizophrenia, we must conduct pivotal, Phase 3 trials with roluperidone that may fail to demonstrate safety and efficacy. Our Phase 2a trial with MIN-117, while we observed a reduction in depressive symptoms, was designed to detect a signal of efficacy and not to demonstrate statistically significant differences between MIN-117 and placebo. Further clinical trials with MIN-117 will need to be statistically powered to demonstrate such differences.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the case of our product candidates, roluperidone and MIN-117, we are seeking to develop treatments for schizophrenia and MDD, which adds a layer of complexity to our clinical trials and may delay regulatory approval. We do not fully understand the cause and pathophysiology of schizophrenia and MDD, and our results will rely on subjective subject feedback,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our product candidates.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roluperidone. As a result, we may forego or delay pursuit of opportunities with other product candidates, including MIN-117, seltorexant and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marketing approval to commercialize a product candidate or the approval may be for a more narrow indication than we expect.</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 and behavior in young adults, ages 18 to 24, during initial treatment. If approved for marketing, our drugs may be required to carry warnings similar to this and other class-wide warnings.</w:t>
      </w:r>
    </w:p>
    <w:p>
      <w:pPr>
        <w:spacing w:after="0" w:line="16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181"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such product;</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9" w:lineRule="exact"/>
        <w:rPr>
          <w:rFonts w:ascii="Arial" w:cs="Arial" w:eastAsia="Arial" w:hAnsi="Arial"/>
          <w:sz w:val="18"/>
          <w:szCs w:val="18"/>
          <w:color w:val="auto"/>
        </w:rPr>
      </w:pPr>
    </w:p>
    <w:p>
      <w:pPr>
        <w:ind w:left="1040" w:right="140" w:hanging="519"/>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EMA, FDA or other comparable foreign regulatory bodies may issue safety alerts, Dear Healthcare Provider letters, press releases or other communications containing warnings about such product;</w:t>
      </w:r>
    </w:p>
    <w:p>
      <w:pPr>
        <w:ind w:left="1040" w:right="100" w:hanging="519"/>
        <w:spacing w:after="0" w:line="281"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2"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spacing w:after="0" w:line="253" w:lineRule="auto"/>
        <w:rPr>
          <w:sz w:val="20"/>
          <w:szCs w:val="20"/>
          <w:color w:val="auto"/>
        </w:rPr>
      </w:pPr>
      <w:r>
        <w:rPr>
          <w:rFonts w:ascii="Arial" w:cs="Arial" w:eastAsia="Arial" w:hAnsi="Arial"/>
          <w:sz w:val="18"/>
          <w:szCs w:val="18"/>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or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195"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9" w:lineRule="exact"/>
        <w:rPr>
          <w:rFonts w:ascii="Arial" w:cs="Arial" w:eastAsia="Arial" w:hAnsi="Arial"/>
          <w:sz w:val="18"/>
          <w:szCs w:val="18"/>
          <w:color w:val="auto"/>
        </w:rPr>
      </w:pPr>
    </w:p>
    <w:p>
      <w:pPr>
        <w:ind w:left="1040" w:right="40" w:hanging="519"/>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terminate any ongoing clinical studies;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 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For instance, in the United Kingdom the code of practice of the Association of the British Pharmaceutical Industry (the lead United Kingdom trade association) is considerably stricter than applicable legislative requirements. Any violations and sanctions will similarly be decided and administered by the relevant country’s national authority.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engaging in the impermissible promotion of products for off-label uses can also subject the entity engaging in such conduct to false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claims litigation under federal and state statutes, which can lead to civil, criminal and/or administrative penalties, damages, monetary fines, disgorgement,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exclusion from participation in Medicare, Medicaid and other federal healthcare programs, curtailment or restructuring of its operations and agreements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materially restrict the manner in which it promotes or distributes drug products. Accordingly, we are subject to the federal civil False Claims Act,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prohibits persons and entities from knowingly filing, or causing to be filed, a false claim, or the knowing use of false statements, to obtain payment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federal government. Certain suits filed under the civil False Claims Act, known as “qui tam” actions, can be brought by any individual on behalf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government and such individuals, commonly known as “whistleblowers,” may share in certain amounts paid by the entity to the government in fines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settlement. When an entity is determined to have violated the civil False Claims Act, it may be required to pay up to three times the actual damages sustained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government, plus civil penalties for each separate false claim. Various states have also enacted laws modeled after the federal civil False Claims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 We are also subject to the federal criminal False Claims Act, which imposes criminal fines or imprisonment against individuals or entities who make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a claim to the government knowing such claim to be false, fictitious, or fraudulent. Additionally, we may be subject to civil monetary penalties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imposed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1" w:name="page32"/>
    <w:bookmarkEnd w:id="31"/>
    <w:p>
      <w:pPr>
        <w:ind w:right="260"/>
        <w:spacing w:after="0" w:line="277" w:lineRule="auto"/>
        <w:rPr>
          <w:sz w:val="20"/>
          <w:szCs w:val="20"/>
          <w:color w:val="auto"/>
        </w:rPr>
      </w:pPr>
      <w:r>
        <w:rPr>
          <w:rFonts w:ascii="Arial" w:cs="Arial" w:eastAsia="Arial" w:hAnsi="Arial"/>
          <w:sz w:val="18"/>
          <w:szCs w:val="18"/>
          <w:color w:val="auto"/>
        </w:rPr>
        <w:t>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no definition of “off-label use” exists at the European Union level, promotion of a medicinal product for a purpose that has not been approved is strictly prohibited. Such promotion also gives rise to criminal prosecution in the European Union, and national healthcare supervisory authorities may impose administrative fines. Engaging in such promotions in the European Union could also lead to product liability claims, in accordance with EU product liability regime under Directive 85/374.</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MIN-301 is a peptide, and, as a peptide, may be subject to the Public Health Service Act, or PHSA, and the Food, Drug, and Cosmetic Act, or FDCA. We have yet to meet with the FDA regarding the approval pathway for this product candidate. Based on the definition of a biologic in the PHSA, we believe that MIN-301 meets the definition of a biologic and, thus, we will need to submit a Biologics License Application, or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product candidates are intended for the treatment of schizophrenia, MDD, insomnia and Parkinson’s disease. Our projections of both the number of people who have these disorders or disease,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plan to seek regulatory approval to commercialize our product candidates in the European Union and, other than seltorexant, in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6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ind w:right="240"/>
        <w:spacing w:after="0" w:line="273"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78"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efficacy and perceived and potential advantages compared to alternative treatments, including any similar generics and biosimilars;</w:t>
      </w:r>
    </w:p>
    <w:p>
      <w:pPr>
        <w:spacing w:after="0" w:line="34"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relative to alternative treatment;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 relative to alternative treatments;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publicity relating to the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6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and we may not be successful in doing so on commercially reasonable terms or at all.</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18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right="20" w:hanging="519"/>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clinical benefits of our products to achieve market acceptance;</w:t>
      </w:r>
    </w:p>
    <w:p>
      <w:pPr>
        <w:ind w:left="1040" w:right="320" w:hanging="519"/>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training sales personnel on legal compliance matters and monitoring their actions;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for sales personnel failing to comply with the applicable legal requirements;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failure or delay in the development of our internal sales, marketing and distribution capabilities would adversely impact the commercialization of these products.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4" w:name="page35"/>
    <w:bookmarkEnd w:id="34"/>
    <w:p>
      <w:pPr>
        <w:ind w:right="80"/>
        <w:spacing w:after="0" w:line="259" w:lineRule="auto"/>
        <w:rPr>
          <w:sz w:val="20"/>
          <w:szCs w:val="20"/>
          <w:color w:val="auto"/>
        </w:rPr>
      </w:pPr>
      <w:r>
        <w:rPr>
          <w:rFonts w:ascii="Arial" w:cs="Arial" w:eastAsia="Arial" w:hAnsi="Arial"/>
          <w:sz w:val="18"/>
          <w:szCs w:val="18"/>
          <w:color w:val="auto"/>
        </w:rPr>
        <w:t>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7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5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5" w:name="page36"/>
    <w:bookmarkEnd w:id="35"/>
    <w:p>
      <w:pPr>
        <w:ind w:right="320"/>
        <w:spacing w:after="0" w:line="277" w:lineRule="auto"/>
        <w:rPr>
          <w:sz w:val="20"/>
          <w:szCs w:val="20"/>
          <w:color w:val="auto"/>
        </w:rPr>
      </w:pPr>
      <w:r>
        <w:rPr>
          <w:rFonts w:ascii="Arial" w:cs="Arial" w:eastAsia="Arial" w:hAnsi="Arial"/>
          <w:sz w:val="18"/>
          <w:szCs w:val="18"/>
          <w:color w:val="auto"/>
        </w:rPr>
        <w:t>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federal level,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example, in March 2010, President Obama signed into law the Patient Protection and Affordable Care Act, as amended by the Health Care and Education Reconciliation Act of 2010, or, collectively, the ACA, a law intended to, among other things,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imposed on certain non-exempt medical devices. Congress could still consider other legislation to repeal or repeal and replace all or portions of the ACA. We continue to evaluate the effect that the ACA and its possible repeal and replacement has on our business. We cannot predict the full impact of the ACA on pharmaceutical companies, as many of the ACA reforms require the promulgation of detailed regulations implementing the statutory provisions, which has not yet occurred.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currency and exchange rate risks.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marketable securities (current and non-current)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1040" w:right="140" w:hanging="519"/>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9" w:lineRule="exact"/>
        <w:rPr>
          <w:rFonts w:ascii="Arial" w:cs="Arial" w:eastAsia="Arial" w:hAnsi="Arial"/>
          <w:sz w:val="18"/>
          <w:szCs w:val="18"/>
          <w:color w:val="auto"/>
        </w:rPr>
      </w:pPr>
    </w:p>
    <w:p>
      <w:pPr>
        <w:ind w:left="1040" w:right="320" w:hanging="519"/>
        <w:spacing w:after="0" w:line="261"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7" w:name="page38"/>
    <w:bookmarkEnd w:id="37"/>
    <w:p>
      <w:pPr>
        <w:ind w:right="100"/>
        <w:spacing w:after="0" w:line="302" w:lineRule="auto"/>
        <w:rPr>
          <w:sz w:val="20"/>
          <w:szCs w:val="20"/>
          <w:color w:val="auto"/>
        </w:rPr>
      </w:pPr>
      <w:r>
        <w:rPr>
          <w:rFonts w:ascii="Arial" w:cs="Arial" w:eastAsia="Arial" w:hAnsi="Arial"/>
          <w:sz w:val="16"/>
          <w:szCs w:val="16"/>
          <w:color w:val="auto"/>
        </w:rPr>
        <w:t>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2017, we had twelve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81"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40" w:right="220" w:hanging="519"/>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40" w:right="20" w:hanging="519"/>
        <w:spacing w:after="0" w:line="26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party to a loan and security agreement that contains operating and financial covenants that may restrict our business and financing activities.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16, 2015, we entered into a Loan and Security Agreement with Oxford Finance LLC and Silicon Valley Bank, providing for term loans to us in an aggregate principal amount of up to $15 million, in two tranches of $10 million and $5 million, respectively. We borrowed the first tranche in January 2015. In June 2016, we irrevocably elected not to borrow the additional $5 million available under the term loans. Borrowings under this loan and security agreement are secured by substantially all of our assets, excluding certain intellectual property rights. The loan and security agreement restricts our ability, among other things, to:</w:t>
      </w:r>
    </w:p>
    <w:p>
      <w:pPr>
        <w:spacing w:after="0" w:line="188"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transfer or otherwise dispose of any of our business or property, subject to limited exceptions;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material changes to our business or management;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resulting in significant changes to the voting control of our stock;</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changes to our organizational structure;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 or merge with other entities or acquire other entities;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 or create encumbrances on our assets;</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other than dividends paid solely in shares of our common stock, or make distributions on and, in certain cases, repurchase our stock;</w:t>
      </w: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 subordinated indebtedness; or</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we are required under our loan agreement to comply with various affirmative operating covenants. The operating covenants and restrictions and obligations in our loan and security agreement, as well as any future financing agreements that we may enter into, may restrict our ability to finance our operations, engage in business activities or expand or fully pursue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8" w:name="page39"/>
    <w:bookmarkEnd w:id="38"/>
    <w:p>
      <w:pPr>
        <w:ind w:right="100"/>
        <w:spacing w:after="0" w:line="312" w:lineRule="auto"/>
        <w:rPr>
          <w:sz w:val="20"/>
          <w:szCs w:val="20"/>
          <w:color w:val="auto"/>
        </w:rPr>
      </w:pPr>
      <w:r>
        <w:rPr>
          <w:rFonts w:ascii="Arial" w:cs="Arial" w:eastAsia="Arial" w:hAnsi="Arial"/>
          <w:sz w:val="16"/>
          <w:szCs w:val="16"/>
          <w:color w:val="auto"/>
        </w:rPr>
        <w:t>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the facility to become immediately due and payable and eliminate our eligibility to receive additional loans under the agreement.</w:t>
      </w:r>
    </w:p>
    <w:p>
      <w:pPr>
        <w:spacing w:after="0" w:line="14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If we are unable to generate sufficient cash available to repay our debt obligations when they become due and payable, either as when such obligations become due, when they mature, or in the event of a default, we may not be able to obtain additional debt or equity financing on favorable terms, if at all, which may negatively impact our business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mergers or joint ventures could disrupt our business and otherwise harm our business.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18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9" w:lineRule="exact"/>
        <w:rPr>
          <w:rFonts w:ascii="Arial" w:cs="Arial" w:eastAsia="Arial" w:hAnsi="Arial"/>
          <w:sz w:val="18"/>
          <w:szCs w:val="18"/>
          <w:color w:val="auto"/>
        </w:rPr>
      </w:pPr>
    </w:p>
    <w:p>
      <w:pPr>
        <w:ind w:left="1040" w:right="46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marketing or promotional restrictions;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9" w:name="page40"/>
    <w:bookmarkEnd w:id="39"/>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8"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required to comply with the SEC’s rules that implement Section 404 of the Sarbanes-Oxley Act and the Committee on Sponsoring Organizations, or COSO,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 Further, in our first annual report required to be filed with the SEC following the date we are no longer an “emerging growth company,” as defined in the JOBS Act, our independent registered public accounting firm will be required to attest to the effectiveness of our internal control over financial reporting.</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subject to the periodic reporting requirements of the Securities Exchange Act of 1934, as amended, or the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40" w:name="page41"/>
    <w:bookmarkEnd w:id="40"/>
    <w:p>
      <w:pPr>
        <w:ind w:right="28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Prior to November 2013, we operated without full 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41" w:name="page42"/>
    <w:bookmarkEnd w:id="41"/>
    <w:p>
      <w:pPr>
        <w:ind w:right="40"/>
        <w:spacing w:after="0" w:line="297" w:lineRule="auto"/>
        <w:rPr>
          <w:sz w:val="20"/>
          <w:szCs w:val="20"/>
          <w:color w:val="auto"/>
        </w:rPr>
      </w:pPr>
      <w:r>
        <w:rPr>
          <w:rFonts w:ascii="Arial" w:cs="Arial" w:eastAsia="Arial" w:hAnsi="Arial"/>
          <w:sz w:val="16"/>
          <w:szCs w:val="16"/>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173" w:lineRule="exact"/>
        <w:rPr>
          <w:sz w:val="20"/>
          <w:szCs w:val="20"/>
          <w:color w:val="auto"/>
        </w:rPr>
      </w:pPr>
    </w:p>
    <w:p>
      <w:pPr>
        <w:ind w:left="1040" w:right="60" w:hanging="519"/>
        <w:spacing w:after="0" w:line="26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Arial" w:cs="Arial" w:eastAsia="Arial" w:hAnsi="Arial"/>
          <w:sz w:val="17"/>
          <w:szCs w:val="17"/>
          <w:color w:val="auto"/>
        </w:rPr>
      </w:pPr>
    </w:p>
    <w:p>
      <w:pPr>
        <w:ind w:left="104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2" w:lineRule="exact"/>
        <w:rPr>
          <w:rFonts w:ascii="Arial" w:cs="Arial" w:eastAsia="Arial" w:hAnsi="Arial"/>
          <w:sz w:val="18"/>
          <w:szCs w:val="18"/>
          <w:color w:val="auto"/>
        </w:rPr>
      </w:pPr>
    </w:p>
    <w:p>
      <w:pPr>
        <w:ind w:left="1040" w:right="2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ind w:left="1040" w:right="8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Arial" w:cs="Arial" w:eastAsia="Arial" w:hAnsi="Arial"/>
          <w:sz w:val="18"/>
          <w:szCs w:val="18"/>
          <w:color w:val="auto"/>
        </w:rPr>
      </w:pPr>
    </w:p>
    <w:p>
      <w:pPr>
        <w:ind w:left="1040" w:right="22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Arial" w:cs="Arial" w:eastAsia="Arial" w:hAnsi="Arial"/>
          <w:sz w:val="18"/>
          <w:szCs w:val="18"/>
          <w:color w:val="auto"/>
        </w:rPr>
      </w:pPr>
    </w:p>
    <w:p>
      <w:pPr>
        <w:ind w:left="1040" w:right="100" w:hanging="519"/>
        <w:spacing w:after="0" w:line="26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 w:lineRule="exact"/>
        <w:rPr>
          <w:rFonts w:ascii="Arial" w:cs="Arial" w:eastAsia="Arial" w:hAnsi="Arial"/>
          <w:sz w:val="17"/>
          <w:szCs w:val="17"/>
          <w:color w:val="auto"/>
        </w:rPr>
      </w:pPr>
    </w:p>
    <w:p>
      <w:pPr>
        <w:ind w:left="1040" w:right="180" w:hanging="519"/>
        <w:spacing w:after="0" w:line="26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 w:lineRule="exact"/>
        <w:rPr>
          <w:rFonts w:ascii="Arial" w:cs="Arial" w:eastAsia="Arial" w:hAnsi="Arial"/>
          <w:sz w:val="17"/>
          <w:szCs w:val="17"/>
          <w:color w:val="auto"/>
        </w:rPr>
      </w:pPr>
    </w:p>
    <w:p>
      <w:pPr>
        <w:ind w:left="1040" w:right="360" w:hanging="519"/>
        <w:spacing w:after="0" w:line="28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3" w:lineRule="exact"/>
        <w:rPr>
          <w:rFonts w:ascii="Arial" w:cs="Arial" w:eastAsia="Arial" w:hAnsi="Arial"/>
          <w:sz w:val="16"/>
          <w:szCs w:val="16"/>
          <w:color w:val="auto"/>
        </w:rPr>
      </w:pPr>
    </w:p>
    <w:p>
      <w:pPr>
        <w:ind w:left="1040" w:right="620" w:hanging="519"/>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and other activities that potentially harm consumers.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2" w:name="page43"/>
    <w:bookmarkEnd w:id="42"/>
    <w:p>
      <w:pPr>
        <w:ind w:left="1040" w:right="220" w:hanging="519"/>
        <w:spacing w:after="0" w:line="288"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1040" w:right="60"/>
        <w:spacing w:after="0" w:line="287" w:lineRule="auto"/>
        <w:rPr>
          <w:rFonts w:ascii="Arial" w:cs="Arial" w:eastAsia="Arial" w:hAnsi="Arial"/>
          <w:sz w:val="16"/>
          <w:szCs w:val="16"/>
          <w:color w:val="auto"/>
        </w:rPr>
      </w:pPr>
      <w:r>
        <w:rPr>
          <w:rFonts w:ascii="Arial" w:cs="Arial" w:eastAsia="Arial" w:hAnsi="Arial"/>
          <w:sz w:val="16"/>
          <w:szCs w:val="16"/>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and (3) govern the privacy and security of health information in certain circumstances. State laws are not uniform, may differ from each other in significant ways and may be applied with differing effects.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 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78"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Foreign Corrupt Practices Act.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Foreign Corrupt Practices Act, or FCPA, is a United States law that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our service providers are subject to EU data protection laws. Failure to comply with such laws could harm our financial condition and operating results and involve distraction from other aspects of our business.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October 2015, the Court of Justice of the European Union (CJEU) invalidated the EU-U.S. Safe Harbor Framework, which had established a means for legitimating the transfer of personal data, as the term is used in the context of the EU Data Protection Directive, to the U.S. and required U.S.-based companies that have certified with the Department of Commerce as part of the Safe Harbor Framework to provide assurance that they are adhering to relevant European standards for data protection. As Minerva is not Safe Harbor certified, the CJEU’s ruling invalidating the Safe Harbor has no direct effect on Minerva’s own compliance with EU data protection laws; however, in light of the CJEU’s recent decision, we are reviewing the practices of third party service providers with whom we work, which include the transfer of personal data between the European Economic Area (“EEA”) and the U.S. to ensure that all data transfers to us comply with EU data protection laws. In February 2016, the EU Commission announced that it had reached agreement with the U.S. replacement regime to the Safe Harbor Framework, which is expected to be ratified in the EU in the next three to four months. We require our EEA-based services providers, and U.S.-based service providers undertaking clinical trials on our behalf in the EEA, to confirm that all of the personal data which we receive from them is legitimately transferred to us. In many cases we believe that patients and subjects consent to the transfer of their data in a manner which satisfies the requirements of EU data protection law. Where appropriate and pending the ratification of the replacement regime, we may require third party service providers to adopt an alternative means of legitimizing data transfers from the EEA, such as the Standard Contractual Clauses which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43" w:name="page44"/>
    <w:bookmarkEnd w:id="43"/>
    <w:p>
      <w:pPr>
        <w:ind w:right="100"/>
        <w:spacing w:after="0" w:line="302" w:lineRule="auto"/>
        <w:rPr>
          <w:sz w:val="20"/>
          <w:szCs w:val="20"/>
          <w:color w:val="auto"/>
        </w:rPr>
      </w:pPr>
      <w:r>
        <w:rPr>
          <w:rFonts w:ascii="Arial" w:cs="Arial" w:eastAsia="Arial" w:hAnsi="Arial"/>
          <w:sz w:val="16"/>
          <w:szCs w:val="16"/>
          <w:color w:val="auto"/>
        </w:rPr>
        <w:t>have been approved by the EU Commission as a means of transferring data to the U.S. These confirmations and, if necessary, additional actions may involve substantial time and expense to both Minerva and its third party service providers, and could divert management’s attention and resources from other aspects of our business. If data transfers to the U.S. are not legitimized, the EU data protection authorities can impose a number of different sanctions, including fines and, ultimately, a prohibition on transfers, any of which could harm our business, financial condition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7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4" w:name="page45"/>
    <w:bookmarkEnd w:id="44"/>
    <w:p>
      <w:pPr>
        <w:ind w:right="140"/>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5" w:name="page46"/>
    <w:bookmarkEnd w:id="45"/>
    <w:p>
      <w:pPr>
        <w:ind w:right="140"/>
        <w:spacing w:after="0" w:line="264" w:lineRule="auto"/>
        <w:rPr>
          <w:sz w:val="20"/>
          <w:szCs w:val="20"/>
          <w:color w:val="auto"/>
        </w:rPr>
      </w:pPr>
      <w:r>
        <w:rPr>
          <w:rFonts w:ascii="Arial" w:cs="Arial" w:eastAsia="Arial" w:hAnsi="Arial"/>
          <w:sz w:val="18"/>
          <w:szCs w:val="18"/>
          <w:color w:val="auto"/>
        </w:rPr>
        <w:t>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depend on our collaborations with Mitsubishi Tanabe Pharma Corporation, or MTPC, and Janssen Pharmaceutica NV and could be seriously harmed if our license agreements with MTPC and Janssen were terminated.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exclusively license roluperidone and MIN-117 from MTPC, with the rights to develop, sell and import roluperidone and MIN-117 globally, excluding most of Asia.</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co-development and license agreement with Janssen provides us with European Union commercialization rights for seltorexant and the right to royalties on any sales of seltorexant outside of the European Union. We have assumed strategic control for clinical development of seltorexant in insomnia and all financial responsibility for Phase 3 development costs for seltorexant in this indication and will only realize revenues from seltorexant if it is approved and if our license agreement with Janssen is not terminated by Janssen. Janssen may terminate our license agreement following a material breach by us or certain insolvency events, including if we are unable to fund our portion of the development costs. As a result, we may never realize any revenues from the commercialization of seltorexant, even if approved. In addition, at certain development milestones, including the completion of a single dose Phase 1 clinical trial of seltorexant in patients with MDD, Janssen has the right to opt out of its obligation to fund further development, and we may be unable to fund such development without Janssen’s financial support.</w:t>
      </w:r>
    </w:p>
    <w:p>
      <w:pPr>
        <w:spacing w:after="0" w:line="17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Even if we receive revenues on European Union sales or royalties on sales outside of the European Union under the Janssen license agreement, we may not receive revenues that equal or exceed the amount we are obligated to invest in seltorexant’s clinical development under the agreement. As a result, the license agreement for seltorexant may never result in any profits to us and may have a material adverse effect on us or our business prospects.</w:t>
      </w:r>
    </w:p>
    <w:p>
      <w:pPr>
        <w:spacing w:after="0" w:line="14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collaborating with Janssen on the development of seltorexant. We may also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For example, our in-licensed U.S. and European patents covering composition of matter and pharmaceutical compositions of roluperidone, respectively, are expected to expire as soon as 2021. In addition, our in-licensed U.S. and European patents relating to pharmaceutical compositions and uses of MIN-117 to treat depression are expected to expire as soon as 2020.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47" w:name="page48"/>
    <w:bookmarkEnd w:id="47"/>
    <w:p>
      <w:pPr>
        <w:ind w:right="280"/>
        <w:spacing w:after="0" w:line="302" w:lineRule="auto"/>
        <w:rPr>
          <w:sz w:val="20"/>
          <w:szCs w:val="20"/>
          <w:color w:val="auto"/>
        </w:rPr>
      </w:pPr>
      <w:r>
        <w:rPr>
          <w:rFonts w:ascii="Arial" w:cs="Arial" w:eastAsia="Arial" w:hAnsi="Arial"/>
          <w:sz w:val="16"/>
          <w:szCs w:val="16"/>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or NCE, exclusivity. Such diminution of our proprietary position could have a material adverse effect on our business, results of operations and financial condition.</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license or acquire additional patents and intellectual property rights.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or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on our patent rights relating to our product candidates may limit our ability to prevent third parties from competing against us.</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8" w:name="page49"/>
    <w:bookmarkEnd w:id="48"/>
    <w:p>
      <w:pPr>
        <w:ind w:right="240"/>
        <w:spacing w:after="0" w:line="277" w:lineRule="auto"/>
        <w:rPr>
          <w:sz w:val="20"/>
          <w:szCs w:val="20"/>
          <w:color w:val="auto"/>
        </w:rPr>
      </w:pPr>
      <w:r>
        <w:rPr>
          <w:rFonts w:ascii="Arial" w:cs="Arial" w:eastAsia="Arial" w:hAnsi="Arial"/>
          <w:sz w:val="18"/>
          <w:szCs w:val="18"/>
          <w:color w:val="auto"/>
        </w:rPr>
        <w:t>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7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or the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9" w:name="page50"/>
    <w:bookmarkEnd w:id="49"/>
    <w:p>
      <w:pPr>
        <w:jc w:val="both"/>
        <w:ind w:right="6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1040" w:right="80" w:hanging="519"/>
        <w:spacing w:after="0" w:line="258"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make the inventions covered by the issued patents or pending patent applications that we own or have exclusively licensed.</w:t>
      </w: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1040" w:right="160" w:hanging="519"/>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1040" w:right="540" w:hanging="519"/>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ind w:left="1040" w:right="760" w:hanging="519"/>
        <w:spacing w:after="0" w:line="265"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bookmarkStart w:id="50" w:name="page51"/>
    <w:bookmarkEnd w:id="50"/>
    <w:p>
      <w:pPr>
        <w:ind w:right="560"/>
        <w:spacing w:after="0" w:line="277" w:lineRule="auto"/>
        <w:rPr>
          <w:sz w:val="20"/>
          <w:szCs w:val="20"/>
          <w:color w:val="auto"/>
        </w:rPr>
      </w:pPr>
      <w:r>
        <w:rPr>
          <w:rFonts w:ascii="Arial" w:cs="Arial" w:eastAsia="Arial" w:hAnsi="Arial"/>
          <w:sz w:val="18"/>
          <w:szCs w:val="18"/>
          <w:color w:val="auto"/>
        </w:rPr>
        <w:t>that technology or information to compete with us. If any of our trade secrets were to be disclosed to or independently developed by a competitor, our competitive position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cannot predict what the market price of our common stock will be and, as a result, it may be difficult for you to sell your shares of our common stock.</w:t>
      </w:r>
    </w:p>
    <w:p>
      <w:pPr>
        <w:spacing w:after="0" w:line="26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70"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1040" w:right="820" w:hanging="519"/>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coverage and reimbursement;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To our knowledge, our executive officers, directors, holders of 5% or more of our capital stock and their respective affiliates beneficially own approximately 52% of our voting stock as of December 31, 2017.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51" w:name="page52"/>
    <w:bookmarkEnd w:id="51"/>
    <w:p>
      <w:pPr>
        <w:ind w:right="400"/>
        <w:spacing w:after="0" w:line="308" w:lineRule="auto"/>
        <w:rPr>
          <w:sz w:val="20"/>
          <w:szCs w:val="20"/>
          <w:color w:val="auto"/>
        </w:rPr>
      </w:pPr>
      <w:r>
        <w:rPr>
          <w:rFonts w:ascii="Arial" w:cs="Arial" w:eastAsia="Arial" w:hAnsi="Arial"/>
          <w:sz w:val="17"/>
          <w:szCs w:val="17"/>
          <w:b w:val="1"/>
          <w:bCs w:val="1"/>
          <w:i w:val="1"/>
          <w:iCs w:val="1"/>
          <w:color w:val="auto"/>
        </w:rPr>
        <w:t>Our management will continue to have broad discretion over the use of the proceeds we received in our public offerings, private placements, warrant exercises and term loans and might not apply the proceeds in ways that increase the value of your investment.</w:t>
      </w:r>
    </w:p>
    <w:p>
      <w:pPr>
        <w:spacing w:after="0" w:line="14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management will continue to have broad discretion to use the net proceeds from our public offerings, private placements warrant exercises and term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term loans in ways that enhance stockholder value, we may fail to achieve the expected financial results, which could cause our stock price to decline.</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we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our Amended and Restated 2013 Equity Incentive Plan, our management is authorized to grant up to 5,781,333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year in which we completed our initial public offering, although circumstances could cause us to lose that status earlier, including if the market value of our common stock held by non-affiliates exceeds $700.0 million as of any June 30 before that time or if we have total annual gross revenue of $1.0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or the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2" w:name="page53"/>
    <w:bookmarkEnd w:id="52"/>
    <w:p>
      <w:pPr>
        <w:ind w:right="140"/>
        <w:spacing w:after="0" w:line="277" w:lineRule="auto"/>
        <w:rPr>
          <w:sz w:val="20"/>
          <w:szCs w:val="20"/>
          <w:color w:val="auto"/>
        </w:rPr>
      </w:pPr>
      <w:r>
        <w:rPr>
          <w:rFonts w:ascii="Arial" w:cs="Arial" w:eastAsia="Arial" w:hAnsi="Arial"/>
          <w:sz w:val="18"/>
          <w:szCs w:val="18"/>
          <w:color w:val="auto"/>
        </w:rPr>
        <w:t>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10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 classified board of directors such that not all members of the board are elected at one time;</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allowing the authorized number of directors to be changed only by resolution of our board of directors;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9" w:lineRule="exact"/>
        <w:rPr>
          <w:rFonts w:ascii="Arial" w:cs="Arial" w:eastAsia="Arial" w:hAnsi="Arial"/>
          <w:sz w:val="18"/>
          <w:szCs w:val="18"/>
          <w:color w:val="auto"/>
        </w:rPr>
      </w:pPr>
    </w:p>
    <w:p>
      <w:pPr>
        <w:ind w:left="1040" w:right="260" w:hanging="519"/>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20"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w:t>
      </w:r>
    </w:p>
    <w:p>
      <w:pPr>
        <w:spacing w:after="0" w:line="9" w:lineRule="exact"/>
        <w:rPr>
          <w:rFonts w:ascii="Arial" w:cs="Arial" w:eastAsia="Arial" w:hAnsi="Arial"/>
          <w:sz w:val="18"/>
          <w:szCs w:val="18"/>
          <w:color w:val="auto"/>
        </w:rPr>
      </w:pPr>
    </w:p>
    <w:p>
      <w:pPr>
        <w:ind w:left="1040" w:right="100" w:hanging="519"/>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than can be acted upon at stockholder meetings; and</w:t>
      </w:r>
    </w:p>
    <w:p>
      <w:pPr>
        <w:ind w:left="1040" w:right="20" w:hanging="519"/>
        <w:spacing w:after="0" w:line="261"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66 2/3% of the votes that all of our stockholders would be entitled to cast to amend or repeal our bylaws.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3" w:name="page54"/>
    <w:bookmarkEnd w:id="53"/>
    <w:p>
      <w:pPr>
        <w:ind w:right="260"/>
        <w:spacing w:after="0" w:line="277" w:lineRule="auto"/>
        <w:rPr>
          <w:sz w:val="20"/>
          <w:szCs w:val="20"/>
          <w:color w:val="auto"/>
        </w:rPr>
      </w:pPr>
      <w:r>
        <w:rPr>
          <w:rFonts w:ascii="Arial" w:cs="Arial" w:eastAsia="Arial" w:hAnsi="Arial"/>
          <w:sz w:val="18"/>
          <w:szCs w:val="18"/>
          <w:color w:val="auto"/>
        </w:rPr>
        <w:t>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executive offices are located at 1601 Trapelo Road, Suite 286, Waltham, Massachusetts. We lease this facility, which consists of approximately 5,923 square feet of office space, and the term of our Sublease expires on July 27, 2021. We believe that our existing facility is sufficient for our current needs for the foreseeable future.</w:t>
      </w:r>
    </w:p>
    <w:p>
      <w:pPr>
        <w:spacing w:after="0" w:line="3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Our common stock has been traded on the NASDAQ Global Market under the symbol “NERV” since our initial public offering on July 1, 2014. The following table sets forth the high and low sale prices per share for our common stock on the NASDAQ Global Market for the periods indicated:</w:t>
      </w:r>
    </w:p>
    <w:p>
      <w:pPr>
        <w:spacing w:after="0" w:line="12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March 7, 2018, there were approximately 110 holders of record of our common stock. We believe that the number of beneficial owners of our common stock at that date was substantially greater.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never declared or paid any cash dividends on our common stock and our ability to pay cash dividends is currently prohibited by the terms of our debt financing arrangements. We do not anticipate paying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plans for expansion.</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ordinary shares since July 1, 2014 through December 31, 2017 with the NASDAQ Composite Total Returns Index and the NASDAQ Biotechnology Index. The comparison assumes $100 was invested on July 1, 2014 in our common stock and in each of the foregoing indices and further assumes reinvestment of any dividends. We did not declare or pay any dividends on our common stock or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127635</wp:posOffset>
            </wp:positionV>
            <wp:extent cx="6062980" cy="3155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298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7/1/2014</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12/31/2014</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6/30/2015</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12/31/2015</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6/30/2016</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12/31/2016</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6/30/2017</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12/31/2017</w:t>
            </w:r>
          </w:p>
        </w:tc>
        <w:tc>
          <w:tcPr>
            <w:tcW w:w="120" w:type="dxa"/>
            <w:vAlign w:val="bottom"/>
            <w:tcBorders>
              <w:bottom w:val="single" w:sz="8" w:color="CFF0FC"/>
            </w:tcBorders>
          </w:tcPr>
          <w:p>
            <w:pPr>
              <w:spacing w:after="0"/>
              <w:rPr>
                <w:sz w:val="14"/>
                <w:szCs w:val="14"/>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Minerva Neurosciences, Inc.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120" w:type="dxa"/>
            <w:vAlign w:val="bottom"/>
            <w:shd w:val="clear" w:color="auto" w:fill="CFF0FC"/>
          </w:tcPr>
          <w:p>
            <w:pPr>
              <w:spacing w:after="0"/>
              <w:rPr>
                <w:sz w:val="19"/>
                <w:szCs w:val="19"/>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NASDAQ Composite – Total</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Returns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106.84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114.28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124.41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142.71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0"/>
                <w:szCs w:val="20"/>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NASDAQ Biotechnology Index</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year ended December 31, 2017, we did not issue or sell any unregistered securities not previously disclosed in a Quarterly Report on Form 10-Q or in a Current Report on Form 8-K.</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 Total Number of Shares (or</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 Total Number of Shares (or</w:t>
            </w:r>
          </w:p>
        </w:tc>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 Average Price Paid per Share</w:t>
            </w:r>
          </w:p>
        </w:tc>
        <w:tc>
          <w:tcPr>
            <w:tcW w:w="2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Units) Purchased as Part of</w:t>
            </w:r>
          </w:p>
        </w:tc>
        <w:tc>
          <w:tcPr>
            <w:tcW w:w="22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Shares (or Units) that May Yet Be</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2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Publicly Announced Plans or</w:t>
            </w:r>
          </w:p>
        </w:tc>
        <w:tc>
          <w:tcPr>
            <w:tcW w:w="2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Units) Purchased</w:t>
            </w:r>
            <w:r>
              <w:rPr>
                <w:rFonts w:ascii="Arial" w:cs="Arial" w:eastAsia="Arial" w:hAnsi="Arial"/>
                <w:sz w:val="12"/>
                <w:szCs w:val="12"/>
                <w:b w:val="1"/>
                <w:bCs w:val="1"/>
                <w:color w:val="auto"/>
                <w:w w:val="92"/>
              </w:rPr>
              <w:t>(1)</w:t>
            </w:r>
          </w:p>
        </w:tc>
        <w:tc>
          <w:tcPr>
            <w:tcW w:w="420" w:type="dxa"/>
            <w:vAlign w:val="bottom"/>
          </w:tcPr>
          <w:p>
            <w:pPr>
              <w:spacing w:after="0"/>
              <w:rPr>
                <w:sz w:val="14"/>
                <w:szCs w:val="14"/>
                <w:color w:val="auto"/>
              </w:rPr>
            </w:pPr>
          </w:p>
        </w:tc>
        <w:tc>
          <w:tcPr>
            <w:tcW w:w="1860" w:type="dxa"/>
            <w:vAlign w:val="bottom"/>
            <w:gridSpan w:val="2"/>
          </w:tcPr>
          <w:p>
            <w:pPr>
              <w:ind w:left="340"/>
              <w:spacing w:after="0"/>
              <w:rPr>
                <w:sz w:val="20"/>
                <w:szCs w:val="20"/>
                <w:color w:val="auto"/>
              </w:rPr>
            </w:pPr>
            <w:r>
              <w:rPr>
                <w:rFonts w:ascii="Arial" w:cs="Arial" w:eastAsia="Arial" w:hAnsi="Arial"/>
                <w:sz w:val="14"/>
                <w:szCs w:val="14"/>
                <w:b w:val="1"/>
                <w:bCs w:val="1"/>
                <w:color w:val="auto"/>
              </w:rPr>
              <w:t>(or Unit)</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Programs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1/1/17 to 3/31/17</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ind w:left="19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4/1/17 to 6/30/17</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7/1/17 to 9/30/17</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3,892,256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20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ind w:left="190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10/1/17 to 12/31/17</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3,892,256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auto"/>
              <w:bottom w:val="single" w:sz="8" w:color="auto"/>
            </w:tcBorders>
            <w:shd w:val="clear" w:color="auto" w:fill="CFF0FC"/>
          </w:tcPr>
          <w:p>
            <w:pPr>
              <w:ind w:left="19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64" w:lineRule="auto"/>
        <w:tabs>
          <w:tab w:leader="none" w:pos="223" w:val="left"/>
        </w:tabs>
        <w:numPr>
          <w:ilvl w:val="0"/>
          <w:numId w:val="30"/>
        </w:numPr>
        <w:rPr>
          <w:rFonts w:ascii="Arial" w:cs="Arial" w:eastAsia="Arial" w:hAnsi="Arial"/>
          <w:sz w:val="15"/>
          <w:szCs w:val="15"/>
          <w:color w:val="auto"/>
        </w:rPr>
      </w:pPr>
      <w:r>
        <w:rPr>
          <w:rFonts w:ascii="Arial" w:cs="Arial" w:eastAsia="Arial" w:hAnsi="Arial"/>
          <w:sz w:val="18"/>
          <w:szCs w:val="18"/>
          <w:color w:val="auto"/>
        </w:rPr>
        <w:t>On August 29, 2017, the European Commission approved an amendment to our Co-Development and License Agreement with Janssen (the “Amendment). In connection with the Amendment, we repurchased all of the 3,892,256 shares of its stock previously owned by Johnson &amp; Johnson Innovation-JJDC Inc. at a per share price of $0.0001.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6" w:name="page57"/>
    <w:bookmarkEnd w:id="56"/>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You should read the following selected financial data together with our consolidated financial statements and the related notes contained in Item 8 of Part II of this Annual Report on Form 10-K. We have derived the consolidated statements of operations data for each of the three years ended December 31, 2017, 2016, and 2015 and the consolidated balance sheets data as of December 31, 2017 and 2016 from the audited consolidated financial statements contained in Item 8 of Part II of this Form 10-K. The selected consolidated balance sheet data as of December 31, 2015, 2014 and 2013 and the statement of operations data for the year ended 2014 and 2013 have been derived from the audited consolidated financial statements for such years not included in this Form 10-K.</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historical financial information set forth below may not be indicative of our future performance and should be read together with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and our historical consolidated financial statements and notes to those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Item 7 of Part II and Item 8 of Part II, respectively, of this Annual Report on Form 10-K.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7"/>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00" w:type="dxa"/>
            <w:vAlign w:val="bottom"/>
            <w:gridSpan w:val="10"/>
          </w:tcPr>
          <w:p>
            <w:pPr>
              <w:jc w:val="right"/>
              <w:ind w:right="580"/>
              <w:spacing w:after="0" w:line="155" w:lineRule="exact"/>
              <w:rPr>
                <w:sz w:val="20"/>
                <w:szCs w:val="20"/>
                <w:color w:val="auto"/>
              </w:rPr>
            </w:pPr>
            <w:r>
              <w:rPr>
                <w:rFonts w:ascii="Arial" w:cs="Arial" w:eastAsia="Arial" w:hAnsi="Arial"/>
                <w:sz w:val="14"/>
                <w:szCs w:val="14"/>
                <w:b w:val="1"/>
                <w:bCs w:val="1"/>
                <w:color w:val="auto"/>
                <w:w w:val="97"/>
              </w:rPr>
              <w:t>(in thousands, except share and per share data)</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42,909</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(losses) gains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Benefit for income taxes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(9,376)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(0.99)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(4.47)</w:t>
            </w: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basic and</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133,184</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82,981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32,205</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18,546</w:t>
            </w:r>
          </w:p>
        </w:tc>
        <w:tc>
          <w:tcPr>
            <w:tcW w:w="14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183,699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payable, accrued expenses and other</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collaborative expenses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including current portion and</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convertible promissory notes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131,597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183,699</w:t>
            </w:r>
          </w:p>
        </w:tc>
        <w:tc>
          <w:tcPr>
            <w:tcW w:w="14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132,943</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82,576</w:t>
            </w:r>
          </w:p>
        </w:tc>
        <w:tc>
          <w:tcPr>
            <w:tcW w:w="16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68,451</w:t>
            </w:r>
          </w:p>
        </w:tc>
        <w:tc>
          <w:tcPr>
            <w:tcW w:w="140" w:type="dxa"/>
            <w:vAlign w:val="bottom"/>
          </w:tcPr>
          <w:p>
            <w:pPr>
              <w:spacing w:after="0"/>
              <w:rPr>
                <w:sz w:val="20"/>
                <w:szCs w:val="20"/>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29,175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7" w:name="page58"/>
    <w:bookmarkEnd w:id="57"/>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product portfolio and potential indications include: roluperidone for the treatment of schizophrenia; seltorexant (also known as MIN-202 or JNJ-42847922), which we are co-developing with Janssen Pharmaceutica NV, or Janssen, for the treatment of insomnia disorder and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November 2013, Cyrenaic Pharmaceuticals, Inc., or Cyrenaic, and Sonkei Pharmaceuticals, Inc., or Sonkei, merged, and the combined company was renamed Minerva Neurosciences, Inc. Cyrenaic had been incorporated in 2007 and had exclusively licensed roluperidone from Mitsubishi Tanabe Pharma Corporation, or MTPC. Sonkei had been incorporated in 2008 and had exclusively licensed MIN-117 from MTPC. We executed the merger as we saw an opportunity to better serve an underserved patient population through combining a portfolio of promising product candidates targeting CNS diseases. As a result of the merger, we have the rights to develop and commercialize roluperidone and MIN-117 globally, excluding most of Asia.</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further expanded our product candidate portfolio in February 2014 by acquiring the shares of Mind-NRG SA, or Mind-NRG, which had exclusive rights to develop and commercialize MIN-301. In addition, in February 2014 we entered into a co-development and license agreement with Janssen, one of the Janssen Pharmaceutical Companies of Johnson &amp; Johnson, for the co-development of seltorexant. We entered into an amendment to this agreement in June 2017 that took effect on August 29, 2017. Under the amended agreement, we gained global strategic control of the development of seltorexant to treat insomnia, and Janssen waived its right to royalties on seltorexant insomnia sales in the Minerva territory, which includes the European Union, Switzerland, Liechtenstein, Iceland and Norway (the “Minerva Territory”). We retain our rights to seltorexant as adjunctive therapy for MDD, which include an exclusive license in the Minerva Territory with royalties payable by us to Janssen, and royalties on sales payable by Janssen to Minerva elsewhere worldwide. (See Seltorexant – Amendment to Co-Development and License Agreement below.)</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35"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None of our product candidates have been approved for commercialization and we have not received any revenue in connection with the sale or license of our product candidates. We are evaluating the revenue implications of our Amendment to Co-Development and License Agreement with Janssen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Research and development expenses consists of costs incurred in connection with the development of our product 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historic direct costs relating to each of our product candidates are summarized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2"/>
                <w:szCs w:val="12"/>
                <w:b w:val="1"/>
                <w:bCs w:val="1"/>
                <w:color w:val="auto"/>
              </w:rPr>
              <w:t>(1)</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Roluperidone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12,177</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MIN-117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Seltorexant</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MIN-301</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19,404</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900" w:right="300" w:hanging="514"/>
        <w:spacing w:after="0" w:line="25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expense for the years ended December 31, 2017, 2016 and 2015 excludes non cash stock-based compensation expense of $1.966 million, $1.036 million, and $0.604 million, respectively.</w:t>
      </w:r>
    </w:p>
    <w:p>
      <w:pPr>
        <w:spacing w:after="0" w:line="1" w:lineRule="exact"/>
        <w:rPr>
          <w:rFonts w:ascii="Arial" w:cs="Arial" w:eastAsia="Arial" w:hAnsi="Arial"/>
          <w:sz w:val="18"/>
          <w:szCs w:val="18"/>
          <w:color w:val="auto"/>
        </w:rPr>
      </w:pPr>
    </w:p>
    <w:p>
      <w:pPr>
        <w:ind w:left="900" w:right="100" w:hanging="514"/>
        <w:spacing w:after="0" w:line="30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$11.2 million represents accrued and unpaid expenses incurred during 2017 under the collaboration agreement with Janssen. These accrued expenses were forgiven upon the effective date of the amendment to the co-development and license agreement with Janssen, have no cash impact on Minerva and have been included under Deferred Revenue on the Company’s balance sheet at December 31, 2017.</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future, we expect research and development expenses to be our largest category of operating expenses and to increase as we continue our planned pre-clinical and clinical trials for our product candidates and as we hire additional research and development staff.</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test goodwill and in-process research and development for impairment annually on November 30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General and administrative expenses consist principally of costs for functions in executive, finance, legal, auditing 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Foreign exchange (losses) gains are comprised primarily of losses and gains of foreign currency transactions related to clinical 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 (current and non-current).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of interest incurred under our current outstanding loan with Oxford Finance LLC, or Oxford, and Silicon Valley Bank, or SVB.</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2017, 2016, and 2015, interest expense was related primarily to our loan with Oxford and SVB.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 and Tax Carryforwards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 of December 31, 2017, we had approximately $64.8 million of federal net operating loss carryforwards. These federal net operating loss carryforwards will begin to expire at various dates beginning in 2027, if not utilized. As of December 31, 2017, we had approximately $56.3 million of state net operating loss carryforwards. During the year ended December 31, 2017, no state operating loss carryforwards had expired.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22, 2017, the President signed into law the tax legislation commonly known as the Tax Cuts and Jobs Act. As part of the legislation, net operating losses created after December 31, 2017 will have an indefinite carryforward period. Additionally, these future net operating losses will be limited to 80% of taxable income for any future period in which they might be used. The legislation does not alter the amount or ability to utilize net operating losses created prior to December 31, 2017.</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legislative change regarding the carryforward period of net operating losses impacts our indefinite lived deferred tax liabilities related to our IPR&amp;D intangibles. Prior to the change in tax law, our net operating losses could not be used to offset deferred tax liabilities resulting from taxable temporary differences with an indefinite life. After the legislative change, federal net operating loss incurred after December 31, 2017 will have an indefinite life. As a result, our deductible temporary differences will reverse and create unlimited lived deferred tax assets which may be available to offset indefinite lived deferred tax liabilities. Accordingly, we have recognized a tax benefit for the period ending December 31, 2017 to reflect this reversal pattern.</w:t>
      </w:r>
    </w:p>
    <w:p>
      <w:pPr>
        <w:spacing w:after="0" w:line="158"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The Internal Revenue Code, or IRC, limits the amounts of net operating loss carryforwards that a company may use in any one year in the event of certain cumulative changes in ownership over a three</w:t>
      </w:r>
      <w:r>
        <w:rPr>
          <w:rFonts w:ascii="MS PGothic" w:cs="MS PGothic" w:eastAsia="MS PGothic" w:hAnsi="MS PGothic"/>
          <w:sz w:val="17"/>
          <w:szCs w:val="17"/>
          <w:color w:val="auto"/>
        </w:rPr>
        <w:t>‑</w:t>
      </w:r>
      <w:r>
        <w:rPr>
          <w:rFonts w:ascii="Arial" w:cs="Arial" w:eastAsia="Arial" w:hAnsi="Arial"/>
          <w:sz w:val="17"/>
          <w:szCs w:val="17"/>
          <w:color w:val="auto"/>
        </w:rPr>
        <w:t>year period as described in Section 382 of the IRC. We have not performed a detailed analysis to determine whether an ownership change occurred upon consummation of the merger between us and Sonkei or the acquisition of Mind</w:t>
      </w:r>
      <w:r>
        <w:rPr>
          <w:rFonts w:ascii="MS PGothic" w:cs="MS PGothic" w:eastAsia="MS PGothic" w:hAnsi="MS PGothic"/>
          <w:sz w:val="17"/>
          <w:szCs w:val="17"/>
          <w:color w:val="auto"/>
        </w:rPr>
        <w:t>‑</w:t>
      </w:r>
      <w:r>
        <w:rPr>
          <w:rFonts w:ascii="Arial" w:cs="Arial" w:eastAsia="Arial" w:hAnsi="Arial"/>
          <w:sz w:val="17"/>
          <w:szCs w:val="17"/>
          <w:color w:val="auto"/>
        </w:rPr>
        <w:t>NRG. However, as a result of these transactions, our initial public offering and the shares issued to JJDC and shareholders of Mind</w:t>
      </w:r>
      <w:r>
        <w:rPr>
          <w:rFonts w:ascii="MS PGothic" w:cs="MS PGothic" w:eastAsia="MS PGothic" w:hAnsi="MS PGothic"/>
          <w:sz w:val="17"/>
          <w:szCs w:val="17"/>
          <w:color w:val="auto"/>
        </w:rPr>
        <w:t>‑</w:t>
      </w:r>
      <w:r>
        <w:rPr>
          <w:rFonts w:ascii="Arial" w:cs="Arial" w:eastAsia="Arial" w:hAnsi="Arial"/>
          <w:sz w:val="17"/>
          <w:szCs w:val="17"/>
          <w:color w:val="auto"/>
        </w:rPr>
        <w:t>NRG as part of the private placements consummated concurrently with our initial public offering, it is likely that an ownership change would occur or has occurred. Such an ownership change could also be triggered by subsequent sales of securities by us or our stockholders. Such a change in ownership would limit the utilization of our net operating losses. As a result, we may not be able to take full advantage of these tax carryforwards for federal tax purposes.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years ended December 31, 2017, 2016, and 2015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8"/>
          </w:tcPr>
          <w:p>
            <w:pPr>
              <w:jc w:val="right"/>
              <w:ind w:right="85"/>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7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30,256</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20,440</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80" w:type="dxa"/>
            <w:vAlign w:val="bottom"/>
            <w:shd w:val="clear" w:color="auto" w:fill="CFF0FC"/>
          </w:tcPr>
          <w:p>
            <w:pPr>
              <w:spacing w:after="0"/>
              <w:rPr>
                <w:sz w:val="19"/>
                <w:szCs w:val="19"/>
                <w:color w:val="auto"/>
              </w:rPr>
            </w:pPr>
          </w:p>
        </w:tc>
      </w:tr>
      <w:tr>
        <w:trPr>
          <w:trHeight w:val="459"/>
        </w:trPr>
        <w:tc>
          <w:tcPr>
            <w:tcW w:w="3860" w:type="dxa"/>
            <w:vAlign w:val="bottom"/>
            <w:gridSpan w:val="2"/>
          </w:tcPr>
          <w:p>
            <w:pPr>
              <w:spacing w:after="0"/>
              <w:rPr>
                <w:sz w:val="20"/>
                <w:szCs w:val="20"/>
                <w:color w:val="auto"/>
              </w:rPr>
            </w:pPr>
            <w:r>
              <w:rPr>
                <w:rFonts w:ascii="Arial" w:cs="Arial" w:eastAsia="Arial" w:hAnsi="Arial"/>
                <w:sz w:val="18"/>
                <w:szCs w:val="18"/>
                <w:color w:val="auto"/>
              </w:rPr>
              <w:t>Foreign exchange losses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Loss before income taxes</w:t>
            </w:r>
          </w:p>
        </w:tc>
        <w:tc>
          <w:tcPr>
            <w:tcW w:w="15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(40,899)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rPr>
              <w:t>Benefit for income taxes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loss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Research and development expenses were $30.3 million for the year ended December 31, 2017 compared to $20.4 million for the same period in 2016, an increase of $9.9 million. This increase in research and development expenses primarily reflects higher development expenses under the seltrorexant program for the Phase 2 clinical trial, increased expenses for the roluperidone program, an increase in personnel costs, and an increase in non-cash stock-based compensation expenses. These amounts were partially offset by lower costs due to the completion of our Phase 2a clinical trial of MIN-117.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general and administrative expenses were $10.9 million for the year ended December 31, 2017 compared to $9.8 million for the same period in 2016, an increase of approximately $1.1 million. This increase in general and administrative expenses was primarily due to an increase in professional fees and an increase in non-cash stock-based compensation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Foreign exchange losses were $57 thousand for the year ended December 31, 2017 compared to a loss of $23 thousand for the same period in 2016, an increased loss of $34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$0.9 million for the year ended December 31, 2017 compared to $0.2 million for the same period in 2016, an increase of $0.7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investment income on cash equivalents and marketable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$0.6 million for the year ended December 31, 2017 compared to $1.0 million for the same period in 2016, a decrease of $0.4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repayment of principal in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Benefit for income taxes was $9.4 million and zero for the years ended December 31, 2017 and 2016, respectively. On December 22, 2017, the United States enacted tax reform legislation commonly known as the Tax Cuts and Jobs Act (the “Act”), resulting in significant modifications to existing law. In the year ended December 31, 2017, these tax reforms resulted in a benefit of $9.4 million related to future implications of indefinite lived deferred tax positions.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Research and development expenses were $20.4 million for the year ended December 31, 2016 compared to $18.5 million for the same period in 2015, an increase of $1.9 million. This increase in research and development expenses primarily reflects higher development expenses under the seltorexant program for Phase II clinical trial preparation, and an increase in non-cash stock-based compensation expenses. This increase was partially offset by decreased expenses due to the completion of our Phase IIb clinical trial of roluperidone.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Total general and administrative expenses were $9.8 million for the year ended December 31, 2016 compared to $7.6 million for the same period in 2015, an increase of approximately $2.2 million. This increase in general and administrative expenses was primarily due to an increase in non-cash stock-based compensation expenses, personnel costs and professional fees during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Foreign exchange losses were $23 thousand for the year ended December 31, 2016 compared to a loss of $16 thousand for the same period in 2015, an increased loss of $7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$0.2 million for the year ended December 31, 2016 compared to $0.1 million for the same period in 2015, an increase of $0.1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investment income on cash equivalents and marketable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$1.0 million for the year ended December 31, 2016 compared to $1.1 million for the same period in 2015, a decrease of $0.1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repayment of principal in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December 31, 2017, we had an accumulated deficit of approximately $164.4 million. We anticipate that we will continue to incur net losses for the foreseeable future as we continue the development and potential commercialization of our product candidates and to support our operations as a public company. At December 31, 2017, we had approximately $133.2 million in cash, cash equivalents and marketable securities (current and non-current). We believe that our existing cash, cash equivalents and marketable securities (current and non-current) will be sufficient to meet our cash commitments for at least the next 12 months after the date that the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 We have the ability to adjust our operating plan spending levels based on the timing of future clinical trials which will be predicated upon adequate funding to complete the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approximately 3.9 million shares of our stock previously owned by Johnson &amp; Johnson Innovation-JJDC Inc. at a per share price of $0.0001, for an aggregate purchase price of approximately $389.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January, February, June and December 2016 and in March 2017, certain investors in our March 2015 private placement exercised their warrants and received an aggregate of 5,673,758 shares of our common stock. We received gross proceeds of approximately $32.7 million from the exercise of these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and marketable securities (current and non-current)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Under our $10.0 million Term A Loan, we have made principal repayments of approximately $6.5 million. We expect to make additional principal repayments of approximately $3.5 million in 2018, in accordance with the terms of the agreement.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 set forth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activities</w:t>
            </w:r>
          </w:p>
        </w:tc>
        <w:tc>
          <w:tcPr>
            <w:tcW w:w="1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2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Net cash provided by operating activities of approximately $3.1 million during the year ended December 31, 2017 was primarily due to a $41.2 million increase in deferred revenue related to the Amendment, stock-based compensation expense of $5.0 million, a $0.6 million increase in accrued expense and amortization of debt discount of $0.2 million, partially offset by our net loss of $31.5 million, a decrease of $9.4 million in deferred taxes, a decrease in accrued collaborative expense of $2.5 million, and an increase in prepaid expenses of $0.3 million and amortization of investments of $0.2 million.</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used in operating activities of approximately $25.7 million during the year ended December 31, 2016 was primarily due to our net loss of $31.0 million and a decrease in accrued expenses and other current liabilities of $1.7 million, partially offset by stock-based compensation expense of $3.6 million, an increase in accrued collaborative expenses of $2.5 million, a decrease in prepaid expenses and other current assets of $0.4 million, amortization of investments and debt discount of $0.4 million and an increase in accounts payable $0.1 million.</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operating activities of approximately $24.3 million during the year ended December 31, 2015 was primarily due to our net loss of $27.1 million and an increase in prepaid expenses of $0.4 million, partially offset by stock-based compensation expense of $2.2 million, amortization of investments and debt discount of $0.6 million and an increase in accounts payable and accrued expenses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Net cash used in investing activities of approximately $107.2 million during the year ended December 31, 2017 was primarily due to the purchase of marketable securities of $134.5 million and the purchase of equipment of $0.1 million, partially offset by the maturity and redemption of marketable securities of $27.4 million.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investing activities of approximately $17.8 million during the year ended December 31, 2016 was due to the maturity and redemption of marketable securities.</w:t>
      </w:r>
    </w:p>
    <w:p>
      <w:pPr>
        <w:spacing w:after="0" w:line="1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Net cash used in investing activities of approximately $18.3 million during the year ended December 31, 2015 was primarily due to the purchase of marketable securities of $23.3 million, partially offset by the maturity and redemption of marketable securities of $5.0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Net cash provided by financing activities of $47.2 million during the year ended December 31, 2017 was primarily due to gross proceeds from the July 2017 public stock offering of $44.6 million less costs of $3.0 million, proceeds from the exercise of common stock warrants of $9.4 million, and proceeds from the exercise of common stock options of $1.1 million, partially offset by the principal repayments under the Term A loans of $4.9 million.</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financing activities of $76.6 million during the year ended December 31, 2016 was primarily due to gross proceeds from the June 2016 public stock offering of $57.5 million less costs of $3.8 million, proceeds from the exercise of common stock warrants of $23.4 million, proceeds from the sale of common stock in a private placement of $1.0 million and proceeds from the exercise of common stock options of $0.1 million, partially offset by the principal repayments under the Term A loans of $1.6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4" w:name="page65"/>
    <w:bookmarkEnd w:id="64"/>
    <w:p>
      <w:pPr>
        <w:ind w:right="140"/>
        <w:spacing w:after="0" w:line="342" w:lineRule="auto"/>
        <w:rPr>
          <w:sz w:val="20"/>
          <w:szCs w:val="20"/>
          <w:color w:val="auto"/>
        </w:rPr>
      </w:pPr>
      <w:r>
        <w:rPr>
          <w:rFonts w:ascii="Arial" w:cs="Arial" w:eastAsia="Arial" w:hAnsi="Arial"/>
          <w:sz w:val="16"/>
          <w:szCs w:val="16"/>
          <w:color w:val="auto"/>
        </w:rPr>
        <w:t>Net cash provided by financing activities of $38.3 million during the year ended December 31, 2015 was primarily due to proceeds from the January 2015 Term Loans of $10.0 million and $31.0 million of proceeds from our March 2015 private placement less costs of $0.2 million and $2.5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obligations to make future payments under our current contracts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MORE</w:t>
            </w:r>
          </w:p>
        </w:tc>
      </w:tr>
      <w:tr>
        <w:trPr>
          <w:trHeight w:val="162"/>
        </w:trPr>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THAN</w:t>
            </w:r>
          </w:p>
        </w:tc>
      </w:tr>
      <w:tr>
        <w:trPr>
          <w:trHeight w:val="162"/>
        </w:trPr>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FIVE</w:t>
            </w:r>
          </w:p>
        </w:tc>
      </w:tr>
      <w:tr>
        <w:trPr>
          <w:trHeight w:val="171"/>
        </w:trPr>
        <w:tc>
          <w:tcPr>
            <w:tcW w:w="5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 YEAR</w:t>
            </w: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YEARS</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Obligations</w:t>
            </w:r>
            <w:r>
              <w:rPr>
                <w:rFonts w:ascii="Arial" w:cs="Arial" w:eastAsia="Arial" w:hAnsi="Arial"/>
                <w:sz w:val="15"/>
                <w:szCs w:val="15"/>
                <w:color w:val="auto"/>
              </w:rPr>
              <w:t>(1)</w:t>
            </w: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Notes payable, including end of term fee</w:t>
            </w:r>
          </w:p>
        </w:tc>
        <w:tc>
          <w:tcPr>
            <w:tcW w:w="7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4.0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related to notes payable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Operating lease obligations</w:t>
            </w:r>
          </w:p>
        </w:tc>
        <w:tc>
          <w:tcPr>
            <w:tcW w:w="7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0.7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contractual cash obligations</w:t>
            </w: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200" w:hanging="514"/>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contractual obligation relating to the Co-Development and License Agreement with Janssen is no longer applicable due to the Amendment agreed upon during June 2017.</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commitment amounts in the table above are associated with agreements that are enforceable and legally binding and that specify all significant terms, including fixed or minimum services to be used, fixed, minimum or variable price provisions and the approximate timing of the actions under the agreements. The table does not include obligations under agreements that we can cancel without a significant penalty.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7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We recognize compensation expenses relating to stock-based payment transactions in operating results using a fair-value measurement method,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ASC 718 requires all stock-based payments to employees, including grants of employee stock options, to be recognized in operating results as compensation expense based on fair value over the requisite service period of the awards. We determine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is equal to the closing price of our common stock on the date of grant.</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most critical assumptions using in the Black Scholes option-pricing model are the expected life of options and the expected volatility. The expected life of options granted to employees is estimated using the “simplified” method as defined by the Securities and Exchange Commission’s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The expected life of options granted to non-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color w:val="auto"/>
        </w:rPr>
        <w:t>employees is the contractual term of the option. The expected volatility for all options is determined by examining the historical volatilities for industry peer companies, as we did not have sufficient trading history for its common stock.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Grants to non-employees are accounted for in accordance with ASC 505-50 </w:t>
      </w:r>
      <w:r>
        <w:rPr>
          <w:rFonts w:ascii="Arial" w:cs="Arial" w:eastAsia="Arial" w:hAnsi="Arial"/>
          <w:sz w:val="18"/>
          <w:szCs w:val="18"/>
          <w:i w:val="1"/>
          <w:iCs w:val="1"/>
          <w:color w:val="auto"/>
        </w:rPr>
        <w:t>Equity — Based Payments to Non-Employees</w:t>
      </w:r>
      <w:r>
        <w:rPr>
          <w:rFonts w:ascii="Arial" w:cs="Arial" w:eastAsia="Arial" w:hAnsi="Arial"/>
          <w:sz w:val="18"/>
          <w:szCs w:val="18"/>
          <w:color w:val="auto"/>
        </w:rPr>
        <w:t>. The date of expense recognition for grants to non-employees is the earlier of the date at which a commitment for performance by the counterparty to earn the equity instrument is reached or the date at which the counterparty’s performance is complete. We determine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Prior to the IPO, we utilized various valuation methodologies in accordance with the framework of the 2013 American Institute of Certified Public Accountants Technical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xml:space="preserve"> to estimate the fair value of its common stock. The methodologies included a probability-weighted expected return methodology that determined an estimated value under an IPO scenario and a sale scenario based upon an assessment of the probability of occurrence of each scenario. Each valuation methodology includes estimates and assumptions that require our judgment. These estimates include assumptions regarding future performance, including the successful completion of preclinical studies and clinical trials and the time to complete an IPO or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expected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6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In-process research and development, or IPR&amp;D, assets represent capitalized incomplete research projects that we acquired through business combinations. Such assets are initially measured at their acquisition date fair values. The fair value of the research projects is recorded as intangible assets on the balance sheet, rather than expensed, regardless of whether these assets have an alternative future use.</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then remaining useful life of the intangible asset and begin amortization. We test our indefinite-lived intangibles, IPR&amp;D assets, for impairment annually on November 30 and more frequently if events or changes in circumstances indicate that it is more likely than not that the asset is impaired. In estimating the fair value of IPR&amp;D, an income approach was used with a discounted cash flow analysis. Many assumptions and estimates are included in this analysis including revenue and expense projections, probability of success factors, expected product launch date and a weighted average cost of capital of 20.0%.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66" w:name="page67"/>
    <w:bookmarkEnd w:id="66"/>
    <w:p>
      <w:pPr>
        <w:ind w:right="20"/>
        <w:spacing w:after="0" w:line="217" w:lineRule="exact"/>
        <w:rPr>
          <w:sz w:val="20"/>
          <w:szCs w:val="20"/>
          <w:color w:val="auto"/>
        </w:rPr>
      </w:pPr>
      <w:r>
        <w:rPr>
          <w:rFonts w:ascii="Arial" w:cs="Arial" w:eastAsia="Arial" w:hAnsi="Arial"/>
          <w:sz w:val="17"/>
          <w:szCs w:val="17"/>
          <w:color w:val="auto"/>
        </w:rPr>
        <w:t>Potential triggering events that could indicate whether an impairment to the IPR&amp;D may have occurred include: clinical trial results where the compound under investigation did not meet pre</w:t>
      </w:r>
      <w:r>
        <w:rPr>
          <w:rFonts w:ascii="MS PGothic" w:cs="MS PGothic" w:eastAsia="MS PGothic" w:hAnsi="MS PGothic"/>
          <w:sz w:val="17"/>
          <w:szCs w:val="17"/>
          <w:color w:val="auto"/>
        </w:rPr>
        <w:t>‑</w:t>
      </w:r>
      <w:r>
        <w:rPr>
          <w:rFonts w:ascii="Arial" w:cs="Arial" w:eastAsia="Arial" w:hAnsi="Arial"/>
          <w:sz w:val="17"/>
          <w:szCs w:val="17"/>
          <w:color w:val="auto"/>
        </w:rPr>
        <w:t>established criteria or clinical endpoints, failure to obtain regulatory approval, the inability to fund future clinical trials, failure to obtain patent protection, adverse changes in the regulatory environment, the approval of competing therapies or compounds, adverse changes in applicable laws or regulations and a variety of other circumstances. The impairment of IPR&amp;D could have a material adverse impact on our financial condition. In order to determine whether an impairment has occurred, management must evaluate the events and incorporate multiple assumptions including: costs associated with continuing the development program, competing therapies or compounds, potential market size, estimated future cash flows and other factors.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 lived intangible asset with the asset’s carrying amount. We test our IPR&amp;D for impairment as of November 30. There was no impairment of IPR&amp;D for the years ended December 31, 2017 or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test our goodwill for impairment as of November 30. There was no impairment of goodwill for the years ended December 31, 2017 or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2017, 2016 or 2015.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w:t>
      </w:r>
      <w:r>
        <w:rPr>
          <w:rFonts w:ascii="MS PGothic" w:cs="MS PGothic" w:eastAsia="MS PGothic" w:hAnsi="MS PGothic"/>
          <w:sz w:val="16"/>
          <w:szCs w:val="16"/>
          <w:color w:val="auto"/>
        </w:rPr>
        <w:t>‑</w:t>
      </w:r>
      <w:r>
        <w:rPr>
          <w:rFonts w:ascii="Arial" w:cs="Arial" w:eastAsia="Arial" w:hAnsi="Arial"/>
          <w:sz w:val="16"/>
          <w:szCs w:val="16"/>
          <w:color w:val="auto"/>
        </w:rPr>
        <w:t>emerging growth public companies. We are in the process of evaluating the benefits of relying on other exemptions and reduced reporting requirements provided by the JOBS Act. Subject to certain conditions set forth in the JOBS Act, as an “emerging growth company,”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as amended,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earliest of (i) the last day of the fiscal year in which we have total annual gross revenues of $1 billion or more; (ii) the last day of our fiscal year following the fifth anniversary of the date of the completion of our initial public offering; (iii) the date on which we have issued more than $1 billion in nonconvertible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7" w:name="page68"/>
    <w:bookmarkEnd w:id="67"/>
    <w:p>
      <w:pPr>
        <w:ind w:right="300"/>
        <w:spacing w:after="0" w:line="277" w:lineRule="auto"/>
        <w:rPr>
          <w:sz w:val="20"/>
          <w:szCs w:val="20"/>
          <w:color w:val="auto"/>
        </w:rPr>
      </w:pPr>
      <w:r>
        <w:rPr>
          <w:rFonts w:ascii="Arial" w:cs="Arial" w:eastAsia="Arial" w:hAnsi="Arial"/>
          <w:sz w:val="18"/>
          <w:szCs w:val="18"/>
          <w:color w:val="auto"/>
        </w:rPr>
        <w:t>debt during the previous three years; or (iv) the date on which we are deemed to be a large accelerated filer under the rules of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From time to time, new accounting pronouncements are issued by FASB and are adopted by us as of the specified effective date. Unless otherwise disclosed in the notes to the financial statements appearing elsewhere in this Form 10-K, we believe that the impact of other recently issued, but not yet adopted, accounting pronouncements will not have a material impact on the financial position, results of operations or cash flows, or do not apply to our operations.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 risk is the potential loss arising from adverse changes in market rates and market prices such as interest rates, foreign currency exchange rates, and changes in the market value of equity instruments. We do not believe we are currently exposed to any material market risk because the interest rate under our Term A loan is fixed, our exposure for fluctuations in foreign exchange rates is not material and we do not hold equity instruments. As of December 31, 2017, we had $107.1 million of marketable securities (current and non-current), which consisted primarily of corporate bonds, with fixed interest rates. These securities have a weighted-average remaining maturity of 4.79 months. Due to the overall short-term remaining maturities of our marketable securities, our interest rate exposure is not significant.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94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581"/>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385"/>
        </w:trPr>
        <w:tc>
          <w:tcPr>
            <w:tcW w:w="1086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F-1</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Consolidated Balance Sheets as of December 31, 2017 and 2016</w:t>
              </w:r>
            </w:hyperlink>
          </w:p>
        </w:tc>
        <w:tc>
          <w:tcPr>
            <w:tcW w:w="6200" w:type="dxa"/>
            <w:vAlign w:val="bottom"/>
            <w:gridSpan w:val="4"/>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Operations for the Years Ended December 31, 2017, 2016 and 2015</w:t>
              </w:r>
            </w:hyperlink>
          </w:p>
        </w:tc>
        <w:tc>
          <w:tcPr>
            <w:tcW w:w="3940" w:type="dxa"/>
            <w:vAlign w:val="bottom"/>
            <w:gridSpan w:val="3"/>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83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Changes Stockholders’ Equity for the Years Ended December 31, 2017, 2016 and 2015</w:t>
              </w:r>
            </w:hyperlink>
          </w:p>
        </w:tc>
        <w:tc>
          <w:tcPr>
            <w:tcW w:w="2540" w:type="dxa"/>
            <w:vAlign w:val="bottom"/>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10860" w:type="dxa"/>
            <w:vAlign w:val="bottom"/>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December 31, 2017, 2016 and 2015</w:t>
              </w:r>
            </w:hyperlink>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17"/>
                <w:szCs w:val="17"/>
                <w:color w:val="auto"/>
              </w:rPr>
            </w:pPr>
          </w:p>
        </w:tc>
        <w:tc>
          <w:tcPr>
            <w:tcW w:w="3900" w:type="dxa"/>
            <w:vAlign w:val="bottom"/>
            <w:gridSpan w:val="2"/>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Minerva Neurosciences,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audited the accompanying consolidated balance sheets of Minerva Neurosciences, Inc. and subsidiaries (the "Company") as of December 31, 2017 and 2016, the related consolidated statements of operations, shareholders'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FF0FC"/>
          </w:tcPr>
          <w:p>
            <w:pPr>
              <w:ind w:left="3580"/>
              <w:spacing w:after="0"/>
              <w:rPr>
                <w:sz w:val="20"/>
                <w:szCs w:val="20"/>
                <w:color w:val="auto"/>
              </w:rPr>
            </w:pPr>
            <w:r>
              <w:rPr>
                <w:rFonts w:ascii="Arial" w:cs="Arial" w:eastAsia="Arial" w:hAnsi="Arial"/>
                <w:sz w:val="18"/>
                <w:szCs w:val="18"/>
                <w:b w:val="1"/>
                <w:bCs w:val="1"/>
                <w:color w:val="auto"/>
              </w:rPr>
              <w:t>Assets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assets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26,051,821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82,980,609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102,109,419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129,540,424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83,863,850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920" w:type="dxa"/>
            <w:vAlign w:val="bottom"/>
            <w:gridSpan w:val="2"/>
          </w:tcPr>
          <w:p>
            <w:pPr>
              <w:spacing w:after="0"/>
              <w:rPr>
                <w:sz w:val="20"/>
                <w:szCs w:val="20"/>
                <w:color w:val="auto"/>
              </w:rPr>
            </w:pPr>
            <w:r>
              <w:rPr>
                <w:rFonts w:ascii="Arial" w:cs="Arial" w:eastAsia="Arial" w:hAnsi="Arial"/>
                <w:sz w:val="18"/>
                <w:szCs w:val="18"/>
                <w:color w:val="auto"/>
              </w:rPr>
              <w:t>Marketable securities - noncurrent</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5,022,982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183,698,558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132,942,889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Notes payable -current portion</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3,962,664</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4,853,753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1,435,636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1,439,848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815,813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collaborative expenses - related party</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6,838,148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9,685,859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Notes payable - noncurrent</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4,057,488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13,433,760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52,101,114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26,960,681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w w:val="89"/>
              </w:rPr>
              <w:t>Preferred stock; $.0001 par value; 100,000,000 shares authorized; none issued</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or outstanding as of December 31, 2017 and 2016, respectively</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Common stock; $.0001 par value; 125,000,000 shares authorized; 38,749,343</w:t>
            </w:r>
          </w:p>
        </w:tc>
        <w:tc>
          <w:tcPr>
            <w:tcW w:w="2180" w:type="dxa"/>
            <w:vAlign w:val="bottom"/>
            <w:gridSpan w:val="2"/>
            <w:shd w:val="clear" w:color="auto" w:fill="CFF0FC"/>
          </w:tcPr>
          <w:p>
            <w:pPr>
              <w:jc w:val="right"/>
              <w:ind w:right="1810"/>
              <w:spacing w:after="0"/>
              <w:rPr>
                <w:sz w:val="20"/>
                <w:szCs w:val="20"/>
                <w:color w:val="auto"/>
              </w:rPr>
            </w:pPr>
            <w:r>
              <w:rPr>
                <w:rFonts w:ascii="Arial" w:cs="Arial" w:eastAsia="Arial" w:hAnsi="Arial"/>
                <w:sz w:val="18"/>
                <w:szCs w:val="18"/>
                <w:color w:val="auto"/>
                <w:w w:val="86"/>
              </w:rPr>
              <w:t>and</w:t>
            </w: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4"/>
              </w:rPr>
              <w:t>35,024,002 shares issued and outstanding as of December 31, 2017 and</w:t>
            </w: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2016, respectively</w:t>
            </w:r>
          </w:p>
        </w:tc>
        <w:tc>
          <w:tcPr>
            <w:tcW w:w="1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295,975,010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238,836,940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(164,381,441)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(132,858,234)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9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131,597,444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105,982,208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183,698,558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132,942,889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30,255,892</w:t>
            </w:r>
          </w:p>
        </w:tc>
        <w:tc>
          <w:tcPr>
            <w:tcW w:w="18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20,439,994</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18,533,363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10,914,269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9,750,702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1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41,170,161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30,190,696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26,109,619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(41,170,161)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(30,190,696)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(26,109,619)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(56,887)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(23,395)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 income</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941,833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198,453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(614,264)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(1,029,734)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(1,053,070)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15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(40,899,479)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(31,045,372)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(27,081,632)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Benefit for income taxes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(9,376,272)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w:t>
            </w:r>
          </w:p>
        </w:tc>
        <w:tc>
          <w:tcPr>
            <w:tcW w:w="15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(31,523,207)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(31,045,372)</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(27,081,632</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(0.83)</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5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37,937,191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31,514,154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23,412,181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0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240" w:type="dxa"/>
            <w:vAlign w:val="bottom"/>
            <w:tcBorders>
              <w:top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18,439,482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$ 126,228,981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(74,731,230)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51,499,595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Issuance of common stock and warrants pursuant to a</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private placement, net of issuance costs of $2,466,984</w:t>
            </w:r>
          </w:p>
        </w:tc>
        <w:tc>
          <w:tcPr>
            <w:tcW w:w="1020" w:type="dxa"/>
            <w:vAlign w:val="bottom"/>
          </w:tcPr>
          <w:p>
            <w:pPr>
              <w:jc w:val="right"/>
              <w:spacing w:after="0"/>
              <w:rPr>
                <w:sz w:val="20"/>
                <w:szCs w:val="20"/>
                <w:color w:val="auto"/>
              </w:rPr>
            </w:pPr>
            <w:r>
              <w:rPr>
                <w:rFonts w:ascii="Arial" w:cs="Arial" w:eastAsia="Arial" w:hAnsi="Arial"/>
                <w:sz w:val="18"/>
                <w:szCs w:val="18"/>
                <w:color w:val="auto"/>
              </w:rPr>
              <w:t>6,281,661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28,532,387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28,533,015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Issuance of warrants pursuant to loan agreement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166,344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2,202,235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2,202,235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(27,081,632)</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(27,081,632)</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December 31, 2015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24,721,143</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157,129,947</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(101,812,862</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55,319,557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Issuance of common stock in a public offering, net of</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 of $3,832,004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6,052,631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53,667,385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53,667,991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Issuance of common stock pursuant to a private placement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181,488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999,981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warrants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4,052,685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23,391,693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23,392,098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16,055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76,723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3,571,211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(31,045,372)</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(31,045,372)</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35,024,002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238,836,940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(132,858,234</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105,982,208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(3,892,256)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a public offering, net of</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 of $2,944,168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41,617,757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41,618,332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020" w:type="dxa"/>
            <w:vAlign w:val="bottom"/>
          </w:tcPr>
          <w:p>
            <w:pPr>
              <w:jc w:val="right"/>
              <w:spacing w:after="0"/>
              <w:rPr>
                <w:sz w:val="20"/>
                <w:szCs w:val="20"/>
                <w:color w:val="auto"/>
              </w:rPr>
            </w:pPr>
            <w:r>
              <w:rPr>
                <w:rFonts w:ascii="Arial" w:cs="Arial" w:eastAsia="Arial" w:hAnsi="Arial"/>
                <w:sz w:val="18"/>
                <w:szCs w:val="18"/>
                <w:color w:val="auto"/>
              </w:rPr>
              <w:t>1,621,073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9,356,671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1,130,524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48,650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5,033,123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(31,523,207)</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(31,523,207)</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295,975,010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(164,381,441)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131,597,444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46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(31,523,207)</w:t>
            </w:r>
          </w:p>
        </w:tc>
        <w:tc>
          <w:tcPr>
            <w:tcW w:w="46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(31,045,372)</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(27,081,632)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Depreciation and amortization</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11,094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16,530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17,276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debt discount recorded as interest expense</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206,562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347,771</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377,455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(Accretion) amortization of marketable securities premium</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(185,488)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102,632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247,262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Stock-based compensation expense</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5,033,123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3,571,211</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2,202,235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Deferred taxes</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(9,376,272)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Changes in operating assets and liabilities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Prepaid expenses and other current assets</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(306,996)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372,655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(400,037)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Accounts payable</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(32,705)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107,772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718,756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Accrued expenses and other current liabilities</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624,035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(1,708,825)</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879,380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Accrued collaborative expenses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(2,547,952)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2,547,952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(1,222,420)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Deferred revenue</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41,175,600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Other noncurrent assets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(14,808)</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ind w:left="240"/>
              <w:spacing w:after="0"/>
              <w:rPr>
                <w:sz w:val="20"/>
                <w:szCs w:val="20"/>
                <w:color w:val="auto"/>
              </w:rPr>
            </w:pPr>
            <w:r>
              <w:rPr>
                <w:rFonts w:ascii="Arial" w:cs="Arial" w:eastAsia="Arial" w:hAnsi="Arial"/>
                <w:sz w:val="15"/>
                <w:szCs w:val="15"/>
                <w:color w:val="auto"/>
              </w:rPr>
              <w:t>Other noncurrent liabilities</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29,878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(7,694)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shd w:val="clear" w:color="auto" w:fill="CFF0FC"/>
          </w:tcPr>
          <w:p>
            <w:pPr>
              <w:ind w:left="480"/>
              <w:spacing w:after="0"/>
              <w:rPr>
                <w:sz w:val="20"/>
                <w:szCs w:val="20"/>
                <w:color w:val="auto"/>
              </w:rPr>
            </w:pPr>
            <w:r>
              <w:rPr>
                <w:rFonts w:ascii="Arial" w:cs="Arial" w:eastAsia="Arial" w:hAnsi="Arial"/>
                <w:sz w:val="15"/>
                <w:szCs w:val="15"/>
                <w:color w:val="auto"/>
              </w:rPr>
              <w:t>Net cash provided by (used in) operating activities</w:t>
            </w: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vMerge w:val="continue"/>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3,092,864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(25,687,674)</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(24,269,419)</w:t>
            </w:r>
          </w:p>
        </w:tc>
        <w:tc>
          <w:tcPr>
            <w:tcW w:w="0" w:type="dxa"/>
            <w:vAlign w:val="bottom"/>
          </w:tcPr>
          <w:p>
            <w:pPr>
              <w:spacing w:after="0"/>
              <w:rPr>
                <w:sz w:val="1"/>
                <w:szCs w:val="1"/>
                <w:color w:val="auto"/>
              </w:rPr>
            </w:pPr>
          </w:p>
        </w:tc>
      </w:tr>
      <w:tr>
        <w:trPr>
          <w:trHeight w:val="345"/>
        </w:trPr>
        <w:tc>
          <w:tcPr>
            <w:tcW w:w="560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Purchases of marketable securities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(134,525,859)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(23,279,285)</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Proceeds from the maturity and redemption of marketable securities</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27,390,000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17,818,000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4,994,683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(44,986)</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Purchases of equipment</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(52,400)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shd w:val="clear" w:color="auto" w:fill="CFF0FC"/>
          </w:tcPr>
          <w:p>
            <w:pPr>
              <w:ind w:left="480"/>
              <w:spacing w:after="0"/>
              <w:rPr>
                <w:sz w:val="20"/>
                <w:szCs w:val="20"/>
                <w:color w:val="auto"/>
              </w:rPr>
            </w:pPr>
            <w:r>
              <w:rPr>
                <w:rFonts w:ascii="Arial" w:cs="Arial" w:eastAsia="Arial" w:hAnsi="Arial"/>
                <w:sz w:val="15"/>
                <w:szCs w:val="15"/>
                <w:color w:val="auto"/>
              </w:rPr>
              <w:t>Net cash (used in) provided by investing activities</w:t>
            </w: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vMerge w:val="continue"/>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(107,188,259)</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17,818,000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(18,329,588)</w:t>
            </w:r>
          </w:p>
        </w:tc>
        <w:tc>
          <w:tcPr>
            <w:tcW w:w="0" w:type="dxa"/>
            <w:vAlign w:val="bottom"/>
          </w:tcPr>
          <w:p>
            <w:pPr>
              <w:spacing w:after="0"/>
              <w:rPr>
                <w:sz w:val="1"/>
                <w:szCs w:val="1"/>
                <w:color w:val="auto"/>
              </w:rPr>
            </w:pPr>
          </w:p>
        </w:tc>
      </w:tr>
      <w:tr>
        <w:trPr>
          <w:trHeight w:val="345"/>
        </w:trPr>
        <w:tc>
          <w:tcPr>
            <w:tcW w:w="560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 of common stock in public offering</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44,562,500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57,499,995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Costs paid in connection with public offering</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(2,944,168)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(3,832,004)</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Repurchase of common stock</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(389)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Proceeds from sales of common stock in private placement</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999,999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30,999,999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Costs paid in connection with private placements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(2,466,984)</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Proceeds from exercise of common stock warrants</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9,356,833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23,392,098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exercise of stock options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1,130,544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76,724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Proceeds from notes payable</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10,000,000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Costs paid in connection with notes payable</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(195,656)</w:t>
            </w: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Repayments of notes payable</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(4,938,713)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(1,570,583)</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Borders>
              <w:top w:val="single" w:sz="8" w:color="CFF0FC"/>
            </w:tcBorders>
            <w:shd w:val="clear" w:color="auto" w:fill="CFF0FC"/>
          </w:tcPr>
          <w:p>
            <w:pPr>
              <w:ind w:left="48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1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47,166,607</w:t>
            </w: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76,566,229</w:t>
            </w:r>
          </w:p>
        </w:tc>
        <w:tc>
          <w:tcPr>
            <w:tcW w:w="2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38,337,359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tcPr>
          <w:p>
            <w:pPr>
              <w:ind w:left="480"/>
              <w:spacing w:after="0"/>
              <w:rPr>
                <w:sz w:val="20"/>
                <w:szCs w:val="20"/>
                <w:color w:val="auto"/>
              </w:rPr>
            </w:pPr>
            <w:r>
              <w:rPr>
                <w:rFonts w:ascii="Arial" w:cs="Arial" w:eastAsia="Arial" w:hAnsi="Arial"/>
                <w:sz w:val="15"/>
                <w:szCs w:val="15"/>
                <w:color w:val="auto"/>
              </w:rPr>
              <w:t>Net (decrease) increase in cash and cash equivalents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(56,928,788)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68,696,555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(4,261,648)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and cash equivalents</w:t>
            </w: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5"/>
                <w:szCs w:val="15"/>
                <w:color w:val="auto"/>
              </w:rPr>
              <w:t>Beginning of year</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82,980,609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14,284,054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18,545,702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End of year</w:t>
            </w:r>
          </w:p>
        </w:tc>
        <w:tc>
          <w:tcPr>
            <w:tcW w:w="116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26,051,821</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82,980,609</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14,284,054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Supplemental disclosure</w:t>
            </w:r>
          </w:p>
        </w:tc>
        <w:tc>
          <w:tcPr>
            <w:tcW w:w="1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tcPr>
          <w:p>
            <w:pPr>
              <w:ind w:left="120"/>
              <w:spacing w:after="0"/>
              <w:rPr>
                <w:sz w:val="20"/>
                <w:szCs w:val="20"/>
                <w:color w:val="auto"/>
              </w:rPr>
            </w:pPr>
            <w:r>
              <w:rPr>
                <w:rFonts w:ascii="Arial" w:cs="Arial" w:eastAsia="Arial" w:hAnsi="Arial"/>
                <w:sz w:val="15"/>
                <w:szCs w:val="15"/>
                <w:color w:val="auto"/>
              </w:rPr>
              <w:t>Cash paid for interest</w:t>
            </w:r>
          </w:p>
        </w:tc>
        <w:tc>
          <w:tcPr>
            <w:tcW w:w="146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436,717</w:t>
            </w:r>
          </w:p>
        </w:tc>
        <w:tc>
          <w:tcPr>
            <w:tcW w:w="100" w:type="dxa"/>
            <w:vAlign w:val="bottom"/>
          </w:tcPr>
          <w:p>
            <w:pPr>
              <w:spacing w:after="0"/>
              <w:rPr>
                <w:sz w:val="21"/>
                <w:szCs w:val="21"/>
                <w:color w:val="auto"/>
              </w:rPr>
            </w:pPr>
          </w:p>
        </w:tc>
        <w:tc>
          <w:tcPr>
            <w:tcW w:w="46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691,227</w:t>
            </w:r>
          </w:p>
        </w:tc>
        <w:tc>
          <w:tcPr>
            <w:tcW w:w="26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616,875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 2016 and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or CNS,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2017, the Company has an accumulated deficit of approximately $164.4 million and net cash provided by operating activities was approximately $3.1 million during the year ended December 31, 2017. Management expects to continue to incur operating losses and negative cash flows from operations. The Company has financed its operations to date from proceeds from the sale of common stock, warrants, loans and convertible promissory notes.</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December 31, 2017, the Company had cash, cash equivalents and marketable securities (current and non-current) of $133.2 million. During the year ended December 31, 2017, the Company received approximately $41.6 million in net proceeds from a July 2017 public offering of common stock (see Note 7), proceeds from the exercise of common stock warrants of $9.4 million (see Note 7) and $30 million in an upfront payment in connection with the Company’s amended Co-Development and License Agreement with Janssen for seltorexant (see Note 6).</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believes that its existing cash, cash equivalents and marketable securities (current and non-current) will be sufficient to meet its cash commitments for at least the next 12 months after the date that the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and the level of financial resources available. The Company has the ability to adjust its operating plan spending levels based on the timing of future clinical trials which will be predicated upon adequate funding to complete the trials.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$80,000 at December 31, 2017 and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97" w:right="25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Marketable securities consists of corporate debt securities maturing in sixteen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December 31, 2017, remaining final maturities of marketable securities ranged from January 2018 to February 2019, with a weighted average remaining maturity of approximately 4.79 months. The following table provides the amortized cost basis, aggregate fair value, net unrealized (gains)/losses and the net carrying value of investments in held-to-maturity securities as of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1060" w:type="dxa"/>
            <w:vAlign w:val="bottom"/>
          </w:tcPr>
          <w:p>
            <w:pPr>
              <w:jc w:val="right"/>
              <w:ind w:right="233"/>
              <w:spacing w:after="0" w:line="147"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4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4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w:t>
            </w:r>
          </w:p>
        </w:tc>
        <w:tc>
          <w:tcPr>
            <w:tcW w:w="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Corporate bonds/notes</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43,528,246</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43,438,463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89,783</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43,528,246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43,385,762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43,385,762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43,385,762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15,195,411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15,178,278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15,195,411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102,109,419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102,002,503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102,109,419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non-current:</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Corporate bonds/notes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5,022,982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4,998,870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5,022,982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non-current total</w:t>
            </w:r>
          </w:p>
        </w:tc>
        <w:tc>
          <w:tcPr>
            <w:tcW w:w="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5,022,982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4,998,870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5,022,982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107,132,401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107,001,373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107,132,401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expected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7" w:name="page78"/>
    <w:bookmarkEnd w:id="77"/>
    <w:p>
      <w:pPr>
        <w:ind w:right="80"/>
        <w:spacing w:after="0" w:line="277" w:lineRule="auto"/>
        <w:rPr>
          <w:sz w:val="20"/>
          <w:szCs w:val="20"/>
          <w:color w:val="auto"/>
        </w:rPr>
      </w:pPr>
      <w:r>
        <w:rPr>
          <w:rFonts w:ascii="Arial" w:cs="Arial" w:eastAsia="Arial" w:hAnsi="Arial"/>
          <w:sz w:val="18"/>
          <w:szCs w:val="18"/>
          <w:color w:val="auto"/>
        </w:rPr>
        <w:t>quantitative impairment test that compares the fair value of the indefinite-lived intangible asset with the asset’s carrying amount. There was no impairment of IPR&amp;D for the years ended December 31, 2017 or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2017, 2016 or 2015.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22, 2017, the United States enacted tax reform legislation commonly known as the Tax Cuts and Jobs Act (the “Act”), resulting in significant modifications to existing law. The Company has completed the accounting for the effects of the Act during 2017. The Company’s financial statements for the year ended December 31, 2017, reflect the effects of the Act which includes a reduction in the corporate tax rate from 34% to 21%. Accordingly, the Company’s deferred tax assets and liabilities were revalued at the newly enacted rates expected to be effective in 2018 and forward; the reduction in federal rate from 34% to 21% resulted in no impact to total income tax expense. In addition to the federal rate change impact, the Company accounted for the impact of legislation on the timing of deferred tax positions and overall financial statement presentation, resulting in a total income tax benefit of $9.4 million related to future implications of indefinite lived deferred tax positions.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cash equivalents and marketable securities (current and non-current).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2017 and 2016.</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There was no impairment of goodwill for the years ended December 31, 2017 or 2016.</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9" w:name="page80"/>
    <w:bookmarkEnd w:id="79"/>
    <w:p>
      <w:pPr>
        <w:ind w:right="80"/>
        <w:spacing w:after="0" w:line="264" w:lineRule="auto"/>
        <w:rPr>
          <w:sz w:val="20"/>
          <w:szCs w:val="20"/>
          <w:color w:val="auto"/>
        </w:rPr>
      </w:pPr>
      <w:r>
        <w:rPr>
          <w:rFonts w:ascii="Arial" w:cs="Arial" w:eastAsia="Arial" w:hAnsi="Arial"/>
          <w:sz w:val="18"/>
          <w:szCs w:val="18"/>
          <w:color w:val="auto"/>
        </w:rPr>
        <w:t>The following tables present information about the Company’s cash equivalents and marketable securities (current and non-current) as of December 31, 2017 and 2016, measured at fair value on a recurring basis and indicates the fair value hierarchy of the valuation techniques the Company utilized to determine such fair value: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6"/>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3"/>
                <w:szCs w:val="13"/>
                <w:color w:val="auto"/>
              </w:rPr>
            </w:pPr>
          </w:p>
        </w:tc>
        <w:tc>
          <w:tcPr>
            <w:tcW w:w="13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2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22,782,626</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22,782,626</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107,132,401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107,132,401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129,915,027</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22,782,626</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107,132,401</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392"/>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6"/>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3"/>
                <w:szCs w:val="13"/>
                <w:color w:val="auto"/>
              </w:rPr>
            </w:pPr>
          </w:p>
        </w:tc>
        <w:tc>
          <w:tcPr>
            <w:tcW w:w="13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2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15,260,809</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15,260,809</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Marketable securities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198"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carrying amounts of cash, restricted cash, accounts payable, and accrued liabilities approximate fair value because of their short-term nature.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Collaboration Arrangements</w:t>
      </w:r>
      <w:r>
        <w:rPr>
          <w:rFonts w:ascii="Arial" w:cs="Arial" w:eastAsia="Arial" w:hAnsi="Arial"/>
          <w:sz w:val="16"/>
          <w:szCs w:val="16"/>
          <w:color w:val="auto"/>
        </w:rPr>
        <w:t>, the Company recognizes revenue as the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applies the revenue recognition guidance in accordance with Financial Accounting Standards Board (FASB) Accounting Standards Codification (ASC) 605, Revenue Recognition. Using FASB ASC 605, Revenue that is unearned is deferred. Deferred revenue expected to be recognized as revenue more than one year subsequent to the balance sheet date is classified as long-term deferred revenue.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0" w:name="page81"/>
    <w:bookmarkEnd w:id="80"/>
    <w:p>
      <w:pPr>
        <w:ind w:right="380"/>
        <w:spacing w:after="0" w:line="277" w:lineRule="auto"/>
        <w:rPr>
          <w:sz w:val="20"/>
          <w:szCs w:val="20"/>
          <w:color w:val="auto"/>
        </w:rPr>
      </w:pPr>
      <w:r>
        <w:rPr>
          <w:rFonts w:ascii="Arial" w:cs="Arial" w:eastAsia="Arial" w:hAnsi="Arial"/>
          <w:sz w:val="18"/>
          <w:szCs w:val="18"/>
          <w:color w:val="auto"/>
        </w:rPr>
        <w:t>operating results to make decisions about allocating resources and assessing performance for the entire Company. The Company views its operations and manages its business as one operating segment.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the Company as of the specified effective date.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In March 2016, the FASB issued Accounting Standards Update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new standard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 income tax expense or benefit in the statement of operations. This change eliminates the notion of the additional paid-in capital pool and reduces the complexity in accounting for excess tax benefits and tax deficiencies. The new standard is effective for public companies for annual reporting periods beginning after December 15, 2016, including interim periods within those annual reporting periods; however, early adoption is allowed. The Company adopted the new standard on January 1, 2017. The adoption of this standard did not have a material impact on the Company’s consolidated financial statements.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Subsequently, the FASB also issued ASU 2015-14,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 which adjusted the effective date of ASU 2014-09; ASU No. 2016-08,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Principal versus Agent Considerations (Reporting Revenue Gross versus Net) </w:t>
      </w:r>
      <w:r>
        <w:rPr>
          <w:rFonts w:ascii="Arial" w:cs="Arial" w:eastAsia="Arial" w:hAnsi="Arial"/>
          <w:sz w:val="18"/>
          <w:szCs w:val="18"/>
          <w:color w:val="auto"/>
        </w:rPr>
        <w:t xml:space="preserve">, which amends the principal-versus-agent implementation guidance and illustrations in ASU 2014-09; ASU No. 2016-10,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Identifying Performance Obligations and Licensing </w:t>
      </w:r>
      <w:r>
        <w:rPr>
          <w:rFonts w:ascii="Arial" w:cs="Arial" w:eastAsia="Arial" w:hAnsi="Arial"/>
          <w:sz w:val="18"/>
          <w:szCs w:val="18"/>
          <w:color w:val="auto"/>
        </w:rPr>
        <w:t>, which clarifies identifying performance obligation and licensing implementation guidance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illustrations in ASU 2014-09; and ASU No.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Expedients </w:t>
      </w:r>
      <w:r>
        <w:rPr>
          <w:rFonts w:ascii="Arial" w:cs="Arial" w:eastAsia="Arial" w:hAnsi="Arial"/>
          <w:sz w:val="18"/>
          <w:szCs w:val="18"/>
          <w:color w:val="auto"/>
        </w:rPr>
        <w:t>, which addresses implementation issues and is intended to reduce the cost and complexity of applying the new revenue standard in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“Revenue ASUs”).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collaboration agreements and assessed the differences in accounting for such contracts under this guidance compared with current revenue accounting standards. Based on its review of the collaboration agreements, adoption of the new standard is not expected to have a material impact on the Company’s consolidated financial statements. The Company will adopt the new standard on January 1, 2018 using the modified retrospective method.</w:t>
      </w:r>
    </w:p>
    <w:p>
      <w:pPr>
        <w:spacing w:after="0" w:line="16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Although the Company is currently assessing the impact of adoption of ASU 2016-02 on its consolidated financial statements, the Company currently believes the most significant changes will be related to the recognition of new right-of-use assets and lease liabilities on the Company’s balance sheet for operating leases.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for the Company's current lease commitments.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1" w:name="page82"/>
    <w:bookmarkEnd w:id="81"/>
    <w:p>
      <w:pPr>
        <w:ind w:right="8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 (Topic 230).</w:t>
      </w:r>
      <w:r>
        <w:rPr>
          <w:rFonts w:ascii="Arial" w:cs="Arial" w:eastAsia="Arial" w:hAnsi="Arial"/>
          <w:sz w:val="18"/>
          <w:szCs w:val="18"/>
          <w:color w:val="auto"/>
        </w:rPr>
        <w:t xml:space="preserve"> The new standard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2017, the FASB issued ASU No 2017-4,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March 2017, the FASB issued ASU No 2017-8,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The new standard is intended to enhance the accounting for the amortization of premiums for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 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r>
      <w:tr>
        <w:trPr>
          <w:trHeight w:val="20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w:t>
            </w: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1,162,441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574,290</w:t>
            </w:r>
          </w:p>
        </w:tc>
        <w:tc>
          <w:tcPr>
            <w:tcW w:w="60" w:type="dxa"/>
            <w:vAlign w:val="bottom"/>
            <w:shd w:val="clear" w:color="auto" w:fill="CFF0FC"/>
          </w:tcPr>
          <w:p>
            <w:pPr>
              <w:spacing w:after="0"/>
              <w:rPr>
                <w:sz w:val="20"/>
                <w:szCs w:val="20"/>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192,000</w:t>
            </w:r>
          </w:p>
        </w:tc>
        <w:tc>
          <w:tcPr>
            <w:tcW w:w="6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49,523</w:t>
            </w:r>
          </w:p>
        </w:tc>
        <w:tc>
          <w:tcPr>
            <w:tcW w:w="6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Accrued bonus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1,439,848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815,813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8"/>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(31,523,207)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(31,045,372)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(27,081,632)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37,937,191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31,514,154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23,412,181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securities outstanding at December 31, 2017, 2016 and 2015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6,132,650</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3,974,143</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3,388,698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185,950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219,600</w:t>
            </w: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2,269,766</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6,322,451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837"/>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F-13</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drew down the initial term loans in the aggregate principal amount of $10 million (the “Term A Loans”), on January 16, 2015. The Term A Loans bear interest at a fixed rate of 7.05% per annum.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August 2015, the Lenders and the Company entered into a First Amendment to the Loan Agreement, amending certain milestones related to the six month extension of the interest-only repayment period. By raising at least $30.0 million in gross capital (including at least $20.0 million from the sale of equity securities) and completing the first dosing of its Phase I/II clinical trial for MIN-117 prior to December 31, 2015, the Company achieved the interest-only milestones under the Loan Agreement and elected to extend the interest-only period an additional six months and reduce the repayment term by six months. Through August 1, 2016, the Company was obligated only to make monthly interest payments on the outstanding principal balance on the Term A Loans, followed by 24 months of equal principal and interest payments.</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or prior to March 31, 2016, the Company was permitted to borrow additional term loans in the aggregate principal amount up to $5 million, subject to the satisfaction of certain borrowing conditions, including the Company’s achievement of primary endpoints on its Phase IIa trials for MIN-117 and seltorexant programs. In June 2016, the Company irrevocably elected not to borrow the additional $5 million available under the Term Loans.</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paid a facility fee of $75,000 for access to the Term Loans and will be required to pay a final payment of 5.1% of the total amount borrowed, which has been included as a component of the debt discount and is amortized to interest expense over the term of the loans. The outstanding Term A Loans and debt discount are as follows:</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2017</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A Loans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3,490,704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Less: debt discount and financing costs</w:t>
            </w: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(15,550)</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(3,962,664)</w:t>
            </w: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portion of final payment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487,510</w:t>
            </w:r>
          </w:p>
        </w:tc>
        <w:tc>
          <w:tcPr>
            <w:tcW w:w="8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 ended December 31, 2017, and 2016, the Company recognized interest expense of $0.6 million and $1.0 million, respectively, including $0.2 million and $0.3 million, respectively, related to the debt discount.</w:t>
      </w:r>
    </w:p>
    <w:p>
      <w:pPr>
        <w:spacing w:after="0" w:line="170"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Term Loans mature on August 1, 2018. The Company may prepay all, but not less than all, of the loaned amount upon 30 days’ advance notice to the Lenders, provided that the Company will be obligated to pay a prepayment fee equal to (i) 3% of the outstanding balance, if the loan is prepaid within</w:t>
      </w:r>
    </w:p>
    <w:p>
      <w:pPr>
        <w:ind w:right="400"/>
        <w:spacing w:after="0" w:line="255" w:lineRule="auto"/>
        <w:rPr>
          <w:sz w:val="20"/>
          <w:szCs w:val="20"/>
          <w:color w:val="auto"/>
        </w:rPr>
      </w:pPr>
      <w:r>
        <w:rPr>
          <w:rFonts w:ascii="Arial" w:cs="Arial" w:eastAsia="Arial" w:hAnsi="Arial"/>
          <w:sz w:val="18"/>
          <w:szCs w:val="18"/>
          <w:color w:val="auto"/>
        </w:rPr>
        <w:t>24 months of the funding date, (ii) 2% of the outstanding balance, if the loan is prepaid between 24 and 36 months of the funding date and (iii) 1% of the outstanding balance, if the loan is prepaid thereafter (each, a “Prepayment Fee”). The expected remaining repayment of the $10.0 million Term A loan principal is $3,490,704 during 2018.</w:t>
      </w:r>
    </w:p>
    <w:p>
      <w:pPr>
        <w:spacing w:after="0" w:line="2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obligations under the Loan Agreement are secured by a first priority security interest in substantially all of its assets, other than its intellectual property. The Company has also agreed not to pledge or otherwise encumber its intellectual property assets, except that it may grant certain exclusive and non-exclusive licenses of its intellectual property as set forth in the Loan Agreement. In addition, the Company pledged all of its equity interests in Minerva Neurosciences Securities Corporation and 65% of its equity interests in Mind-NRG Sarl as security for its obligations under the Loan Agreement.</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Upon the occurrence of certain events, including but not limited to the Company’s failure to satisfy its payment obligations under the Loan Agreement, the breach of certain of its other covenants under the Loan Agreement, or the occurrence of a material adverse change, the Lenders will have the right, among other remedies, to declare all principal and interest immediately due and payable, and will have the right to receive the final payment fee and, if the payment of principal and interest is due prior to maturity, the applicable Prepayment Fee. As of December 31, 2017, the Company was in compliance with all covenants set forth in the Loan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the payment of a $22.0 million license fee.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related to seltorexant to sell seltorexant outside the Minerva Territory. In consideration of the licenses granted on July 7, 2014, the Company made a license fee payment of $22.0 million, which was included as a component of research and development expense in 2014.</w:t>
      </w:r>
    </w:p>
    <w:p>
      <w:pPr>
        <w:spacing w:after="0" w:line="1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original agreement contains certain provisions, which include the Company’s ability to opt-out of the agreement upon completion of certain milestones. If the Company elects to participate in the development program through to the potential commercial approval of seltorexant, the Company will pay a quarterly royalty percentage to the licensor in the high single digits on aggregate net sales for seltorexant products sold by the Company, its affiliates and sublicensees in the Minerva Territory. The licensor will pay a quarterly royalty percentage to the Company in the high single digits on aggregate net sales for seltorexant products sold by the licensor outside the Minerva Territory. In accordance with the development agreement, the Company will pay 40% of seltorexant development costs related to the joint development of any seltorexant products.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share of aggregate development costs shall not exceed (i) $5.0 million for the period beginning from the effective date of the license and ending following the completion of certain Phase 1b clinical trials and animal toxicology studies, and (ii) $24.0 million for the period beginning from the effective date of the license and ending following the completion of certain Phase 2 clinical trials. Janssen has a right to opt out at the end of certain development milestones, after which, Janssen will not have to fund further development of seltorexant and the Minerva Territory will be expanded to also include all of North America. The Company would then owe Janssen a reduced royalty in the mid-single digits for all sales in the Minerva Territory. Janssen may also terminate the agreement for the Company’s material breach or certain insolvency events, including if the Company is unable to fund its portion of the development costs.</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accounts for the co-development and license agreement as a joint risk-sharing collaboration in accordance with ASC 808, Collaboration Arrangements.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 The Company has included zero and $2.5 million in accrued collaborative expenses, as of December 31, 2017 and December 31, 2016, respectively, related to this agreement. In the 12 months ended December 31, 2017 and 2016, the Company paid $2.5 million and zero, respectively, related to development activities under this agreement.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co-development agreement. As neither party has exercised their right to withdraw from the agreement, the Company has paid Janssen $3.5 million and have incurred direct expenses of $0.3 million related to development activities under the current phase of development. During the 12 months ended December 30, 2017 and 2016, the Company recorded an expense of $11.2 million and $3.5 million, respectively, for certain development activities in accordance with the terms of the co-development agreement. The company has included zero and $2.5 million in accrued collaborative expenses as of December 31, 2017 and December 31, 2016, respectively, related to this agreement.</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2017, the Company entered into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 Under the amended agreement, Janssen has waived its right to royalties on seltorexant insomnia sales in the European Union, Switzerland, Liechtenstein, Iceland and Norway (the “Minerva Territory”). The Company retains all of its rights to seltorexant, including commercialization of the molecule for the treatment of insomnia and as an as adjunctive therapy for MDD, which include an exclusive license in the Minerva Territory, with royalties payable by the Company to Janssen on seltorexant MDD sales.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84" w:name="page85"/>
    <w:bookmarkEnd w:id="84"/>
    <w:p>
      <w:pPr>
        <w:jc w:val="both"/>
        <w:ind w:right="140"/>
        <w:spacing w:after="0" w:line="264" w:lineRule="auto"/>
        <w:rPr>
          <w:sz w:val="20"/>
          <w:szCs w:val="20"/>
          <w:color w:val="auto"/>
        </w:rPr>
      </w:pPr>
      <w:r>
        <w:rPr>
          <w:rFonts w:ascii="Arial" w:cs="Arial" w:eastAsia="Arial" w:hAnsi="Arial"/>
          <w:sz w:val="18"/>
          <w:szCs w:val="18"/>
          <w:color w:val="auto"/>
        </w:rPr>
        <w:t>included under Deferred Revenue on the Company’s balance sheet at December 31, 2017.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the Amendment, the Company assumed strategic control for the clinical development of seltorexant in insomnia under the Phase 2 development program, but has no further financial obligations until the Phase 2b development milestone is complete, which is expected to occur in the second half of 2019. Upon completion of this development milestone, referred to as “Decision Point 4”, Minerva has the right to opt-out of the agreement and collect a royalty on worldwide sales of seltorexant in the single digits with no further obligations to Janssen. If the Company elects to continue past “Decision Point 4” into Phase 3, the Company would be obligated to fund the clinical trials related to insomnia, and receive $40 million in milestone payments from Janssen, and would also be responsible for 40% of all costs incurred in the Phase 3 MDD program.</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solely dependent on future developments and therefore are considered non-substantive and will recognize such revenue in the periods in which the milestones are achieved. Similarly, the Company will recognize royalty revenues in the periods of the sale of the related products, provided that the reported sales are reliably measurable, collectability is reasonably assured and the Company has no further performance obligations.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$3.0 million in underwriting discounts and commissions and transaction costs, which will be included as a component of additional paid-in capital, resulting in net proceeds of approximately $41.6 million.</w:t>
      </w:r>
    </w:p>
    <w:p>
      <w:pPr>
        <w:spacing w:after="0" w:line="17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On June 17, 2016, the Company closed a public offering of common stock, in which the Company issued and sold 6,052,631 shares of common stock at a public offering price of $9.50, for aggregate gross proceeds to the Company of $57.5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$3.8 million in underwriting discounts and commissions and transaction costs, which have been included as a component of additional paid-in capital, resulting in net proceeds of $53.7 million.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Janssen amendment (see Note 6), the Company repurchased all of the approximately 3.9 million shares of its common stock previously owned by Johnson &amp; Johnson Innovation-JJDC Inc. at a per share price of $0.0001, for an aggregate purchase price of approximately $389.</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February, June, December 2016, and March 2017, certain investors in the Company’s March 2015 private placement exercised their warrants at an exercise price of $5.772 per share and received an aggregate of 5,673,758 shares of the Company’s common stock. The Company received gross proceeds of approximately $32.7 million from the exercise of these warrants.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17, 2016, the Company entered into a common stock purchase agreement with a member of the Board of Directors, pursuant to which the Company, in a private placement, sold to the director an aggregate of 181,488 shares of the Company’s common stock, at a price per share of $5.51, for gross proceeds of approximately $1.0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5" w:name="page86"/>
    <w:bookmarkEnd w:id="85"/>
    <w:p>
      <w:pPr>
        <w:ind w:right="40"/>
        <w:spacing w:after="0" w:line="293" w:lineRule="auto"/>
        <w:rPr>
          <w:sz w:val="20"/>
          <w:szCs w:val="20"/>
          <w:color w:val="auto"/>
        </w:rPr>
      </w:pPr>
      <w:r>
        <w:rPr>
          <w:rFonts w:ascii="Arial" w:cs="Arial" w:eastAsia="Arial" w:hAnsi="Arial"/>
          <w:sz w:val="16"/>
          <w:szCs w:val="16"/>
          <w:color w:val="auto"/>
        </w:rPr>
        <w:t>On March 18, 2015, pursuant to a securities purchase agreement with certain accredited investors dated March 13, 2015, the Company sold in a private placement 6,281,661 shares of the Company’s common stock at a price per share of $4.81 and warrants to purchase up to an aggregate of 6,281,661 shares of common stock at a purchase price of $0.125 per warrant share, with an initial exercise price of $5.772 per share, resulting in gross proceeds of approximately $31.0 million. The Company incurred $2.5 million for placement agent fees and transaction costs which have been included as a component of additional paid-in capital, resulting in net proceeds of $28.5 million. The warrants expired on March 18, 2017, two years after the date on which they were initially issued. As of December 31, 2017, there were no remaining warrants outstanding under the Company’s March 2015 private placement.</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private placement, the Company also entered into a registration rights agreement (the “Registration Rights Agreement”), dated March 13, 2015 with certain accredited investors. Pursuant to the terms of the Registration Rights Agreement, the Company was obligated to prepare and file with the SEC a registration statement to register for resale the 6,281,661 shares of its common stock issued in the private placement and the 6,281,661 shares of its common stock issuable upon exercise of the warrants on or prior to May 2, 2015. The Company filed a resale registration statement on Form S-1 (File No. 333-203737), which was declared effective by the SEC on May 11, 2015. The Company filed a post-effective amendment to the Form S-1 to convert the filing to a Form S-3 on July 2, 2015. If registration statements are not maintained effective, the Company could be subject to penalties of up to 10.0% of proceeds received in the private placement.</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w:t>
      </w:r>
    </w:p>
    <w:p>
      <w:pPr>
        <w:ind w:right="40"/>
        <w:spacing w:after="0" w:line="290" w:lineRule="auto"/>
        <w:rPr>
          <w:sz w:val="20"/>
          <w:szCs w:val="20"/>
          <w:color w:val="auto"/>
        </w:rPr>
      </w:pPr>
      <w:r>
        <w:rPr>
          <w:rFonts w:ascii="Arial" w:cs="Arial" w:eastAsia="Arial" w:hAnsi="Arial"/>
          <w:sz w:val="16"/>
          <w:szCs w:val="16"/>
          <w:color w:val="auto"/>
        </w:rPr>
        <w:t>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December 31, 2017.</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2013, the Company adopted the 2013 Equity Incentive Plan (as subsequently amended and restated, the “Plan”), which provides for the issuance of options, stock appreciation rights, stock awards and stock units. On January 1, 2017, in accordance with the terms of the Plan, the total shares authorized for issuance under the plan increased by 750,000 to 5,781,333. This increase represents the lesser of 750,000 shares or 4% of the total shares outstanding calculated as of the end of the most recent fiscal year. On December 11, 2017, the Company, issued inducement awards in the form of an option to purchase 775,000 shares of the Company’s common stock with an exercise price of $6.05 per share and restricted stock unit award to acquire 40,000 shares of the Company’s common stock, to Rick Russell in connection with his appointment as the Company’s President. These inducement awards are outside of, but subject to the terms generally consistent with, the Company’s 2013 Equity Incentive Plan, as amended, or the 2013 Plan, as a material inducement to Mr. Russell’s acceptance of employment with the Company in accordance with NASDAQ Listing Rule 5635(c)(4). The exercise price per share shall not be less than the fair value of the Company’s underlying common stock on the grant date and no option may have a term in excess of ten years. Stock option activity for employees and non-employees under the Plan for the year ended December 31, 2017 is as follows:</w:t>
      </w:r>
    </w:p>
    <w:p>
      <w:pPr>
        <w:spacing w:after="0" w:line="16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Stock 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3,974,143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2,580,000</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(197,874)</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(223,619)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6,132,650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Exercisable December 31, 2017</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2,563,008</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grant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15,154</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weighted average grant-date fair value of stock options outstanding on December 31, 2017 was $4.98 per share. Total unrecognized compensation costs related to non-vested stock options at December 31, 2017 was approximately $16.6 million and is expected to be recognized within future operating results over a weighted-average period of 3.3 years. The total intrinsic value of the options exercised during the years ended December 31, 2017 and 2016 was approximately $0.7 million and $0.1 million, respectively. No options were exercised during the year ended December 31, 2015.</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does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uses the Black Scholes model to estimate the fair value of stock options granted. For stock options granted to employees during the years ended December 31, 2017, 2016, and 2015, the Company utilized the following assumptions: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5.5-6.25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0"/>
              </w:rPr>
              <w:t>5.5-6.25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3"/>
              <w:spacing w:after="0"/>
              <w:rPr>
                <w:sz w:val="20"/>
                <w:szCs w:val="20"/>
                <w:color w:val="auto"/>
              </w:rPr>
            </w:pPr>
            <w:r>
              <w:rPr>
                <w:rFonts w:ascii="Arial" w:cs="Arial" w:eastAsia="Arial" w:hAnsi="Arial"/>
                <w:sz w:val="18"/>
                <w:szCs w:val="18"/>
                <w:color w:val="auto"/>
                <w:w w:val="90"/>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1.83-2.25%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3"/>
              <w:spacing w:after="0"/>
              <w:rPr>
                <w:sz w:val="20"/>
                <w:szCs w:val="20"/>
                <w:color w:val="auto"/>
              </w:rPr>
            </w:pPr>
            <w:r>
              <w:rPr>
                <w:rFonts w:ascii="Arial" w:cs="Arial" w:eastAsia="Arial" w:hAnsi="Arial"/>
                <w:sz w:val="18"/>
                <w:szCs w:val="18"/>
                <w:color w:val="auto"/>
                <w:w w:val="91"/>
              </w:rPr>
              <w:t>1.17-2.22%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1"/>
              </w:rPr>
              <w:t>1.27-1.98%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79-84%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3"/>
              <w:spacing w:after="0"/>
              <w:rPr>
                <w:sz w:val="20"/>
                <w:szCs w:val="20"/>
                <w:color w:val="auto"/>
              </w:rPr>
            </w:pPr>
            <w:r>
              <w:rPr>
                <w:rFonts w:ascii="Arial" w:cs="Arial" w:eastAsia="Arial" w:hAnsi="Arial"/>
                <w:sz w:val="18"/>
                <w:szCs w:val="18"/>
                <w:color w:val="auto"/>
                <w:w w:val="93"/>
              </w:rPr>
              <w:t>78-79%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1"/>
              </w:rPr>
              <w:t>74-110%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Dividend yield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3"/>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grant date fair value per share of common</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4.50</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53"/>
              <w:spacing w:after="0"/>
              <w:rPr>
                <w:sz w:val="20"/>
                <w:szCs w:val="20"/>
                <w:color w:val="auto"/>
              </w:rPr>
            </w:pPr>
            <w:r>
              <w:rPr>
                <w:rFonts w:ascii="Arial" w:cs="Arial" w:eastAsia="Arial" w:hAnsi="Arial"/>
                <w:sz w:val="18"/>
                <w:szCs w:val="18"/>
                <w:color w:val="auto"/>
              </w:rPr>
              <w:t>8.47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53"/>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Stock-Based Awards Granted to Non-employees-</w:t>
      </w:r>
      <w:r>
        <w:rPr>
          <w:rFonts w:ascii="Arial" w:cs="Arial" w:eastAsia="Arial" w:hAnsi="Arial"/>
          <w:sz w:val="18"/>
          <w:szCs w:val="18"/>
          <w:color w:val="333333"/>
        </w:rPr>
        <w:t>The Company from time to time grants options to purchase common stock to non-employees for services</w:t>
      </w:r>
      <w:r>
        <w:rPr>
          <w:rFonts w:ascii="Arial" w:cs="Arial" w:eastAsia="Arial" w:hAnsi="Arial"/>
          <w:sz w:val="18"/>
          <w:szCs w:val="18"/>
          <w:color w:val="auto"/>
        </w:rPr>
        <w:t xml:space="preserve"> </w:t>
      </w:r>
      <w:r>
        <w:rPr>
          <w:rFonts w:ascii="Arial" w:cs="Arial" w:eastAsia="Arial" w:hAnsi="Arial"/>
          <w:sz w:val="18"/>
          <w:szCs w:val="18"/>
          <w:color w:val="333333"/>
        </w:rPr>
        <w:t>rendered and records expense ratably over the vesting period of each award. The Company estimates the fair value of the stock options using the Black-Scholes valuation model at each reporting date. The Company granted 480,000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97" w:right="259" w:bottom="1440" w:gutter="0" w:footer="0" w:header="0"/>
        </w:sectPr>
      </w:pPr>
    </w:p>
    <w:bookmarkStart w:id="87" w:name="page88"/>
    <w:bookmarkEnd w:id="87"/>
    <w:p>
      <w:pPr>
        <w:ind w:right="40"/>
        <w:spacing w:after="0" w:line="264" w:lineRule="auto"/>
        <w:rPr>
          <w:sz w:val="20"/>
          <w:szCs w:val="20"/>
          <w:color w:val="auto"/>
        </w:rPr>
      </w:pPr>
      <w:r>
        <w:rPr>
          <w:rFonts w:ascii="Arial" w:cs="Arial" w:eastAsia="Arial" w:hAnsi="Arial"/>
          <w:sz w:val="18"/>
          <w:szCs w:val="18"/>
          <w:color w:val="333333"/>
        </w:rPr>
        <w:t>options to non-employees and recorded stock-based compensation expense of $287,000 during the year ended December 31, 2017. The Company granted 60,000 stock options to non-employees and recorded stock-based compensation expense of $53,000 during the year ended December 31, 2016. There were no stock option grants made to non-employees made during the years ended December 31,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12"/>
          </w:tcPr>
          <w:p>
            <w:pPr>
              <w:ind w:left="800"/>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center"/>
              <w:ind w:right="68"/>
              <w:spacing w:after="0"/>
              <w:rPr>
                <w:sz w:val="20"/>
                <w:szCs w:val="20"/>
                <w:color w:val="auto"/>
              </w:rPr>
            </w:pPr>
            <w:r>
              <w:rPr>
                <w:rFonts w:ascii="Arial" w:cs="Arial" w:eastAsia="Arial" w:hAnsi="Arial"/>
                <w:sz w:val="18"/>
                <w:szCs w:val="18"/>
                <w:color w:val="auto"/>
                <w:w w:val="92"/>
              </w:rPr>
              <w:t>8.7-9.9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center"/>
              <w:ind w:left="33"/>
              <w:spacing w:after="0"/>
              <w:rPr>
                <w:sz w:val="20"/>
                <w:szCs w:val="20"/>
                <w:color w:val="auto"/>
              </w:rPr>
            </w:pPr>
            <w:r>
              <w:rPr>
                <w:rFonts w:ascii="Arial" w:cs="Arial" w:eastAsia="Arial" w:hAnsi="Arial"/>
                <w:sz w:val="18"/>
                <w:szCs w:val="18"/>
                <w:color w:val="auto"/>
                <w:w w:val="87"/>
              </w:rPr>
              <w:t>9.7</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68"/>
              <w:spacing w:after="0"/>
              <w:rPr>
                <w:sz w:val="20"/>
                <w:szCs w:val="20"/>
                <w:color w:val="auto"/>
              </w:rPr>
            </w:pPr>
            <w:r>
              <w:rPr>
                <w:rFonts w:ascii="Arial" w:cs="Arial" w:eastAsia="Arial" w:hAnsi="Arial"/>
                <w:sz w:val="18"/>
                <w:szCs w:val="18"/>
                <w:color w:val="auto"/>
                <w:w w:val="91"/>
              </w:rPr>
              <w:t>2.37-2.40%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0"/>
              </w:rPr>
              <w:t>2.43%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68"/>
              <w:spacing w:after="0"/>
              <w:rPr>
                <w:sz w:val="20"/>
                <w:szCs w:val="20"/>
                <w:color w:val="auto"/>
              </w:rPr>
            </w:pPr>
            <w:r>
              <w:rPr>
                <w:rFonts w:ascii="Arial" w:cs="Arial" w:eastAsia="Arial" w:hAnsi="Arial"/>
                <w:sz w:val="18"/>
                <w:szCs w:val="18"/>
                <w:color w:val="auto"/>
                <w:w w:val="87"/>
              </w:rPr>
              <w:t>111-113%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center"/>
              <w:ind w:left="33"/>
              <w:spacing w:after="0"/>
              <w:rPr>
                <w:sz w:val="20"/>
                <w:szCs w:val="20"/>
                <w:color w:val="auto"/>
              </w:rPr>
            </w:pPr>
            <w:r>
              <w:rPr>
                <w:rFonts w:ascii="Arial" w:cs="Arial" w:eastAsia="Arial" w:hAnsi="Arial"/>
                <w:sz w:val="18"/>
                <w:szCs w:val="18"/>
                <w:color w:val="auto"/>
                <w:w w:val="91"/>
              </w:rPr>
              <w:t>104%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68"/>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center"/>
              <w:ind w:left="53"/>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116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FF0FC"/>
          </w:tcPr>
          <w:p>
            <w:pPr>
              <w:jc w:val="right"/>
              <w:ind w:right="45"/>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459"/>
        </w:trPr>
        <w:tc>
          <w:tcPr>
            <w:tcW w:w="6200" w:type="dxa"/>
            <w:vAlign w:val="bottom"/>
            <w:gridSpan w:val="2"/>
          </w:tcPr>
          <w:p>
            <w:pPr>
              <w:spacing w:after="0"/>
              <w:rPr>
                <w:sz w:val="20"/>
                <w:szCs w:val="20"/>
                <w:color w:val="auto"/>
              </w:rPr>
            </w:pPr>
            <w:r>
              <w:rPr>
                <w:rFonts w:ascii="Arial" w:cs="Arial" w:eastAsia="Arial" w:hAnsi="Arial"/>
                <w:sz w:val="18"/>
                <w:szCs w:val="18"/>
                <w:color w:val="auto"/>
                <w:w w:val="96"/>
              </w:rPr>
              <w:t>RSU activity under the Plan for the year ended December 31, 2017 is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1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r>
      <w:tr>
        <w:trPr>
          <w:trHeight w:val="162"/>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116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2017</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219,600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top w:val="single" w:sz="8" w:color="CFF0FC"/>
            </w:tcBorders>
            <w:shd w:val="clear" w:color="auto" w:fill="CFF0FC"/>
          </w:tcPr>
          <w:p>
            <w:pPr>
              <w:spacing w:after="0"/>
              <w:rPr>
                <w:sz w:val="19"/>
                <w:szCs w:val="19"/>
                <w:color w:val="auto"/>
              </w:rPr>
            </w:pPr>
          </w:p>
        </w:tc>
      </w:tr>
      <w:tr>
        <w:trPr>
          <w:trHeight w:val="459"/>
        </w:trPr>
        <w:tc>
          <w:tcPr>
            <w:tcW w:w="6200" w:type="dxa"/>
            <w:vAlign w:val="bottom"/>
            <w:gridSpan w:val="2"/>
          </w:tcPr>
          <w:p>
            <w:pPr>
              <w:ind w:left="1140"/>
              <w:spacing w:after="0"/>
              <w:rPr>
                <w:sz w:val="20"/>
                <w:szCs w:val="20"/>
                <w:color w:val="auto"/>
              </w:rPr>
            </w:pPr>
            <w:r>
              <w:rPr>
                <w:rFonts w:ascii="Arial" w:cs="Arial" w:eastAsia="Arial" w:hAnsi="Arial"/>
                <w:sz w:val="18"/>
                <w:szCs w:val="18"/>
                <w:color w:val="auto"/>
              </w:rPr>
              <w:t>Granted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4"/>
                <w:szCs w:val="24"/>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4"/>
                <w:szCs w:val="24"/>
                <w:color w:val="auto"/>
              </w:rPr>
            </w:pPr>
          </w:p>
        </w:tc>
      </w:tr>
      <w:tr>
        <w:trPr>
          <w:trHeight w:val="230"/>
        </w:trPr>
        <w:tc>
          <w:tcPr>
            <w:tcW w:w="11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(48,650)</w:t>
            </w: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w w:val="98"/>
              </w:rPr>
              <w:t>(25,000)</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2017</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185,950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spacing w:after="0" w:line="219" w:lineRule="exact"/>
        <w:rPr>
          <w:sz w:val="20"/>
          <w:szCs w:val="20"/>
          <w:color w:val="auto"/>
        </w:rPr>
      </w:pPr>
      <w:r>
        <w:rPr>
          <w:rFonts w:ascii="Arial" w:cs="Arial" w:eastAsia="Arial" w:hAnsi="Arial"/>
          <w:sz w:val="17"/>
          <w:szCs w:val="17"/>
          <w:color w:val="auto"/>
        </w:rPr>
        <w:t>RSUs awarded to employees generally vest one</w:t>
      </w:r>
      <w:r>
        <w:rPr>
          <w:rFonts w:ascii="MS PGothic" w:cs="MS PGothic" w:eastAsia="MS PGothic" w:hAnsi="MS PGothic"/>
          <w:sz w:val="17"/>
          <w:szCs w:val="17"/>
          <w:color w:val="auto"/>
        </w:rPr>
        <w:t>‑</w:t>
      </w:r>
      <w:r>
        <w:rPr>
          <w:rFonts w:ascii="Arial" w:cs="Arial" w:eastAsia="Arial" w:hAnsi="Arial"/>
          <w:sz w:val="17"/>
          <w:szCs w:val="17"/>
          <w:color w:val="auto"/>
        </w:rPr>
        <w:t>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December 31, 2017 was approximately $2.2 million and is expected to be recognized within future operating results over a weighted-average period of 3.1 years. The total fair value of shares vested during the year ended December 31, 2017, was approximately $0.3 million. No shares vested during the years ended December 31, 2016 or 2015.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6"/>
          </w:tcPr>
          <w:p>
            <w:pPr>
              <w:jc w:val="right"/>
              <w:ind w:right="5"/>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2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1,966,126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94"/>
              </w:rPr>
              <w:t>1,036,482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604,320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3,066,997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4"/>
              </w:rPr>
              <w:t>2,534,729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1,597,915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5,033,123</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94"/>
              </w:rPr>
              <w:t>3,571,211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2,202,235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777"/>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60" w:type="dxa"/>
            <w:vAlign w:val="bottom"/>
            <w:gridSpan w:val="2"/>
          </w:tcPr>
          <w:p>
            <w:pPr>
              <w:jc w:val="right"/>
              <w:ind w:right="745"/>
              <w:spacing w:after="0"/>
              <w:rPr>
                <w:sz w:val="20"/>
                <w:szCs w:val="20"/>
                <w:color w:val="auto"/>
              </w:rPr>
            </w:pPr>
            <w:r>
              <w:rPr>
                <w:rFonts w:ascii="Arial" w:cs="Arial" w:eastAsia="Arial" w:hAnsi="Arial"/>
                <w:sz w:val="18"/>
                <w:szCs w:val="18"/>
                <w:color w:val="auto"/>
              </w:rPr>
              <w:t>F-19</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foreign and state income taxes for the years ended December 31, 2017, 2016 and 2015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7"/>
          </w:tcPr>
          <w:p>
            <w:pPr>
              <w:jc w:val="right"/>
              <w:ind w:right="65"/>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 (benefit)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Federal</w:t>
            </w:r>
          </w:p>
        </w:tc>
        <w:tc>
          <w:tcPr>
            <w:tcW w:w="1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State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provision (benefit)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Federal</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(9,376,272)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State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provision (benefit)</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(9,376,272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780" w:firstLine="386"/>
        <w:spacing w:after="0" w:line="573" w:lineRule="auto"/>
        <w:tabs>
          <w:tab w:leader="none" w:pos="89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was no tax provision for income taxes for the year ended December 31, 2016 and 2015 due to losses. Net deferred tax assets (liabilities) as of December 31, 2017 and 2016 consist of the following:</w:t>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18,265,530</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20,213,845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14,858,509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16,413,906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4,180,651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4,741,558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Deferred start-up and license costs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6,532,419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10,258,431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3,053,174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129,082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47,164,480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51,772,855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Valuation allowance</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(41,878,528)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(51,772,855)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5,285,952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(9,343,440)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(13,433,760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w:t>
            </w: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(4,057,488)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(13,433,760)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reconciliation between the Company’s effective tax rate and the federal statutory rate for the years ended December 31, 2017, 2016 and 2015 are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(34.00%)</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0.66%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0.00%</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(5.16%)</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Valuation allowance</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56.33%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38.40%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22.99%</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decreased by approximately $9.9 million and increased by $11.9 million during the years ended December 31, 2017 and 2016.</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9" w:name="page90"/>
    <w:bookmarkEnd w:id="89"/>
    <w:p>
      <w:pPr>
        <w:spacing w:after="0" w:line="291" w:lineRule="auto"/>
        <w:rPr>
          <w:sz w:val="20"/>
          <w:szCs w:val="20"/>
          <w:color w:val="auto"/>
        </w:rPr>
      </w:pPr>
      <w:r>
        <w:rPr>
          <w:rFonts w:ascii="Arial" w:cs="Arial" w:eastAsia="Arial" w:hAnsi="Arial"/>
          <w:sz w:val="16"/>
          <w:szCs w:val="16"/>
          <w:color w:val="auto"/>
        </w:rPr>
        <w:t>As of December 31, 2017, the Company had approximately $64.8 million of Federal net operating losses that will begin to expire in 2027. As of December 31, 2017, the Company's wholly owned subsidiary had approximately $4.9 million of operating losses in Swizterland that will begin to expire in 2018. As of December 31, 2017, the Company had approximately $7.8 million of New Jersey and approximately $48.5 million of Massachusetts operating losses that will begin to expire in 2029 and 2033 respectively. As of December 31, 2017, the Company had approximately $0.2 million of federal research and development credits that will begin to expire in 2027. The Internal Revenue Code ("IRC") limits the amounts of net operating loss carryforwards that a company may use in any one year in the event of certain cumulative changes in ownership over a three-year period as described in Section 382 of the IRS. The Company has not performed a detailed analysis to determine whether an ownership change has occurred as of December 31, 2017.</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On December 22, 2017, the United States enacted tax reform legislation commonly known as the Tax Cuts and Jobs Act (the “Act”), resulting in significant modifications to existing law. The Company has completed the accounting for the effects of the Act during 2017. The Company’s financial statements for the year ended December 31, 2017, reflect the effects of the Act which includes a reduction in the corporate tax rate from 34% to 21%. Accordingly, the Company’s deferred tax assets and liabilities were revalued at the newly enacted rates expected to be effective in 2018 and forward; the reduction in federal rate from 34% to 21% resulted in no impact to total income tax expense. In addition to the federal rate change impact, the Company accounted for the impact of legislation on the timing of deferred tax positions and overall financial statement presentation, resulting in a total income tax benefit of $9.4 million related to future implications of indefinite lived deferred tax positions.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legislative change regarding the carryforward period of net operating losses impacts the Company’s indefinite lived deferred tax liabilities related to its IPR&amp;D intangibles. Prior to the change in tax law, the Company’s net operating losses could not be used to offset deferred tax liabilities resulting from taxable temporary differences with an indefinite life. After the legislative change, federal net operating loss incurred after December 31, 2017 will have an indefinite life. As a result, the Company’s deductible temporary differences will reverse and create unlimited lived deferred tax assets which may be available to offset indefinite lived deferred tax liabilities. Accordingly, the Company has recognized a tax benefit for the period ending December 31, 2017 to reflect this reversal pattern.</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w:t>
      </w:r>
    </w:p>
    <w:p>
      <w:pPr>
        <w:spacing w:after="0" w:line="18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of December 31, 2017 and 2016, the Company had no liability recorded for unrecognized tax benefits. The Company classifies penalties and interest expense related to income tax liabilities as an income tax expense. There were no interest and penalties recognized in the statements of operations for the years ended December 31, 2017, 2016 and 2015, or accrued on the balance sheets as of December 31, 2017 and 2016.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30, 2021, with a monthly rental rate starting at $14,807.50 and escalating to a maximum monthly rental rate of $16,288.25 in the final 12 months of the term. The Sublandlord has agreed to provide the Premises to the Company free of charge for the first two months of the term.</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$105,000 for the use of V-Watch’s SomnoArt device for monitoring sleep in the roluperidone Phase IIb and MIN-117 Phase IIa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12 — QUARTERLY RESULTS (Unaudited)</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March 31, 2017</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w w:val="96"/>
              </w:rPr>
              <w:t>June 30, 2017</w:t>
            </w:r>
          </w:p>
        </w:tc>
        <w:tc>
          <w:tcPr>
            <w:tcW w:w="148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September 30, 2017</w:t>
            </w:r>
          </w:p>
        </w:tc>
        <w:tc>
          <w:tcPr>
            <w:tcW w:w="13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9"/>
              </w:rPr>
              <w:t>December 31, 2017</w:t>
            </w:r>
          </w:p>
        </w:tc>
        <w:tc>
          <w:tcPr>
            <w:tcW w:w="120" w:type="dxa"/>
            <w:vAlign w:val="bottom"/>
          </w:tcPr>
          <w:p>
            <w:pPr>
              <w:spacing w:after="0"/>
              <w:rPr>
                <w:sz w:val="13"/>
                <w:szCs w:val="13"/>
                <w:color w:val="auto"/>
              </w:rPr>
            </w:pPr>
          </w:p>
        </w:tc>
      </w:tr>
      <w:tr>
        <w:trPr>
          <w:trHeight w:val="156"/>
        </w:trPr>
        <w:tc>
          <w:tcPr>
            <w:tcW w:w="3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3"/>
          </w:tcPr>
          <w:p>
            <w:pPr>
              <w:jc w:val="center"/>
              <w:ind w:right="21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(10,485)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(9,746)</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(11,407)</w:t>
            </w:r>
          </w:p>
        </w:tc>
        <w:tc>
          <w:tcPr>
            <w:tcW w:w="5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(9,532)</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(10,645)</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(9,780)</w:t>
            </w: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(11,260)</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(0.27)</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r>
      <w:tr>
        <w:trPr>
          <w:trHeight w:val="391"/>
        </w:trPr>
        <w:tc>
          <w:tcPr>
            <w:tcW w:w="3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March 31, 2016</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w w:val="96"/>
              </w:rPr>
              <w:t>June 30, 2016</w:t>
            </w:r>
          </w:p>
        </w:tc>
        <w:tc>
          <w:tcPr>
            <w:tcW w:w="148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September 30, 2016</w:t>
            </w:r>
          </w:p>
        </w:tc>
        <w:tc>
          <w:tcPr>
            <w:tcW w:w="13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9"/>
              </w:rPr>
              <w:t>December 31, 2016</w:t>
            </w:r>
          </w:p>
        </w:tc>
        <w:tc>
          <w:tcPr>
            <w:tcW w:w="120" w:type="dxa"/>
            <w:vAlign w:val="bottom"/>
          </w:tcPr>
          <w:p>
            <w:pPr>
              <w:spacing w:after="0"/>
              <w:rPr>
                <w:sz w:val="13"/>
                <w:szCs w:val="13"/>
                <w:color w:val="auto"/>
              </w:rPr>
            </w:pPr>
          </w:p>
        </w:tc>
      </w:tr>
      <w:tr>
        <w:trPr>
          <w:trHeight w:val="156"/>
        </w:trPr>
        <w:tc>
          <w:tcPr>
            <w:tcW w:w="3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3"/>
          </w:tcPr>
          <w:p>
            <w:pPr>
              <w:jc w:val="center"/>
              <w:ind w:right="21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(7,757)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(4,965)</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(8,232)</w:t>
            </w:r>
          </w:p>
        </w:tc>
        <w:tc>
          <w:tcPr>
            <w:tcW w:w="5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(9,237)</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(8,004)</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(8,423)</w:t>
            </w: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(9,404)</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(0.18)</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(0.24)</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r>
      <w:tr>
        <w:trPr>
          <w:trHeight w:val="404"/>
        </w:trPr>
        <w:tc>
          <w:tcPr>
            <w:tcW w:w="3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3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March 31, 2015</w:t>
            </w:r>
          </w:p>
        </w:tc>
        <w:tc>
          <w:tcPr>
            <w:tcW w:w="22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w w:val="96"/>
              </w:rPr>
              <w:t>June 30, 2015</w:t>
            </w: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2015</w:t>
            </w: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December 31, 2015</w:t>
            </w:r>
          </w:p>
        </w:tc>
      </w:tr>
      <w:tr>
        <w:trPr>
          <w:trHeight w:val="156"/>
        </w:trPr>
        <w:tc>
          <w:tcPr>
            <w:tcW w:w="3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3"/>
          </w:tcPr>
          <w:p>
            <w:pPr>
              <w:jc w:val="center"/>
              <w:ind w:right="21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(5,878)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(6,332)</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(5,705)</w:t>
            </w:r>
          </w:p>
        </w:tc>
        <w:tc>
          <w:tcPr>
            <w:tcW w:w="5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(8,194)</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(6,093)</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w:t>
            </w: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(8,439)</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(0.27)</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(0.24)</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 2018, in accordance with the terms of the Company’s 2013 Equity Incentive Plan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total shares authorized for issuance under the plan increased by 750,000 to 6,531,333. This increase represents the lesser of 750,000 shares or 4% of the total shares outstanding calculated as of the end of the most recent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40" w:right="379" w:bottom="1440" w:gutter="0" w:footer="0" w:header="0"/>
        </w:sectPr>
      </w:pPr>
    </w:p>
    <w:bookmarkStart w:id="91" w:name="page92"/>
    <w:bookmarkEnd w:id="91"/>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2017. Based on the evaluation of our disclosure controls and procedures as of December 31, 2017,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2017,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2017,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35" w:right="359" w:bottom="1440" w:gutter="0" w:footer="0" w:header="0"/>
        </w:sectPr>
      </w:pPr>
    </w:p>
    <w:bookmarkStart w:id="92" w:name="page93"/>
    <w:bookmarkEnd w:id="92"/>
    <w:p>
      <w:pPr>
        <w:ind w:left="54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10 will be contained in the sections entitled “Election of Directors,” “Corporate Governance” and</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“Section 16(a) Beneficial Ownership Reporting Compliance” appearing in the definitive proxy statement we will file in connection with our 2018 Annual Meeting of Stockholders and is incorporated by reference herein. The information required by this item relating to executive officers may be found in Part I, Item 1 of this report under the heading “Business—Executive Officers” and is incorporated herein by reference.</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this Item 11 will be contained in the sections entitled “Executive and Director Compensation,” “Executive and Director Compensation—Compensation Committee Interlocks and Insider Participation” and “Executive and Director Compensation—Compensation Committee Report” appearing in the definitive proxy statement we will file in connection with our 2017 Annual Meeting of Stockholders and is incorporated by reference herein.</w:t>
      </w: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information required by this Item 12 will be contained in the sections entitled “Ownership of Our Common Stock” and “Executive and Director Compensation—Equity Compensation Plan Information” appearing in the definitive proxy statement we will file in connection with our 2018 Annual Meeting of Stockholders and is incorporated by reference herein.</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Person Transactions, and Director Independence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information required by this Item 13 will be contained in the sections entitled “Certain Relationships and Related Person Transactions” appearing in the definitive proxy statement we will file in connection with our 2018 Annual Meeting of Stockholders and is incorporated by reference herein.</w:t>
      </w: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by this Item 14 will be contained in the section entitled “Corporate Governance—Principal Accountant Fees and Services” appearing in the definitive proxy statement we will file in connection with our 2018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Documents filed as part of Form 10-K.</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520" w:right="6260"/>
        <w:spacing w:after="0" w:line="422" w:lineRule="auto"/>
        <w:rPr>
          <w:rFonts w:ascii="Arial" w:cs="Arial" w:eastAsia="Arial" w:hAnsi="Arial"/>
          <w:sz w:val="18"/>
          <w:szCs w:val="18"/>
          <w:color w:val="auto"/>
        </w:rPr>
      </w:pPr>
      <w:r>
        <w:rPr>
          <w:rFonts w:ascii="Arial" w:cs="Arial" w:eastAsia="Arial" w:hAnsi="Arial"/>
          <w:sz w:val="16"/>
          <w:szCs w:val="16"/>
          <w:color w:val="auto"/>
        </w:rPr>
        <w:t>Report of Independent Registered Public Accounting Firm Consolidated Balance Sheets as of December 31, 2017 and 2016</w:t>
      </w:r>
    </w:p>
    <w:p>
      <w:pPr>
        <w:spacing w:after="0" w:line="1" w:lineRule="exact"/>
        <w:rPr>
          <w:rFonts w:ascii="Arial" w:cs="Arial" w:eastAsia="Arial" w:hAnsi="Arial"/>
          <w:sz w:val="18"/>
          <w:szCs w:val="18"/>
          <w:color w:val="auto"/>
        </w:rPr>
      </w:pPr>
    </w:p>
    <w:p>
      <w:pPr>
        <w:ind w:left="520" w:right="3280"/>
        <w:spacing w:after="0" w:line="422" w:lineRule="auto"/>
        <w:rPr>
          <w:rFonts w:ascii="Arial" w:cs="Arial" w:eastAsia="Arial" w:hAnsi="Arial"/>
          <w:sz w:val="18"/>
          <w:szCs w:val="18"/>
          <w:color w:val="auto"/>
        </w:rPr>
      </w:pPr>
      <w:r>
        <w:rPr>
          <w:rFonts w:ascii="Arial" w:cs="Arial" w:eastAsia="Arial" w:hAnsi="Arial"/>
          <w:sz w:val="16"/>
          <w:szCs w:val="16"/>
          <w:color w:val="auto"/>
        </w:rPr>
        <w:t>Consolidated Statements of Operations for the Years Ended December 31, 2017, 2016 and 2015 Consolidated Statements of Stockholders’ Equity for the Years Ended December 31, 2017, 2016 and 2015 Consolidated Statements of Cash Flows for the Years Ended December 31, 2017, 2016 and 2015</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Schedules</w:t>
      </w:r>
    </w:p>
    <w:p>
      <w:pPr>
        <w:spacing w:after="0" w:line="11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following exhibits are filed as part of this Annual Report on Form 10-K or are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16"/>
            <w:vMerge w:val="restart"/>
          </w:tcPr>
          <w:p>
            <w:pPr>
              <w:ind w:left="10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8"/>
                <w:szCs w:val="18"/>
                <w:color w:val="0000EE"/>
                <w:w w:val="96"/>
              </w:rPr>
            </w:pPr>
            <w:hyperlink r:id="rId115">
              <w:r>
                <w:rPr>
                  <w:rFonts w:ascii="Arial" w:cs="Arial" w:eastAsia="Arial" w:hAnsi="Arial"/>
                  <w:sz w:val="18"/>
                  <w:szCs w:val="18"/>
                  <w:color w:val="0000EE"/>
                  <w:w w:val="96"/>
                </w:rPr>
                <w:t>Agreement and Plan of Merger of Sonkei Pharmaceuticals,</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Inc. with and into Cyrenaic Pharmaceuticals, Inc., dated as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November 12, 2013</w:t>
              </w:r>
            </w:hyperlink>
          </w:p>
        </w:tc>
        <w:tc>
          <w:tcPr>
            <w:tcW w:w="2980" w:type="dxa"/>
            <w:vAlign w:val="bottom"/>
            <w:tcBorders>
              <w:top w:val="single" w:sz="8" w:color="0000EE"/>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8"/>
                <w:szCs w:val="18"/>
                <w:color w:val="0000EE"/>
                <w:w w:val="96"/>
              </w:rPr>
            </w:pPr>
            <w:hyperlink r:id="rId116">
              <w:r>
                <w:rPr>
                  <w:rFonts w:ascii="Arial" w:cs="Arial" w:eastAsia="Arial" w:hAnsi="Arial"/>
                  <w:sz w:val="18"/>
                  <w:szCs w:val="18"/>
                  <w:color w:val="0000EE"/>
                  <w:w w:val="96"/>
                </w:rPr>
                <w:t>Certificate of Merger Merging Sonkei Pharmaceuticals, Inc.</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with and into Cyrenaic Pharmaceuticals, Inc., dated as of</w:t>
              </w:r>
            </w:hyperlink>
          </w:p>
        </w:tc>
        <w:tc>
          <w:tcPr>
            <w:tcW w:w="200" w:type="dxa"/>
            <w:vAlign w:val="bottom"/>
            <w:tcBorders>
              <w:top w:val="single" w:sz="8" w:color="0000EE"/>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November 12, 2013</w:t>
              </w:r>
            </w:hyperlink>
          </w:p>
        </w:tc>
        <w:tc>
          <w:tcPr>
            <w:tcW w:w="312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160" w:type="dxa"/>
            <w:vAlign w:val="bottom"/>
            <w:tcBorders>
              <w:bottom w:val="single" w:sz="8" w:color="0000EE"/>
            </w:tcBorders>
            <w:gridSpan w:val="14"/>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Certificate of Incorporation of the</w:t>
              </w:r>
            </w:hyperlink>
          </w:p>
        </w:tc>
        <w:tc>
          <w:tcPr>
            <w:tcW w:w="400" w:type="dxa"/>
            <w:vAlign w:val="bottom"/>
            <w:gridSpan w:val="7"/>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7">
              <w:r>
                <w:rPr>
                  <w:rFonts w:ascii="Arial" w:cs="Arial" w:eastAsia="Arial" w:hAnsi="Arial"/>
                  <w:sz w:val="18"/>
                  <w:szCs w:val="18"/>
                  <w:color w:val="0000EE"/>
                  <w:w w:val="87"/>
                </w:rPr>
                <w:t>Registrant</w:t>
              </w:r>
            </w:hyperlink>
          </w:p>
        </w:tc>
        <w:tc>
          <w:tcPr>
            <w:tcW w:w="38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500" w:type="dxa"/>
            <w:vAlign w:val="bottom"/>
            <w:tcBorders>
              <w:bottom w:val="single" w:sz="8" w:color="0000EE"/>
            </w:tcBorders>
            <w:gridSpan w:val="8"/>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Amended and Restated Bylaws of the Registrant</w:t>
              </w:r>
            </w:hyperlink>
          </w:p>
        </w:tc>
        <w:tc>
          <w:tcPr>
            <w:tcW w:w="1060" w:type="dxa"/>
            <w:vAlign w:val="bottom"/>
            <w:gridSpan w:val="1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560" w:type="dxa"/>
            <w:vAlign w:val="bottom"/>
            <w:tcBorders>
              <w:bottom w:val="single" w:sz="8" w:color="0000EE"/>
            </w:tcBorders>
            <w:gridSpan w:val="6"/>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Common Stock Certificate</w:t>
              </w:r>
            </w:hyperlink>
          </w:p>
        </w:tc>
        <w:tc>
          <w:tcPr>
            <w:tcW w:w="2000" w:type="dxa"/>
            <w:vAlign w:val="bottom"/>
            <w:gridSpan w:val="15"/>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8"/>
                <w:szCs w:val="18"/>
                <w:color w:val="0000EE"/>
              </w:rPr>
            </w:pPr>
            <w:hyperlink r:id="rId120">
              <w:r>
                <w:rPr>
                  <w:rFonts w:ascii="Arial" w:cs="Arial" w:eastAsia="Arial" w:hAnsi="Arial"/>
                  <w:sz w:val="18"/>
                  <w:szCs w:val="18"/>
                  <w:color w:val="0000EE"/>
                </w:rPr>
                <w:t>Investor Rights Agreement among the Registrant f/k/a</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Cyrenaic Pharmaceuticals, Inc. and certain of its security</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holders, dated as of August 29, 2007</w:t>
              </w:r>
            </w:hyperlink>
          </w:p>
        </w:tc>
        <w:tc>
          <w:tcPr>
            <w:tcW w:w="1460" w:type="dxa"/>
            <w:vAlign w:val="bottom"/>
            <w:tcBorders>
              <w:top w:val="single" w:sz="8" w:color="0000EE"/>
            </w:tcBorders>
            <w:gridSpan w:val="5"/>
          </w:tcPr>
          <w:p>
            <w:pPr>
              <w:spacing w:after="0"/>
              <w:rPr>
                <w:sz w:val="17"/>
                <w:szCs w:val="17"/>
                <w:color w:val="auto"/>
              </w:rPr>
            </w:pPr>
          </w:p>
        </w:tc>
        <w:tc>
          <w:tcPr>
            <w:tcW w:w="4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Amendment No. 1 to Investor Rights Agreement among the</w:t>
              </w:r>
            </w:hyperlink>
          </w:p>
        </w:tc>
        <w:tc>
          <w:tcPr>
            <w:tcW w:w="240" w:type="dxa"/>
            <w:vAlign w:val="bottom"/>
            <w:gridSpan w:val="5"/>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Registrant and certain of its security holders, dated as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December 20, 2013</w:t>
              </w:r>
            </w:hyperlink>
          </w:p>
        </w:tc>
        <w:tc>
          <w:tcPr>
            <w:tcW w:w="2620" w:type="dxa"/>
            <w:vAlign w:val="bottom"/>
            <w:tcBorders>
              <w:top w:val="single" w:sz="8" w:color="0000EE"/>
            </w:tcBorders>
            <w:gridSpan w:val="8"/>
          </w:tcPr>
          <w:p>
            <w:pPr>
              <w:spacing w:after="0"/>
              <w:rPr>
                <w:sz w:val="17"/>
                <w:szCs w:val="17"/>
                <w:color w:val="auto"/>
              </w:rPr>
            </w:pPr>
          </w:p>
        </w:tc>
        <w:tc>
          <w:tcPr>
            <w:tcW w:w="5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8"/>
                <w:szCs w:val="18"/>
                <w:color w:val="0000EE"/>
                <w:w w:val="97"/>
              </w:rPr>
            </w:pPr>
            <w:hyperlink r:id="rId122">
              <w:r>
                <w:rPr>
                  <w:rFonts w:ascii="Arial" w:cs="Arial" w:eastAsia="Arial" w:hAnsi="Arial"/>
                  <w:sz w:val="18"/>
                  <w:szCs w:val="18"/>
                  <w:color w:val="0000EE"/>
                  <w:w w:val="97"/>
                </w:rPr>
                <w:t>Share Purchase Agreement between the Registrant, Mind-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NRG SA and Various Shareholders dated as of February 11,</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2">
              <w:r>
                <w:rPr>
                  <w:rFonts w:ascii="Arial" w:cs="Arial" w:eastAsia="Arial" w:hAnsi="Arial"/>
                  <w:sz w:val="18"/>
                  <w:szCs w:val="18"/>
                  <w:color w:val="0000EE"/>
                  <w:w w:val="84"/>
                </w:rPr>
                <w:t>2014</w:t>
              </w:r>
            </w:hyperlink>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8"/>
                <w:szCs w:val="18"/>
                <w:color w:val="0000EE"/>
                <w:w w:val="98"/>
              </w:rPr>
            </w:pPr>
            <w:hyperlink r:id="rId123">
              <w:r>
                <w:rPr>
                  <w:rFonts w:ascii="Arial" w:cs="Arial" w:eastAsia="Arial" w:hAnsi="Arial"/>
                  <w:sz w:val="18"/>
                  <w:szCs w:val="18"/>
                  <w:color w:val="0000EE"/>
                  <w:w w:val="98"/>
                </w:rPr>
                <w:t>Common Stock Purchase Agreement between Johnson &amp;</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Johnson Development Corporation and the Registrant, dated</w:t>
              </w:r>
            </w:hyperlink>
          </w:p>
        </w:tc>
        <w:tc>
          <w:tcPr>
            <w:tcW w:w="2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as of February 13, 2014</w:t>
              </w:r>
            </w:hyperlink>
          </w:p>
        </w:tc>
        <w:tc>
          <w:tcPr>
            <w:tcW w:w="28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Loan Agreement by and among certain stockholders and their</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affiliates and the Registrant, dated as of April 30, 2014</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gridSpan w:val="26"/>
            <w:vMerge w:val="restart"/>
          </w:tcPr>
          <w:p>
            <w:pPr>
              <w:ind w:left="300"/>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4"/>
                <w:szCs w:val="14"/>
                <w:color w:val="auto"/>
              </w:rPr>
            </w:pP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Loan Agreement by and among certain stockholders and their</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affiliates and the Registrant, dated as of May 23, 2014</w:t>
              </w:r>
            </w:hyperlink>
          </w:p>
        </w:tc>
        <w:tc>
          <w:tcPr>
            <w:tcW w:w="540" w:type="dxa"/>
            <w:vAlign w:val="bottom"/>
            <w:tcBorders>
              <w:top w:val="single" w:sz="8" w:color="0000EE"/>
            </w:tcBorders>
            <w:gridSpan w:val="16"/>
          </w:tcPr>
          <w:p>
            <w:pPr>
              <w:spacing w:after="0"/>
              <w:rPr>
                <w:sz w:val="17"/>
                <w:szCs w:val="17"/>
                <w:color w:val="auto"/>
              </w:rPr>
            </w:pPr>
          </w:p>
        </w:tc>
        <w:tc>
          <w:tcPr>
            <w:tcW w:w="1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Stock Purchase Agreement between Care Capital</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Investments III LP, Index Ventures III L.P. and the Registrant</w:t>
              </w:r>
            </w:hyperlink>
          </w:p>
        </w:tc>
        <w:tc>
          <w:tcPr>
            <w:tcW w:w="14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w w:val="95"/>
              </w:rPr>
            </w:pPr>
            <w:hyperlink r:id="rId128">
              <w:r>
                <w:rPr>
                  <w:rFonts w:ascii="Arial" w:cs="Arial" w:eastAsia="Arial" w:hAnsi="Arial"/>
                  <w:sz w:val="18"/>
                  <w:szCs w:val="18"/>
                  <w:color w:val="0000EE"/>
                  <w:w w:val="95"/>
                </w:rPr>
                <w:t>f/k/a Cyrenaic Pharmaceuticals, Inc., dated as of August 29,</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8">
              <w:r>
                <w:rPr>
                  <w:rFonts w:ascii="Arial" w:cs="Arial" w:eastAsia="Arial" w:hAnsi="Arial"/>
                  <w:sz w:val="18"/>
                  <w:szCs w:val="18"/>
                  <w:color w:val="0000EE"/>
                  <w:w w:val="84"/>
                </w:rPr>
                <w:t>2007</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4160" w:type="dxa"/>
            <w:vAlign w:val="bottom"/>
            <w:tcBorders>
              <w:bottom w:val="single" w:sz="8" w:color="0000EE"/>
            </w:tcBorders>
            <w:gridSpan w:val="19"/>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Amendment No. 1 to Stock Purchase Agreement between</w:t>
              </w:r>
            </w:hyperlink>
          </w:p>
        </w:tc>
        <w:tc>
          <w:tcPr>
            <w:tcW w:w="400" w:type="dxa"/>
            <w:vAlign w:val="bottom"/>
            <w:gridSpan w:val="1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Care Capital Investments III LP, Index Ventures III L.P. and</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the Registrant and various Shareholders, dated as of March</w:t>
              </w:r>
            </w:hyperlink>
          </w:p>
        </w:tc>
        <w:tc>
          <w:tcPr>
            <w:tcW w:w="2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r:id="rId129">
              <w:r>
                <w:rPr>
                  <w:rFonts w:ascii="Arial" w:cs="Arial" w:eastAsia="Arial" w:hAnsi="Arial"/>
                  <w:sz w:val="18"/>
                  <w:szCs w:val="18"/>
                  <w:color w:val="0000EE"/>
                  <w:w w:val="85"/>
                </w:rPr>
                <w:t>28, 2014</w:t>
              </w:r>
            </w:hyperlink>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4020" w:type="dxa"/>
            <w:vAlign w:val="bottom"/>
            <w:tcBorders>
              <w:bottom w:val="single" w:sz="8" w:color="0000EE"/>
            </w:tcBorders>
            <w:gridSpan w:val="15"/>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Employment Agreement between Remy Luthringer and</w:t>
              </w:r>
            </w:hyperlink>
          </w:p>
        </w:tc>
        <w:tc>
          <w:tcPr>
            <w:tcW w:w="540" w:type="dxa"/>
            <w:vAlign w:val="bottom"/>
            <w:gridSpan w:val="17"/>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Mind-NRG SA, the Registrant's subsidiary, dated as of April</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8, 2014</w:t>
              </w:r>
            </w:hyperlink>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4"/>
                <w:szCs w:val="14"/>
                <w:color w:val="auto"/>
              </w:rPr>
              <w:t>†</w:t>
            </w:r>
          </w:p>
        </w:tc>
        <w:tc>
          <w:tcPr>
            <w:tcW w:w="4560" w:type="dxa"/>
            <w:vAlign w:val="bottom"/>
            <w:gridSpan w:val="32"/>
          </w:tcPr>
          <w:p>
            <w:pPr>
              <w:spacing w:after="0"/>
              <w:rPr>
                <w:rFonts w:ascii="Arial" w:cs="Arial" w:eastAsia="Arial" w:hAnsi="Arial"/>
                <w:sz w:val="18"/>
                <w:szCs w:val="18"/>
                <w:color w:val="0000EE"/>
              </w:rPr>
            </w:pPr>
            <w:hyperlink r:id="rId131">
              <w:r>
                <w:rPr>
                  <w:rFonts w:ascii="Arial" w:cs="Arial" w:eastAsia="Arial" w:hAnsi="Arial"/>
                  <w:sz w:val="18"/>
                  <w:szCs w:val="18"/>
                  <w:color w:val="0000EE"/>
                </w:rPr>
                <w:t>Employment Agreement between Geoff Race and Mind-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NRG SA, the Registrant's subsidiary, dated as of April 8,</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1">
              <w:r>
                <w:rPr>
                  <w:rFonts w:ascii="Arial" w:cs="Arial" w:eastAsia="Arial" w:hAnsi="Arial"/>
                  <w:sz w:val="18"/>
                  <w:szCs w:val="18"/>
                  <w:color w:val="0000EE"/>
                  <w:w w:val="84"/>
                </w:rPr>
                <w:t>2014</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4"/>
                <w:szCs w:val="14"/>
                <w:color w:val="auto"/>
              </w:rPr>
              <w:t>†</w:t>
            </w:r>
          </w:p>
        </w:tc>
        <w:tc>
          <w:tcPr>
            <w:tcW w:w="4320" w:type="dxa"/>
            <w:vAlign w:val="bottom"/>
            <w:tcBorders>
              <w:bottom w:val="single" w:sz="8" w:color="0000EE"/>
            </w:tcBorders>
            <w:gridSpan w:val="24"/>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Form of Indemnification Agreement between the Registrant</w:t>
              </w:r>
            </w:hyperlink>
          </w:p>
        </w:tc>
        <w:tc>
          <w:tcPr>
            <w:tcW w:w="240" w:type="dxa"/>
            <w:vAlign w:val="bottom"/>
            <w:gridSpan w:val="8"/>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and each of its directors and executive officers</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4380" w:type="dxa"/>
            <w:vAlign w:val="bottom"/>
            <w:tcBorders>
              <w:bottom w:val="single" w:sz="8" w:color="0000EE"/>
            </w:tcBorders>
            <w:gridSpan w:val="26"/>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License Agreement between Mitsubishi Pharma Corporation</w:t>
              </w:r>
            </w:hyperlink>
          </w:p>
        </w:tc>
        <w:tc>
          <w:tcPr>
            <w:tcW w:w="180" w:type="dxa"/>
            <w:vAlign w:val="bottom"/>
            <w:gridSpan w:val="6"/>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and the Registrant f/k/a Cyrenaic Pharmaceuticals, Inc., dated</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as of August 30, 2007</w:t>
              </w:r>
            </w:hyperlink>
          </w:p>
        </w:tc>
        <w:tc>
          <w:tcPr>
            <w:tcW w:w="1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rPr>
            </w:pPr>
            <w:hyperlink r:id="rId134">
              <w:r>
                <w:rPr>
                  <w:rFonts w:ascii="Arial" w:cs="Arial" w:eastAsia="Arial" w:hAnsi="Arial"/>
                  <w:sz w:val="18"/>
                  <w:szCs w:val="18"/>
                  <w:color w:val="0000EE"/>
                </w:rPr>
                <w:t>Amendment to License Agreement between Mitsubishi</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Tanabe Pharma Corporation and the Registrant f/k/a Cyrenaic</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Pharmaceuticals, Inc., dated as of June 16, 2011</w:t>
              </w:r>
            </w:hyperlink>
          </w:p>
        </w:tc>
        <w:tc>
          <w:tcPr>
            <w:tcW w:w="110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rPr>
            </w:pPr>
            <w:hyperlink r:id="rId135">
              <w:r>
                <w:rPr>
                  <w:rFonts w:ascii="Arial" w:cs="Arial" w:eastAsia="Arial" w:hAnsi="Arial"/>
                  <w:sz w:val="18"/>
                  <w:szCs w:val="18"/>
                  <w:color w:val="0000EE"/>
                </w:rPr>
                <w:t>Second Amendment to License Agreement between</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Mitsubishi Tanabe Pharma Corporation and the Registrant,</w:t>
              </w:r>
            </w:hyperlink>
          </w:p>
        </w:tc>
        <w:tc>
          <w:tcPr>
            <w:tcW w:w="3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35">
              <w:r>
                <w:rPr>
                  <w:rFonts w:ascii="Arial" w:cs="Arial" w:eastAsia="Arial" w:hAnsi="Arial"/>
                  <w:sz w:val="18"/>
                  <w:szCs w:val="18"/>
                  <w:color w:val="0000EE"/>
                  <w:w w:val="87"/>
                </w:rPr>
                <w:t>dated as of January 20, 2014</w:t>
              </w:r>
            </w:hyperlink>
          </w:p>
        </w:tc>
        <w:tc>
          <w:tcPr>
            <w:tcW w:w="2500" w:type="dxa"/>
            <w:vAlign w:val="bottom"/>
            <w:gridSpan w:val="2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rPr>
            </w:pPr>
            <w:hyperlink r:id="rId136">
              <w:r>
                <w:rPr>
                  <w:rFonts w:ascii="Arial" w:cs="Arial" w:eastAsia="Arial" w:hAnsi="Arial"/>
                  <w:sz w:val="18"/>
                  <w:szCs w:val="18"/>
                  <w:color w:val="0000EE"/>
                </w:rPr>
                <w:t>License Agreement between Mitsubishi Tanabe Pharma</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Corporation and the Registrant as successor in interest to</w:t>
              </w:r>
            </w:hyperlink>
          </w:p>
        </w:tc>
        <w:tc>
          <w:tcPr>
            <w:tcW w:w="4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Sonkei Pharmaceuticals, Inc., dated as of September 1, 2008</w:t>
              </w:r>
            </w:hyperlink>
          </w:p>
        </w:tc>
        <w:tc>
          <w:tcPr>
            <w:tcW w:w="2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rPr>
            </w:pPr>
            <w:hyperlink r:id="rId137">
              <w:r>
                <w:rPr>
                  <w:rFonts w:ascii="Arial" w:cs="Arial" w:eastAsia="Arial" w:hAnsi="Arial"/>
                  <w:sz w:val="18"/>
                  <w:szCs w:val="18"/>
                  <w:color w:val="0000EE"/>
                </w:rPr>
                <w:t>Amendment to License Agreement between Mitsubishi</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Tanabe Pharma Corporation and the Registrant, dated as of</w:t>
              </w:r>
            </w:hyperlink>
          </w:p>
        </w:tc>
        <w:tc>
          <w:tcPr>
            <w:tcW w:w="3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January 20, 2014</w:t>
              </w:r>
            </w:hyperlink>
          </w:p>
        </w:tc>
        <w:tc>
          <w:tcPr>
            <w:tcW w:w="332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4240" w:type="dxa"/>
            <w:vAlign w:val="bottom"/>
            <w:tcBorders>
              <w:bottom w:val="single" w:sz="8" w:color="0000EE"/>
            </w:tcBorders>
            <w:gridSpan w:val="20"/>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Co-Development and License Agreement between Janssen</w:t>
              </w:r>
            </w:hyperlink>
          </w:p>
        </w:tc>
        <w:tc>
          <w:tcPr>
            <w:tcW w:w="320" w:type="dxa"/>
            <w:vAlign w:val="bottom"/>
            <w:gridSpan w:val="1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Pharmaceutica, N.V. and the Registrant, dated as of February</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r:id="rId138">
              <w:r>
                <w:rPr>
                  <w:rFonts w:ascii="Arial" w:cs="Arial" w:eastAsia="Arial" w:hAnsi="Arial"/>
                  <w:sz w:val="18"/>
                  <w:szCs w:val="18"/>
                  <w:color w:val="0000EE"/>
                  <w:w w:val="85"/>
                </w:rPr>
                <w:t>13, 2014</w:t>
              </w:r>
            </w:hyperlink>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4"/>
                <w:szCs w:val="14"/>
                <w:color w:val="auto"/>
              </w:rPr>
              <w:t>†</w:t>
            </w:r>
          </w:p>
        </w:tc>
        <w:tc>
          <w:tcPr>
            <w:tcW w:w="4560" w:type="dxa"/>
            <w:vAlign w:val="bottom"/>
            <w:gridSpan w:val="32"/>
          </w:tcPr>
          <w:p>
            <w:pPr>
              <w:spacing w:after="0"/>
              <w:rPr>
                <w:rFonts w:ascii="Arial" w:cs="Arial" w:eastAsia="Arial" w:hAnsi="Arial"/>
                <w:sz w:val="18"/>
                <w:szCs w:val="18"/>
                <w:color w:val="0000EE"/>
              </w:rPr>
            </w:pPr>
            <w:hyperlink r:id="rId139">
              <w:r>
                <w:rPr>
                  <w:rFonts w:ascii="Arial" w:cs="Arial" w:eastAsia="Arial" w:hAnsi="Arial"/>
                  <w:sz w:val="18"/>
                  <w:szCs w:val="18"/>
                  <w:color w:val="0000EE"/>
                </w:rPr>
                <w:t>Employment Agreement between Joseph Reilly and the</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Registrant, dated as of December 23, 2013</w:t>
              </w:r>
            </w:hyperlink>
          </w:p>
        </w:tc>
        <w:tc>
          <w:tcPr>
            <w:tcW w:w="54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4"/>
                <w:szCs w:val="14"/>
                <w:color w:val="auto"/>
              </w:rPr>
              <w:t>†</w:t>
            </w:r>
          </w:p>
        </w:tc>
        <w:tc>
          <w:tcPr>
            <w:tcW w:w="4140" w:type="dxa"/>
            <w:vAlign w:val="bottom"/>
            <w:tcBorders>
              <w:bottom w:val="single" w:sz="8" w:color="0000EE"/>
            </w:tcBorders>
            <w:gridSpan w:val="18"/>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Amended and Restated 2013 Equity Incentive Plan of the</w:t>
              </w:r>
            </w:hyperlink>
          </w:p>
        </w:tc>
        <w:tc>
          <w:tcPr>
            <w:tcW w:w="420" w:type="dxa"/>
            <w:vAlign w:val="bottom"/>
            <w:gridSpan w:val="14"/>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40">
              <w:r>
                <w:rPr>
                  <w:rFonts w:ascii="Arial" w:cs="Arial" w:eastAsia="Arial" w:hAnsi="Arial"/>
                  <w:sz w:val="18"/>
                  <w:szCs w:val="18"/>
                  <w:color w:val="0000EE"/>
                  <w:w w:val="87"/>
                </w:rPr>
                <w:t>Registrant</w:t>
              </w:r>
            </w:hyperlink>
          </w:p>
        </w:tc>
        <w:tc>
          <w:tcPr>
            <w:tcW w:w="382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4560" w:type="dxa"/>
            <w:vAlign w:val="bottom"/>
            <w:gridSpan w:val="32"/>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Loan and Security Agreement by and among Oxford Finance</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 20,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LLC, Silicon Valley Bank and the Registrant, dated as of</w:t>
              </w:r>
            </w:hyperlink>
          </w:p>
        </w:tc>
        <w:tc>
          <w:tcPr>
            <w:tcW w:w="300" w:type="dxa"/>
            <w:vAlign w:val="bottom"/>
            <w:tcBorders>
              <w:top w:val="single" w:sz="8" w:color="0000EE"/>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January 16, 2015</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446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4"/>
                <w:szCs w:val="14"/>
                <w:color w:val="auto"/>
              </w:rPr>
            </w:pP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4"/>
                <w:szCs w:val="14"/>
                <w:color w:val="auto"/>
              </w:rPr>
            </w:pP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Filing Date</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4060" w:type="dxa"/>
            <w:vAlign w:val="bottom"/>
            <w:tcBorders>
              <w:bottom w:val="single" w:sz="8" w:color="0000EE"/>
            </w:tcBorders>
            <w:gridSpan w:val="17"/>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Form of Securities Purchase Agreement between certain</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investors referenced therein and the Registrant, dated as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March 13, 2015</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4440" w:type="dxa"/>
            <w:vAlign w:val="bottom"/>
            <w:gridSpan w:val="27"/>
          </w:tcPr>
          <w:p>
            <w:pP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Form of Registration Rights Agreement between certain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investors referenced therein and the Registrant, dated as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March 13, 2015</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4440" w:type="dxa"/>
            <w:vAlign w:val="bottom"/>
            <w:gridSpan w:val="27"/>
          </w:tcPr>
          <w:p>
            <w:pPr>
              <w:spacing w:after="0"/>
              <w:rPr>
                <w:rFonts w:ascii="Arial" w:cs="Arial" w:eastAsia="Arial" w:hAnsi="Arial"/>
                <w:sz w:val="18"/>
                <w:szCs w:val="18"/>
                <w:color w:val="0000EE"/>
              </w:rPr>
            </w:pPr>
            <w:hyperlink r:id="rId146">
              <w:r>
                <w:rPr>
                  <w:rFonts w:ascii="Arial" w:cs="Arial" w:eastAsia="Arial" w:hAnsi="Arial"/>
                  <w:sz w:val="18"/>
                  <w:szCs w:val="18"/>
                  <w:color w:val="0000EE"/>
                </w:rPr>
                <w:t>Second Amendment to License Agreement between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Mitsubishi Tanabe Pharma Corporation and the Registrant,</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dated as of April 21, 2015</w:t>
              </w:r>
            </w:hyperlink>
          </w:p>
        </w:tc>
        <w:tc>
          <w:tcPr>
            <w:tcW w:w="2360" w:type="dxa"/>
            <w:vAlign w:val="bottom"/>
            <w:tcBorders>
              <w:top w:val="single" w:sz="8" w:color="0000EE"/>
            </w:tcBorders>
            <w:gridSpan w:val="19"/>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1"/>
                <w:szCs w:val="21"/>
                <w:color w:val="auto"/>
              </w:rPr>
              <w:t>†</w:t>
            </w:r>
          </w:p>
        </w:tc>
        <w:tc>
          <w:tcPr>
            <w:tcW w:w="3860" w:type="dxa"/>
            <w:vAlign w:val="bottom"/>
            <w:tcBorders>
              <w:bottom w:val="single" w:sz="8" w:color="0000EE"/>
            </w:tcBorders>
            <w:gridSpan w:val="15"/>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Minerva Neurosciences, Inc. Non-Employee Director</w:t>
              </w:r>
            </w:hyperlink>
          </w:p>
        </w:tc>
        <w:tc>
          <w:tcPr>
            <w:tcW w:w="2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1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Compensation Plan (effective July 1, 2015)</w:t>
              </w:r>
            </w:hyperlink>
          </w:p>
        </w:tc>
        <w:tc>
          <w:tcPr>
            <w:tcW w:w="13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4340" w:type="dxa"/>
            <w:vAlign w:val="bottom"/>
            <w:tcBorders>
              <w:bottom w:val="single" w:sz="8" w:color="0000EE"/>
            </w:tcBorders>
            <w:gridSpan w:val="24"/>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First Amendment to Loan and Security Agreement, dated as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of August 27, 2015, by and among Oxford Finance LLC,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Silicon Valley Bank and the Registrant</w:t>
              </w:r>
            </w:hyperlink>
          </w:p>
        </w:tc>
        <w:tc>
          <w:tcPr>
            <w:tcW w:w="1300" w:type="dxa"/>
            <w:vAlign w:val="bottom"/>
            <w:tcBorders>
              <w:top w:val="single" w:sz="8" w:color="0000EE"/>
            </w:tcBorders>
            <w:gridSpan w:val="12"/>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1"/>
                <w:szCs w:val="21"/>
                <w:color w:val="auto"/>
              </w:rPr>
              <w:t>†</w:t>
            </w:r>
          </w:p>
        </w:tc>
        <w:tc>
          <w:tcPr>
            <w:tcW w:w="4040" w:type="dxa"/>
            <w:vAlign w:val="bottom"/>
            <w:tcBorders>
              <w:bottom w:val="single" w:sz="8" w:color="0000EE"/>
            </w:tcBorders>
            <w:gridSpan w:val="16"/>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Employment Agreement between Fred Ahlholm and the</w:t>
              </w:r>
            </w:hyperlink>
          </w:p>
        </w:tc>
        <w:tc>
          <w:tcPr>
            <w:tcW w:w="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Registrant, dated as of May 30, 2014</w:t>
              </w:r>
            </w:hyperlink>
          </w:p>
        </w:tc>
        <w:tc>
          <w:tcPr>
            <w:tcW w:w="1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4340" w:type="dxa"/>
            <w:vAlign w:val="bottom"/>
            <w:tcBorders>
              <w:bottom w:val="single" w:sz="8" w:color="0000EE"/>
            </w:tcBorders>
            <w:gridSpan w:val="24"/>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Second Amendment to Loan and Security Agreement, dated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as of February 23, 2016, by and among Oxford Finance LLC,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Silicon Valley Bank and the Registrant</w:t>
              </w:r>
            </w:hyperlink>
          </w:p>
        </w:tc>
        <w:tc>
          <w:tcPr>
            <w:tcW w:w="16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4380" w:type="dxa"/>
            <w:vAlign w:val="bottom"/>
            <w:tcBorders>
              <w:bottom w:val="single" w:sz="8" w:color="0000EE"/>
            </w:tcBorders>
            <w:gridSpan w:val="26"/>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Common Stock Purchase Agreement, dated March 17, 2016,</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by and between David Kupfer and the Registrant</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1"/>
                <w:szCs w:val="21"/>
                <w:color w:val="auto"/>
              </w:rPr>
              <w:t>†</w:t>
            </w:r>
          </w:p>
        </w:tc>
        <w:tc>
          <w:tcPr>
            <w:tcW w:w="7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vMerge w:val="continue"/>
          </w:tcPr>
          <w:p>
            <w:pPr>
              <w:spacing w:after="0"/>
              <w:rPr>
                <w:sz w:val="24"/>
                <w:szCs w:val="24"/>
                <w:color w:val="auto"/>
              </w:rPr>
            </w:pPr>
          </w:p>
        </w:tc>
        <w:tc>
          <w:tcPr>
            <w:tcW w:w="4360" w:type="dxa"/>
            <w:vAlign w:val="bottom"/>
            <w:tcBorders>
              <w:bottom w:val="single" w:sz="8" w:color="0000EE"/>
            </w:tcBorders>
            <w:gridSpan w:val="25"/>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Employment Agreement, dated as of August 1, 2016, by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between Mind-NRG SARL and Dr. Remy Luthringer</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1"/>
                <w:szCs w:val="21"/>
                <w:color w:val="auto"/>
              </w:rPr>
              <w:t>†</w:t>
            </w:r>
          </w:p>
        </w:tc>
        <w:tc>
          <w:tcPr>
            <w:tcW w:w="7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vMerge w:val="continue"/>
          </w:tcPr>
          <w:p>
            <w:pPr>
              <w:spacing w:after="0"/>
              <w:rPr>
                <w:sz w:val="24"/>
                <w:szCs w:val="24"/>
                <w:color w:val="auto"/>
              </w:rPr>
            </w:pPr>
          </w:p>
        </w:tc>
        <w:tc>
          <w:tcPr>
            <w:tcW w:w="4360" w:type="dxa"/>
            <w:vAlign w:val="bottom"/>
            <w:tcBorders>
              <w:bottom w:val="single" w:sz="8" w:color="0000EE"/>
            </w:tcBorders>
            <w:gridSpan w:val="25"/>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Employment Agreement, dated as of August 1, 2016, by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between Mind-NRG SARL and Geoffrey Race</w:t>
              </w:r>
            </w:hyperlink>
          </w:p>
        </w:tc>
        <w:tc>
          <w:tcPr>
            <w:tcW w:w="1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21"/>
                <w:szCs w:val="21"/>
                <w:color w:val="auto"/>
              </w:rPr>
              <w:t>†</w:t>
            </w:r>
          </w:p>
        </w:tc>
        <w:tc>
          <w:tcPr>
            <w:tcW w:w="4360" w:type="dxa"/>
            <w:vAlign w:val="bottom"/>
            <w:tcBorders>
              <w:bottom w:val="single" w:sz="8" w:color="0000EE"/>
            </w:tcBorders>
            <w:gridSpan w:val="25"/>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Employment Agreement, dated as of August 1, 2016, by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3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between the Registrant and Frederick Ahlholm</w:t>
              </w:r>
            </w:hyperlink>
          </w:p>
        </w:tc>
        <w:tc>
          <w:tcPr>
            <w:tcW w:w="1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10.30</w:t>
            </w:r>
            <w:r>
              <w:rPr>
                <w:rFonts w:ascii="Arial" w:cs="Arial" w:eastAsia="Arial" w:hAnsi="Arial"/>
                <w:sz w:val="21"/>
                <w:szCs w:val="21"/>
                <w:color w:val="auto"/>
              </w:rPr>
              <w:t>†</w:t>
            </w:r>
          </w:p>
        </w:tc>
        <w:tc>
          <w:tcPr>
            <w:tcW w:w="4360" w:type="dxa"/>
            <w:vAlign w:val="bottom"/>
            <w:tcBorders>
              <w:bottom w:val="single" w:sz="8" w:color="0000EE"/>
            </w:tcBorders>
            <w:gridSpan w:val="25"/>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Employment Agreement, dated as of August 1, 2016, by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between the Registrant and Mark S. Levine</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10.31</w:t>
            </w:r>
            <w:r>
              <w:rPr>
                <w:rFonts w:ascii="Arial" w:cs="Arial" w:eastAsia="Arial" w:hAnsi="Arial"/>
                <w:sz w:val="21"/>
                <w:szCs w:val="21"/>
                <w:color w:val="auto"/>
              </w:rPr>
              <w:t>†</w:t>
            </w:r>
          </w:p>
        </w:tc>
        <w:tc>
          <w:tcPr>
            <w:tcW w:w="7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vMerge w:val="continue"/>
          </w:tcPr>
          <w:p>
            <w:pPr>
              <w:spacing w:after="0"/>
              <w:rPr>
                <w:sz w:val="24"/>
                <w:szCs w:val="24"/>
                <w:color w:val="auto"/>
              </w:rPr>
            </w:pPr>
          </w:p>
        </w:tc>
        <w:tc>
          <w:tcPr>
            <w:tcW w:w="4360" w:type="dxa"/>
            <w:vAlign w:val="bottom"/>
            <w:tcBorders>
              <w:bottom w:val="single" w:sz="8" w:color="0000EE"/>
            </w:tcBorders>
            <w:gridSpan w:val="25"/>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Employment Agreement, dated as of August 1, 2016, by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between the Registrant and Joseph Reilly</w:t>
              </w:r>
            </w:hyperlink>
          </w:p>
        </w:tc>
        <w:tc>
          <w:tcPr>
            <w:tcW w:w="14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4440" w:type="dxa"/>
            <w:vAlign w:val="bottom"/>
            <w:gridSpan w:val="2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Form of Restricted Stock Unit Agreement under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9"/>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1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Amended and Restated 2013 Equity Incentive Plan of the</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Registrant</w:t>
              </w:r>
            </w:hyperlink>
          </w:p>
        </w:tc>
        <w:tc>
          <w:tcPr>
            <w:tcW w:w="37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4200" w:type="dxa"/>
            <w:vAlign w:val="bottom"/>
            <w:tcBorders>
              <w:bottom w:val="single" w:sz="8" w:color="0000EE"/>
            </w:tcBorders>
            <w:gridSpan w:val="20"/>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Form of Option Grant Agreement under the Amended and</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Restated 2013 Equity Incentive Plan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168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10.34</w:t>
            </w:r>
          </w:p>
        </w:tc>
        <w:tc>
          <w:tcPr>
            <w:tcW w:w="4440" w:type="dxa"/>
            <w:vAlign w:val="bottom"/>
            <w:gridSpan w:val="27"/>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Sublease Agreement dated October 2, 2017 by and between</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the Registrant and Profitect, Inc. NV</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3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March 18, 2015</w:t>
            </w:r>
          </w:p>
        </w:tc>
      </w:tr>
      <w:tr>
        <w:trPr>
          <w:trHeight w:val="77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March 18, 2015</w:t>
            </w:r>
          </w:p>
        </w:tc>
      </w:tr>
      <w:tr>
        <w:trPr>
          <w:trHeight w:val="77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May 7, 2015</w:t>
            </w:r>
          </w:p>
        </w:tc>
      </w:tr>
      <w:tr>
        <w:trPr>
          <w:trHeight w:val="77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June 18, 2015</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August 28, 2015</w:t>
            </w:r>
          </w:p>
        </w:tc>
      </w:tr>
      <w:tr>
        <w:trPr>
          <w:trHeight w:val="77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November 5, 2015</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February 25, 2016</w:t>
            </w:r>
          </w:p>
        </w:tc>
      </w:tr>
      <w:tr>
        <w:trPr>
          <w:trHeight w:val="77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March 18, 2016</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August 4, 2016</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August 4, 2016</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August 4, 2016</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August 4, 2016</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August 4, 2016</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December 16, 2016</w:t>
            </w:r>
          </w:p>
        </w:tc>
      </w:tr>
      <w:tr>
        <w:trPr>
          <w:trHeight w:val="77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March 13, 2017</w:t>
            </w:r>
          </w:p>
        </w:tc>
      </w:tr>
      <w:tr>
        <w:trPr>
          <w:trHeight w:val="55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001-36517</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November 6,2017</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340" w:space="280"/>
            <w:col w:w="5800"/>
          </w:cols>
          <w:pgMar w:left="240" w:top="118"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gridSpan w:val="17"/>
            <w:vMerge w:val="restart"/>
          </w:tcPr>
          <w:p>
            <w:pPr>
              <w:ind w:left="14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Amendment No. 1 to Co-Development and License</w:t>
              </w:r>
            </w:hyperlink>
          </w:p>
        </w:tc>
        <w:tc>
          <w:tcPr>
            <w:tcW w:w="840" w:type="dxa"/>
            <w:vAlign w:val="bottom"/>
            <w:gridSpan w:val="1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14,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Agreement dated June 13, 2017, by and between the</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Registrant and Janssen Pharmaceutica NV</w:t>
              </w:r>
            </w:hyperlink>
          </w:p>
        </w:tc>
        <w:tc>
          <w:tcPr>
            <w:tcW w:w="8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4160" w:type="dxa"/>
            <w:vAlign w:val="bottom"/>
            <w:tcBorders>
              <w:bottom w:val="single" w:sz="8" w:color="0000EE"/>
            </w:tcBorders>
            <w:gridSpan w:val="12"/>
          </w:tcPr>
          <w:p>
            <w:pPr>
              <w:spacing w:after="0"/>
              <w:rPr>
                <w:rFonts w:ascii="Arial" w:cs="Arial" w:eastAsia="Arial" w:hAnsi="Arial"/>
                <w:sz w:val="18"/>
                <w:szCs w:val="18"/>
                <w:color w:val="0000EE"/>
                <w:w w:val="88"/>
              </w:rPr>
            </w:pPr>
            <w:hyperlink r:id="rId162">
              <w:r>
                <w:rPr>
                  <w:rFonts w:ascii="Arial" w:cs="Arial" w:eastAsia="Arial" w:hAnsi="Arial"/>
                  <w:sz w:val="18"/>
                  <w:szCs w:val="18"/>
                  <w:color w:val="0000EE"/>
                  <w:w w:val="88"/>
                </w:rPr>
                <w:t>Stock Repurchase Agreement dated June 13, 2017 by and</w:t>
              </w:r>
            </w:hyperlink>
          </w:p>
        </w:tc>
        <w:tc>
          <w:tcPr>
            <w:tcW w:w="400" w:type="dxa"/>
            <w:vAlign w:val="bottom"/>
            <w:gridSpan w:val="10"/>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14,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between the Registrant and Johnson &amp; Johnson Innovation-</w:t>
              </w:r>
            </w:hyperlink>
          </w:p>
        </w:tc>
        <w:tc>
          <w:tcPr>
            <w:tcW w:w="2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JJDC Inc.</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10.37†</w:t>
            </w:r>
          </w:p>
        </w:tc>
        <w:tc>
          <w:tcPr>
            <w:tcW w:w="4420" w:type="dxa"/>
            <w:vAlign w:val="bottom"/>
            <w:tcBorders>
              <w:bottom w:val="single" w:sz="8" w:color="0000EE"/>
            </w:tcBorders>
            <w:gridSpan w:val="19"/>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Offer Letter by and between the Registrant and Rick Russell,</w:t>
              </w:r>
            </w:hyperlink>
          </w:p>
        </w:tc>
        <w:tc>
          <w:tcPr>
            <w:tcW w:w="140" w:type="dxa"/>
            <w:vAlign w:val="bottom"/>
            <w:gridSpan w:val="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dated December 11, 2017.</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10.38†</w:t>
            </w:r>
          </w:p>
        </w:tc>
        <w:tc>
          <w:tcPr>
            <w:tcW w:w="4560" w:type="dxa"/>
            <w:vAlign w:val="bottom"/>
            <w:gridSpan w:val="22"/>
          </w:tcPr>
          <w:p>
            <w:pPr>
              <w:spacing w:after="0"/>
              <w:rPr>
                <w:rFonts w:ascii="Arial" w:cs="Arial" w:eastAsia="Arial" w:hAnsi="Arial"/>
                <w:sz w:val="18"/>
                <w:szCs w:val="18"/>
                <w:color w:val="0000EE"/>
                <w:w w:val="98"/>
              </w:rPr>
            </w:pPr>
            <w:hyperlink r:id="rId164">
              <w:r>
                <w:rPr>
                  <w:rFonts w:ascii="Arial" w:cs="Arial" w:eastAsia="Arial" w:hAnsi="Arial"/>
                  <w:sz w:val="18"/>
                  <w:szCs w:val="18"/>
                  <w:color w:val="0000EE"/>
                  <w:w w:val="98"/>
                </w:rPr>
                <w:t>New Hire Inducement Stock Option Grant by and between</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w w:val="95"/>
              </w:rPr>
            </w:pPr>
            <w:hyperlink r:id="rId164">
              <w:r>
                <w:rPr>
                  <w:rFonts w:ascii="Arial" w:cs="Arial" w:eastAsia="Arial" w:hAnsi="Arial"/>
                  <w:sz w:val="18"/>
                  <w:szCs w:val="18"/>
                  <w:color w:val="0000EE"/>
                  <w:w w:val="95"/>
                </w:rPr>
                <w:t>the Registrant and Rick Russell, dated December 11, 2017.</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10.39†</w:t>
            </w:r>
          </w:p>
        </w:tc>
        <w:tc>
          <w:tcPr>
            <w:tcW w:w="42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New Hire Inducement Restricted Stock Unit Grant by and</w:t>
              </w:r>
            </w:hyperlink>
          </w:p>
        </w:tc>
        <w:tc>
          <w:tcPr>
            <w:tcW w:w="20" w:type="dxa"/>
            <w:vAlign w:val="bottom"/>
            <w:tcBorders>
              <w:top w:val="single" w:sz="8" w:color="0000EE"/>
            </w:tcBorders>
          </w:tcPr>
          <w:p>
            <w:pPr>
              <w:spacing w:after="0"/>
              <w:rPr>
                <w:sz w:val="24"/>
                <w:szCs w:val="24"/>
                <w:color w:val="auto"/>
              </w:rPr>
            </w:pPr>
          </w:p>
        </w:tc>
        <w:tc>
          <w:tcPr>
            <w:tcW w:w="320" w:type="dxa"/>
            <w:vAlign w:val="bottom"/>
            <w:gridSpan w:val="7"/>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between the Registrant and Rick Russell, dated December 11,</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65">
              <w:r>
                <w:rPr>
                  <w:rFonts w:ascii="Arial" w:cs="Arial" w:eastAsia="Arial" w:hAnsi="Arial"/>
                  <w:sz w:val="18"/>
                  <w:szCs w:val="18"/>
                  <w:color w:val="0000EE"/>
                  <w:w w:val="84"/>
                </w:rPr>
                <w:t>2017.</w:t>
              </w:r>
            </w:hyperlink>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14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List of Subsidiaries</w:t>
              </w:r>
            </w:hyperlink>
          </w:p>
        </w:tc>
        <w:tc>
          <w:tcPr>
            <w:tcW w:w="3160" w:type="dxa"/>
            <w:vAlign w:val="bottom"/>
            <w:gridSpan w:val="18"/>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560" w:type="dxa"/>
            <w:vAlign w:val="bottom"/>
            <w:gridSpan w:val="22"/>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Consent of Deloitte &amp; Touche, LLP, independent registered</w:t>
              </w:r>
            </w:hyperlink>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public accounting firm</w:t>
              </w:r>
            </w:hyperlink>
          </w:p>
        </w:tc>
        <w:tc>
          <w:tcPr>
            <w:tcW w:w="2640" w:type="dxa"/>
            <w:vAlign w:val="bottom"/>
            <w:tcBorders>
              <w:top w:val="single" w:sz="8" w:color="0000EE"/>
            </w:tcBorders>
            <w:gridSpan w:val="11"/>
          </w:tcPr>
          <w:p>
            <w:pPr>
              <w:spacing w:after="0"/>
              <w:rPr>
                <w:sz w:val="17"/>
                <w:szCs w:val="17"/>
                <w:color w:val="auto"/>
              </w:rPr>
            </w:pPr>
          </w:p>
        </w:tc>
        <w:tc>
          <w:tcPr>
            <w:tcW w:w="2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Power of Attorney (included on the Signature page of this</w:t>
              </w:r>
            </w:hyperlink>
          </w:p>
        </w:tc>
        <w:tc>
          <w:tcPr>
            <w:tcW w:w="38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Annual Report on Form 10-K)</w:t>
              </w:r>
            </w:hyperlink>
          </w:p>
        </w:tc>
        <w:tc>
          <w:tcPr>
            <w:tcW w:w="23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40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Chief Executive Officer (Principal Executive</w:t>
              </w:r>
            </w:hyperlink>
          </w:p>
        </w:tc>
        <w:tc>
          <w:tcPr>
            <w:tcW w:w="16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Officer) pursuant to Section 302 of Sarbanes-Oxley Act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1">
              <w:r>
                <w:rPr>
                  <w:rFonts w:ascii="Arial" w:cs="Arial" w:eastAsia="Arial" w:hAnsi="Arial"/>
                  <w:sz w:val="18"/>
                  <w:szCs w:val="18"/>
                  <w:color w:val="0000EE"/>
                  <w:w w:val="84"/>
                </w:rPr>
                <w:t>2002</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30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Certification of Chief Financial Officer (Principal Financial</w:t>
              </w:r>
            </w:hyperlink>
          </w:p>
        </w:tc>
        <w:tc>
          <w:tcPr>
            <w:tcW w:w="2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Officer) pursuant to Section 302 of Sarbanes-Oxley Act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2">
              <w:r>
                <w:rPr>
                  <w:rFonts w:ascii="Arial" w:cs="Arial" w:eastAsia="Arial" w:hAnsi="Arial"/>
                  <w:sz w:val="18"/>
                  <w:szCs w:val="18"/>
                  <w:color w:val="0000EE"/>
                  <w:w w:val="84"/>
                </w:rPr>
                <w:t>2002</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40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Certification of Chief Executive Officer (Principal Executive</w:t>
              </w:r>
            </w:hyperlink>
          </w:p>
        </w:tc>
        <w:tc>
          <w:tcPr>
            <w:tcW w:w="16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Officer) and Chief Financial Officer (Principal Financial</w:t>
              </w:r>
            </w:hyperlink>
          </w:p>
        </w:tc>
        <w:tc>
          <w:tcPr>
            <w:tcW w:w="48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2"/>
          </w:tcPr>
          <w:p>
            <w:pPr>
              <w:spacing w:after="0" w:line="196" w:lineRule="exact"/>
              <w:rPr>
                <w:rFonts w:ascii="Arial" w:cs="Arial" w:eastAsia="Arial" w:hAnsi="Arial"/>
                <w:sz w:val="18"/>
                <w:szCs w:val="18"/>
                <w:color w:val="0000EE"/>
                <w:w w:val="98"/>
              </w:rPr>
            </w:pPr>
            <w:hyperlink w:anchor="page103">
              <w:r>
                <w:rPr>
                  <w:rFonts w:ascii="Arial" w:cs="Arial" w:eastAsia="Arial" w:hAnsi="Arial"/>
                  <w:sz w:val="18"/>
                  <w:szCs w:val="18"/>
                  <w:color w:val="0000EE"/>
                  <w:w w:val="98"/>
                </w:rPr>
                <w:t>Officer) pursuant to Section 906 of Sarbanes-Oxley Act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3">
              <w:r>
                <w:rPr>
                  <w:rFonts w:ascii="Arial" w:cs="Arial" w:eastAsia="Arial" w:hAnsi="Arial"/>
                  <w:sz w:val="18"/>
                  <w:szCs w:val="18"/>
                  <w:color w:val="0000EE"/>
                  <w:w w:val="84"/>
                </w:rPr>
                <w:t>2002</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56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6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60" w:type="dxa"/>
            <w:vAlign w:val="bottom"/>
            <w:gridSpan w:val="22"/>
          </w:tcPr>
          <w:p>
            <w:pPr>
              <w:spacing w:after="0"/>
              <w:rPr>
                <w:sz w:val="20"/>
                <w:szCs w:val="20"/>
                <w:color w:val="auto"/>
              </w:rPr>
            </w:pPr>
            <w:r>
              <w:rPr>
                <w:rFonts w:ascii="Arial" w:cs="Arial" w:eastAsia="Arial" w:hAnsi="Arial"/>
                <w:sz w:val="18"/>
                <w:szCs w:val="18"/>
                <w:color w:val="auto"/>
                <w:w w:val="94"/>
              </w:rPr>
              <w:t>XBRL Taxonomy Extension Calculation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560" w:type="dxa"/>
            <w:vAlign w:val="bottom"/>
            <w:gridSpan w:val="22"/>
          </w:tcPr>
          <w:p>
            <w:pPr>
              <w:spacing w:after="0"/>
              <w:rPr>
                <w:sz w:val="20"/>
                <w:szCs w:val="20"/>
                <w:color w:val="auto"/>
              </w:rPr>
            </w:pPr>
            <w:r>
              <w:rPr>
                <w:rFonts w:ascii="Arial" w:cs="Arial" w:eastAsia="Arial" w:hAnsi="Arial"/>
                <w:sz w:val="18"/>
                <w:szCs w:val="18"/>
                <w:color w:val="auto"/>
                <w:w w:val="97"/>
              </w:rPr>
              <w:t>XBRL Taxonomy Extension Definition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6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6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Securities and Exchange Commission as to certain portions of this document.</w:t>
      </w:r>
    </w:p>
    <w:p>
      <w:pPr>
        <w:spacing w:after="0" w:line="117" w:lineRule="exact"/>
        <w:rPr>
          <w:sz w:val="20"/>
          <w:szCs w:val="20"/>
          <w:color w:val="auto"/>
        </w:rPr>
      </w:pPr>
    </w:p>
    <w:p>
      <w:pPr>
        <w:ind w:left="520" w:right="3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Remy Luthringer, Ph.D.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K</w:t>
      </w:r>
      <w:r>
        <w:rPr>
          <w:rFonts w:ascii="Arial" w:cs="Arial" w:eastAsia="Arial" w:hAnsi="Arial"/>
          <w:sz w:val="12"/>
          <w:szCs w:val="12"/>
          <w:b w:val="1"/>
          <w:bCs w:val="1"/>
          <w:color w:val="auto"/>
        </w:rPr>
        <w:t>NOW</w:t>
      </w:r>
      <w:r>
        <w:rPr>
          <w:rFonts w:ascii="Arial" w:cs="Arial" w:eastAsia="Arial" w:hAnsi="Arial"/>
          <w:sz w:val="17"/>
          <w:szCs w:val="17"/>
          <w:b w:val="1"/>
          <w:bCs w:val="1"/>
          <w:color w:val="auto"/>
        </w:rPr>
        <w:t xml:space="preserve"> A</w:t>
      </w:r>
      <w:r>
        <w:rPr>
          <w:rFonts w:ascii="Arial" w:cs="Arial" w:eastAsia="Arial" w:hAnsi="Arial"/>
          <w:sz w:val="12"/>
          <w:szCs w:val="12"/>
          <w:b w:val="1"/>
          <w:bCs w:val="1"/>
          <w:color w:val="auto"/>
        </w:rPr>
        <w:t>LL</w:t>
      </w:r>
      <w:r>
        <w:rPr>
          <w:rFonts w:ascii="Arial" w:cs="Arial" w:eastAsia="Arial" w:hAnsi="Arial"/>
          <w:sz w:val="17"/>
          <w:szCs w:val="17"/>
          <w:b w:val="1"/>
          <w:bCs w:val="1"/>
          <w:color w:val="auto"/>
        </w:rPr>
        <w:t xml:space="preserve"> P</w:t>
      </w:r>
      <w:r>
        <w:rPr>
          <w:rFonts w:ascii="Arial" w:cs="Arial" w:eastAsia="Arial" w:hAnsi="Arial"/>
          <w:sz w:val="12"/>
          <w:szCs w:val="12"/>
          <w:b w:val="1"/>
          <w:bCs w:val="1"/>
          <w:color w:val="auto"/>
        </w:rPr>
        <w:t>ERSONS</w:t>
      </w:r>
      <w:r>
        <w:rPr>
          <w:rFonts w:ascii="Arial" w:cs="Arial" w:eastAsia="Arial" w:hAnsi="Arial"/>
          <w:sz w:val="17"/>
          <w:szCs w:val="17"/>
          <w:b w:val="1"/>
          <w:bCs w:val="1"/>
          <w:color w:val="auto"/>
        </w:rPr>
        <w:t xml:space="preserve"> B</w:t>
      </w:r>
      <w:r>
        <w:rPr>
          <w:rFonts w:ascii="Arial" w:cs="Arial" w:eastAsia="Arial" w:hAnsi="Arial"/>
          <w:sz w:val="12"/>
          <w:szCs w:val="12"/>
          <w:b w:val="1"/>
          <w:bCs w:val="1"/>
          <w:color w:val="auto"/>
        </w:rPr>
        <w:t>Y</w:t>
      </w:r>
      <w:r>
        <w:rPr>
          <w:rFonts w:ascii="Arial" w:cs="Arial" w:eastAsia="Arial" w:hAnsi="Arial"/>
          <w:sz w:val="17"/>
          <w:szCs w:val="17"/>
          <w:b w:val="1"/>
          <w:bCs w:val="1"/>
          <w:color w:val="auto"/>
        </w:rPr>
        <w:t xml:space="preserve"> T</w:t>
      </w:r>
      <w:r>
        <w:rPr>
          <w:rFonts w:ascii="Arial" w:cs="Arial" w:eastAsia="Arial" w:hAnsi="Arial"/>
          <w:sz w:val="12"/>
          <w:szCs w:val="12"/>
          <w:b w:val="1"/>
          <w:bCs w:val="1"/>
          <w:color w:val="auto"/>
        </w:rPr>
        <w:t>HESE</w:t>
      </w:r>
      <w:r>
        <w:rPr>
          <w:rFonts w:ascii="Arial" w:cs="Arial" w:eastAsia="Arial" w:hAnsi="Arial"/>
          <w:sz w:val="17"/>
          <w:szCs w:val="17"/>
          <w:b w:val="1"/>
          <w:bCs w:val="1"/>
          <w:color w:val="auto"/>
        </w:rPr>
        <w:t xml:space="preserve"> P</w:t>
      </w:r>
      <w:r>
        <w:rPr>
          <w:rFonts w:ascii="Arial" w:cs="Arial" w:eastAsia="Arial" w:hAnsi="Arial"/>
          <w:sz w:val="12"/>
          <w:szCs w:val="12"/>
          <w:b w:val="1"/>
          <w:bCs w:val="1"/>
          <w:color w:val="auto"/>
        </w:rPr>
        <w:t>RESENTS</w:t>
      </w:r>
      <w:r>
        <w:rPr>
          <w:rFonts w:ascii="Arial" w:cs="Arial" w:eastAsia="Arial" w:hAnsi="Arial"/>
          <w:sz w:val="17"/>
          <w:szCs w:val="17"/>
          <w:color w:val="auto"/>
        </w:rPr>
        <w:t>, that each person whose signature appears below constitutes and appoints Remy Luthringer, Ph.D. and Geoffrey</w:t>
      </w:r>
      <w:r>
        <w:rPr>
          <w:rFonts w:ascii="Arial" w:cs="Arial" w:eastAsia="Arial" w:hAnsi="Arial"/>
          <w:sz w:val="17"/>
          <w:szCs w:val="17"/>
          <w:b w:val="1"/>
          <w:bCs w:val="1"/>
          <w:color w:val="auto"/>
        </w:rPr>
        <w:t xml:space="preserve"> </w:t>
      </w:r>
      <w:r>
        <w:rPr>
          <w:rFonts w:ascii="Arial" w:cs="Arial" w:eastAsia="Arial" w:hAnsi="Arial"/>
          <w:sz w:val="17"/>
          <w:szCs w:val="17"/>
          <w:color w:val="auto"/>
        </w:rPr>
        <w:t>Race,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jc w:val="center"/>
              <w:ind w:right="1193"/>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Title</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Chief Executive Officer and</w:t>
            </w:r>
          </w:p>
        </w:tc>
        <w:tc>
          <w:tcPr>
            <w:tcW w:w="240" w:type="dxa"/>
            <w:vAlign w:val="bottom"/>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Remy Luthringer, Ph.D.</w:t>
            </w:r>
          </w:p>
        </w:tc>
        <w:tc>
          <w:tcPr>
            <w:tcW w:w="240" w:type="dxa"/>
            <w:vAlign w:val="bottom"/>
          </w:tcPr>
          <w:p>
            <w:pPr>
              <w:spacing w:after="0"/>
              <w:rPr>
                <w:sz w:val="20"/>
                <w:szCs w:val="20"/>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Remy Luthringer, Ph.D.</w:t>
            </w:r>
          </w:p>
        </w:tc>
        <w:tc>
          <w:tcPr>
            <w:tcW w:w="240" w:type="dxa"/>
            <w:vAlign w:val="bottom"/>
          </w:tcPr>
          <w:p>
            <w:pPr>
              <w:spacing w:after="0"/>
              <w:rPr>
                <w:sz w:val="19"/>
                <w:szCs w:val="19"/>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w w:val="83"/>
              </w:rPr>
              <w:t>/s/</w:t>
            </w:r>
          </w:p>
        </w:tc>
        <w:tc>
          <w:tcPr>
            <w:tcW w:w="2240" w:type="dxa"/>
            <w:vAlign w:val="bottom"/>
            <w:tcBorders>
              <w:bottom w:val="single" w:sz="8" w:color="auto"/>
            </w:tcBorders>
          </w:tcPr>
          <w:p>
            <w:pPr>
              <w:jc w:val="center"/>
              <w:ind w:right="933"/>
              <w:spacing w:after="0"/>
              <w:rPr>
                <w:sz w:val="20"/>
                <w:szCs w:val="20"/>
                <w:color w:val="auto"/>
              </w:rPr>
            </w:pPr>
            <w:r>
              <w:rPr>
                <w:rFonts w:ascii="Arial" w:cs="Arial" w:eastAsia="Arial" w:hAnsi="Arial"/>
                <w:sz w:val="18"/>
                <w:szCs w:val="18"/>
                <w:color w:val="auto"/>
                <w:w w:val="91"/>
              </w:rPr>
              <w:t>Geoffrey Race</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2380" w:type="dxa"/>
            <w:vAlign w:val="bottom"/>
            <w:gridSpan w:val="2"/>
            <w:vMerge w:val="restart"/>
          </w:tcPr>
          <w:p>
            <w:pPr>
              <w:jc w:val="center"/>
              <w:ind w:right="1053"/>
              <w:spacing w:after="0"/>
              <w:rPr>
                <w:sz w:val="20"/>
                <w:szCs w:val="20"/>
                <w:color w:val="auto"/>
              </w:rPr>
            </w:pPr>
            <w:r>
              <w:rPr>
                <w:rFonts w:ascii="Arial" w:cs="Arial" w:eastAsia="Arial" w:hAnsi="Arial"/>
                <w:sz w:val="18"/>
                <w:szCs w:val="18"/>
                <w:color w:val="auto"/>
                <w:w w:val="89"/>
              </w:rPr>
              <w:t>Geoffrey Race</w:t>
            </w:r>
          </w:p>
        </w:tc>
        <w:tc>
          <w:tcPr>
            <w:tcW w:w="240" w:type="dxa"/>
            <w:vAlign w:val="bottom"/>
          </w:tcPr>
          <w:p>
            <w:pPr>
              <w:spacing w:after="0"/>
              <w:rPr>
                <w:sz w:val="7"/>
                <w:szCs w:val="7"/>
                <w:color w:val="auto"/>
              </w:rPr>
            </w:pPr>
          </w:p>
        </w:tc>
        <w:tc>
          <w:tcPr>
            <w:tcW w:w="4240" w:type="dxa"/>
            <w:vAlign w:val="bottom"/>
            <w:gridSpan w:val="2"/>
            <w:vMerge w:val="restart"/>
          </w:tcPr>
          <w:p>
            <w:pPr>
              <w:jc w:val="center"/>
              <w:ind w:right="220"/>
              <w:spacing w:after="0"/>
              <w:rPr>
                <w:sz w:val="20"/>
                <w:szCs w:val="20"/>
                <w:color w:val="auto"/>
              </w:rPr>
            </w:pPr>
            <w:r>
              <w:rPr>
                <w:rFonts w:ascii="Arial" w:cs="Arial" w:eastAsia="Arial" w:hAnsi="Arial"/>
                <w:sz w:val="18"/>
                <w:szCs w:val="18"/>
                <w:i w:val="1"/>
                <w:iCs w:val="1"/>
                <w:color w:val="auto"/>
                <w:w w:val="97"/>
              </w:rPr>
              <w:t>(Principal Financial Officer)</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240" w:type="dxa"/>
            <w:vAlign w:val="bottom"/>
            <w:gridSpan w:val="2"/>
            <w:vMerge w:val="continue"/>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4"/>
              </w:rPr>
              <w:t>/s/</w:t>
            </w:r>
          </w:p>
        </w:tc>
        <w:tc>
          <w:tcPr>
            <w:tcW w:w="2380" w:type="dxa"/>
            <w:vAlign w:val="bottom"/>
            <w:tcBorders>
              <w:bottom w:val="single" w:sz="8" w:color="auto"/>
            </w:tcBorders>
            <w:gridSpan w:val="2"/>
          </w:tcPr>
          <w:p>
            <w:pPr>
              <w:jc w:val="center"/>
              <w:ind w:right="793"/>
              <w:spacing w:after="0"/>
              <w:rPr>
                <w:sz w:val="20"/>
                <w:szCs w:val="20"/>
                <w:color w:val="auto"/>
              </w:rPr>
            </w:pPr>
            <w:r>
              <w:rPr>
                <w:rFonts w:ascii="Arial" w:cs="Arial" w:eastAsia="Arial" w:hAnsi="Arial"/>
                <w:sz w:val="18"/>
                <w:szCs w:val="18"/>
                <w:color w:val="auto"/>
                <w:w w:val="95"/>
              </w:rPr>
              <w:t>Frederick Ahlholm</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Chief Accounting Officer</w:t>
            </w: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88"/>
        </w:trPr>
        <w:tc>
          <w:tcPr>
            <w:tcW w:w="3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Frederick Ahlholm</w:t>
            </w:r>
          </w:p>
        </w:tc>
        <w:tc>
          <w:tcPr>
            <w:tcW w:w="240" w:type="dxa"/>
            <w:vAlign w:val="bottom"/>
          </w:tcPr>
          <w:p>
            <w:pPr>
              <w:spacing w:after="0"/>
              <w:rPr>
                <w:sz w:val="7"/>
                <w:szCs w:val="7"/>
                <w:color w:val="auto"/>
              </w:rPr>
            </w:pPr>
          </w:p>
        </w:tc>
        <w:tc>
          <w:tcPr>
            <w:tcW w:w="4240" w:type="dxa"/>
            <w:vAlign w:val="bottom"/>
            <w:gridSpan w:val="2"/>
            <w:vMerge w:val="restart"/>
          </w:tcPr>
          <w:p>
            <w:pPr>
              <w:jc w:val="center"/>
              <w:ind w:right="220"/>
              <w:spacing w:after="0"/>
              <w:rPr>
                <w:sz w:val="20"/>
                <w:szCs w:val="20"/>
                <w:color w:val="auto"/>
              </w:rPr>
            </w:pPr>
            <w:r>
              <w:rPr>
                <w:rFonts w:ascii="Arial" w:cs="Arial" w:eastAsia="Arial" w:hAnsi="Arial"/>
                <w:sz w:val="18"/>
                <w:szCs w:val="18"/>
                <w:i w:val="1"/>
                <w:iCs w:val="1"/>
                <w:color w:val="auto"/>
                <w:w w:val="95"/>
              </w:rPr>
              <w:t>(Principal Accounting Officer)</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4240" w:type="dxa"/>
            <w:vAlign w:val="bottom"/>
            <w:gridSpan w:val="2"/>
            <w:vMerge w:val="continue"/>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3"/>
              </w:rPr>
              <w:t>/s/</w:t>
            </w: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853"/>
              <w:spacing w:after="0"/>
              <w:rPr>
                <w:sz w:val="20"/>
                <w:szCs w:val="20"/>
                <w:color w:val="auto"/>
              </w:rPr>
            </w:pPr>
            <w:r>
              <w:rPr>
                <w:rFonts w:ascii="Arial" w:cs="Arial" w:eastAsia="Arial" w:hAnsi="Arial"/>
                <w:sz w:val="18"/>
                <w:szCs w:val="18"/>
                <w:color w:val="auto"/>
                <w:w w:val="96"/>
              </w:rPr>
              <w:t>William F. Doyle</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Member of the Board of Directors</w:t>
            </w: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2380" w:type="dxa"/>
            <w:vAlign w:val="bottom"/>
            <w:gridSpan w:val="2"/>
            <w:vMerge w:val="restart"/>
          </w:tcPr>
          <w:p>
            <w:pPr>
              <w:jc w:val="center"/>
              <w:ind w:right="1053"/>
              <w:spacing w:after="0"/>
              <w:rPr>
                <w:sz w:val="20"/>
                <w:szCs w:val="20"/>
                <w:color w:val="auto"/>
              </w:rPr>
            </w:pPr>
            <w:r>
              <w:rPr>
                <w:rFonts w:ascii="Arial" w:cs="Arial" w:eastAsia="Arial" w:hAnsi="Arial"/>
                <w:sz w:val="18"/>
                <w:szCs w:val="18"/>
                <w:color w:val="auto"/>
                <w:w w:val="95"/>
              </w:rPr>
              <w:t>William F. Doyle</w:t>
            </w:r>
          </w:p>
        </w:tc>
        <w:tc>
          <w:tcPr>
            <w:tcW w:w="240" w:type="dxa"/>
            <w:vAlign w:val="bottom"/>
          </w:tcPr>
          <w:p>
            <w:pPr>
              <w:spacing w:after="0"/>
              <w:rPr>
                <w:sz w:val="7"/>
                <w:szCs w:val="7"/>
                <w:color w:val="auto"/>
              </w:rPr>
            </w:pPr>
          </w:p>
        </w:tc>
        <w:tc>
          <w:tcPr>
            <w:tcW w:w="4240" w:type="dxa"/>
            <w:vAlign w:val="bottom"/>
            <w:gridSpan w:val="2"/>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4"/>
              </w:rPr>
              <w:t>/s/</w:t>
            </w: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853"/>
              <w:spacing w:after="0"/>
              <w:rPr>
                <w:sz w:val="20"/>
                <w:szCs w:val="20"/>
                <w:color w:val="auto"/>
              </w:rPr>
            </w:pPr>
            <w:r>
              <w:rPr>
                <w:rFonts w:ascii="Arial" w:cs="Arial" w:eastAsia="Arial" w:hAnsi="Arial"/>
                <w:sz w:val="18"/>
                <w:szCs w:val="18"/>
                <w:color w:val="auto"/>
                <w:w w:val="88"/>
              </w:rPr>
              <w:t>Hans Peter Hasler</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Member of the Board of Directors</w:t>
            </w: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88"/>
        </w:trPr>
        <w:tc>
          <w:tcPr>
            <w:tcW w:w="3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Hans Peter Hasler</w:t>
            </w:r>
          </w:p>
        </w:tc>
        <w:tc>
          <w:tcPr>
            <w:tcW w:w="240" w:type="dxa"/>
            <w:vAlign w:val="bottom"/>
          </w:tcPr>
          <w:p>
            <w:pPr>
              <w:spacing w:after="0"/>
              <w:rPr>
                <w:sz w:val="7"/>
                <w:szCs w:val="7"/>
                <w:color w:val="auto"/>
              </w:rPr>
            </w:pPr>
          </w:p>
        </w:tc>
        <w:tc>
          <w:tcPr>
            <w:tcW w:w="4240" w:type="dxa"/>
            <w:vAlign w:val="bottom"/>
            <w:gridSpan w:val="2"/>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gridSpan w:val="2"/>
          </w:tcPr>
          <w:p>
            <w:pPr>
              <w:jc w:val="center"/>
              <w:ind w:right="713"/>
              <w:spacing w:after="0"/>
              <w:rPr>
                <w:sz w:val="20"/>
                <w:szCs w:val="20"/>
                <w:color w:val="auto"/>
              </w:rPr>
            </w:pPr>
            <w:r>
              <w:rPr>
                <w:rFonts w:ascii="Arial" w:cs="Arial" w:eastAsia="Arial" w:hAnsi="Arial"/>
                <w:sz w:val="18"/>
                <w:szCs w:val="18"/>
                <w:color w:val="auto"/>
                <w:w w:val="97"/>
              </w:rPr>
              <w:t>David Kupfer, MD</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Member of the Board of Directors</w:t>
            </w: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5"/>
              </w:rPr>
              <w:t>David Kupfer, MD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Fouzia Laghrissi-Thode, MD</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Member of the Board of Directors</w:t>
            </w: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Fouzia Laghrissi-Thode, MD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w w:val="83"/>
              </w:rPr>
              <w:t>/s/</w:t>
            </w:r>
          </w:p>
        </w:tc>
        <w:tc>
          <w:tcPr>
            <w:tcW w:w="2240" w:type="dxa"/>
            <w:vAlign w:val="bottom"/>
            <w:tcBorders>
              <w:bottom w:val="single" w:sz="8" w:color="auto"/>
            </w:tcBorders>
          </w:tcPr>
          <w:p>
            <w:pPr>
              <w:jc w:val="center"/>
              <w:ind w:right="853"/>
              <w:spacing w:after="0"/>
              <w:rPr>
                <w:sz w:val="20"/>
                <w:szCs w:val="20"/>
                <w:color w:val="auto"/>
              </w:rPr>
            </w:pPr>
            <w:r>
              <w:rPr>
                <w:rFonts w:ascii="Arial" w:cs="Arial" w:eastAsia="Arial" w:hAnsi="Arial"/>
                <w:sz w:val="18"/>
                <w:szCs w:val="18"/>
                <w:color w:val="auto"/>
                <w:w w:val="89"/>
              </w:rPr>
              <w:t>Jan van Heek</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Member of the Board of Directors</w:t>
            </w: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40" w:type="dxa"/>
            <w:vAlign w:val="bottom"/>
            <w:vMerge w:val="restart"/>
          </w:tcPr>
          <w:p>
            <w:pPr>
              <w:jc w:val="center"/>
              <w:ind w:right="1193"/>
              <w:spacing w:after="0"/>
              <w:rPr>
                <w:sz w:val="20"/>
                <w:szCs w:val="20"/>
                <w:color w:val="auto"/>
              </w:rPr>
            </w:pPr>
            <w:r>
              <w:rPr>
                <w:rFonts w:ascii="Arial" w:cs="Arial" w:eastAsia="Arial" w:hAnsi="Arial"/>
                <w:sz w:val="18"/>
                <w:szCs w:val="18"/>
                <w:color w:val="auto"/>
                <w:w w:val="87"/>
              </w:rPr>
              <w:t>Jan van Heek</w:t>
            </w:r>
          </w:p>
        </w:tc>
        <w:tc>
          <w:tcPr>
            <w:tcW w:w="240" w:type="dxa"/>
            <w:vAlign w:val="bottom"/>
          </w:tcPr>
          <w:p>
            <w:pPr>
              <w:spacing w:after="0"/>
              <w:rPr>
                <w:sz w:val="7"/>
                <w:szCs w:val="7"/>
                <w:color w:val="auto"/>
              </w:rPr>
            </w:pPr>
          </w:p>
        </w:tc>
        <w:tc>
          <w:tcPr>
            <w:tcW w:w="4240" w:type="dxa"/>
            <w:vAlign w:val="bottom"/>
            <w:gridSpan w:val="2"/>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7"/>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40" w:type="dxa"/>
            <w:vAlign w:val="bottom"/>
            <w:gridSpan w:val="2"/>
          </w:tcPr>
          <w:p>
            <w:pPr>
              <w:jc w:val="right"/>
              <w:ind w:right="1891"/>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72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Subsidiaries of Minerva Neurosciences, Inc.</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tcPr>
          <w:p>
            <w:pPr>
              <w:ind w:left="1160"/>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Mind-NRG Sarl</w:t>
            </w:r>
          </w:p>
        </w:tc>
        <w:tc>
          <w:tcPr>
            <w:tcW w:w="202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Switzerland</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w w:val="99"/>
              </w:rPr>
              <w:t>Minerva Neurosciences Securities Corporation</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Nos. 333-205764 and 333-203737 on Form S-3 and Nos. 333-222368, 333-216637, 333-210147, 333-203738, and 333-198753 on Form S-8 of our report dated March 12, 2018, relating to the consolidated financial statements of Minerva Neurosciences, Inc. and subsidiaries appearing in this Annual Report on Form 10-K of Minerva Neurosciences, Inc. for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ectPr>
          <w:pgSz w:w="11900" w:h="16838" w:orient="portrait"/>
          <w:cols w:equalWidth="0" w:num="1">
            <w:col w:w="11420"/>
          </w:cols>
          <w:pgMar w:left="240" w:top="33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w:t>
      </w:r>
    </w:p>
    <w:p>
      <w:pPr>
        <w:spacing w:after="0" w:line="34" w:lineRule="exact"/>
        <w:rPr>
          <w:rFonts w:ascii="Arial" w:cs="Arial" w:eastAsia="Arial" w:hAnsi="Arial"/>
          <w:sz w:val="17"/>
          <w:szCs w:val="17"/>
          <w:color w:val="auto"/>
        </w:rPr>
      </w:pPr>
    </w:p>
    <w:p>
      <w:pPr>
        <w:ind w:left="1040" w:right="160"/>
        <w:spacing w:after="0" w:line="261" w:lineRule="auto"/>
        <w:rPr>
          <w:rFonts w:ascii="Arial" w:cs="Arial" w:eastAsia="Arial" w:hAnsi="Arial"/>
          <w:sz w:val="17"/>
          <w:szCs w:val="17"/>
          <w:color w:val="auto"/>
        </w:rPr>
      </w:pPr>
      <w:r>
        <w:rPr>
          <w:rFonts w:ascii="Arial" w:cs="Arial" w:eastAsia="Arial" w:hAnsi="Arial"/>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jc w:val="both"/>
        <w:ind w:left="1040" w:right="660" w:hanging="519"/>
        <w:spacing w:after="0" w:line="342" w:lineRule="auto"/>
        <w:tabs>
          <w:tab w:leader="none" w:pos="1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w:t>
      </w:r>
    </w:p>
    <w:p>
      <w:pPr>
        <w:spacing w:after="0" w:line="34" w:lineRule="exact"/>
        <w:rPr>
          <w:rFonts w:ascii="Arial" w:cs="Arial" w:eastAsia="Arial" w:hAnsi="Arial"/>
          <w:sz w:val="17"/>
          <w:szCs w:val="17"/>
          <w:color w:val="auto"/>
        </w:rPr>
      </w:pPr>
    </w:p>
    <w:p>
      <w:pPr>
        <w:ind w:left="1040" w:right="160"/>
        <w:spacing w:after="0" w:line="261" w:lineRule="auto"/>
        <w:rPr>
          <w:rFonts w:ascii="Arial" w:cs="Arial" w:eastAsia="Arial" w:hAnsi="Arial"/>
          <w:sz w:val="17"/>
          <w:szCs w:val="17"/>
          <w:color w:val="auto"/>
        </w:rPr>
      </w:pPr>
      <w:r>
        <w:rPr>
          <w:rFonts w:ascii="Arial" w:cs="Arial" w:eastAsia="Arial" w:hAnsi="Arial"/>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jc w:val="both"/>
        <w:ind w:left="1040" w:right="66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102" w:name="page103"/>
    <w:bookmarkEnd w:id="10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CERTIFICATIONS PURSUANT TO 18 U.S.C. SECTION 1350 AS ADOPTED PURSUANT TO SECTION 906 OF THE SARBANES 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Remy Luthringer</w:t>
      </w:r>
      <w:r>
        <w:rPr>
          <w:rFonts w:ascii="Arial" w:cs="Arial" w:eastAsia="Arial" w:hAnsi="Arial"/>
          <w:sz w:val="17"/>
          <w:szCs w:val="17"/>
          <w:b w:val="1"/>
          <w:bCs w:val="1"/>
          <w:color w:val="auto"/>
        </w:rPr>
        <w:t>,</w:t>
      </w:r>
      <w:r>
        <w:rPr>
          <w:rFonts w:ascii="Arial" w:cs="Arial" w:eastAsia="Arial" w:hAnsi="Arial"/>
          <w:sz w:val="17"/>
          <w:szCs w:val="17"/>
          <w:color w:val="auto"/>
        </w:rPr>
        <w:t xml:space="preserve"> Chief Executive Officer of Minerva Neurosciences, Inc. (the “Company”), and Geoff Race, Chief Financial Officer of the Company, each hereby certifies that, to the best of his knowledge:</w:t>
      </w:r>
    </w:p>
    <w:p>
      <w:pPr>
        <w:spacing w:after="0" w:line="57" w:lineRule="exact"/>
        <w:rPr>
          <w:sz w:val="20"/>
          <w:szCs w:val="20"/>
          <w:color w:val="auto"/>
        </w:rPr>
      </w:pPr>
    </w:p>
    <w:p>
      <w:pPr>
        <w:ind w:left="520" w:hanging="512"/>
        <w:spacing w:after="0" w:line="277" w:lineRule="auto"/>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2017,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20" w:hanging="512"/>
        <w:spacing w:after="0" w:line="277" w:lineRule="auto"/>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Date: March 12, 2018</w:t>
            </w:r>
          </w:p>
        </w:tc>
        <w:tc>
          <w:tcPr>
            <w:tcW w:w="51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26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/s/ Remy Luthringer, Ph.D.</w:t>
            </w: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/s/ Geoffrey Race</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Remy Luthringer, Ph.D.</w:t>
            </w:r>
          </w:p>
        </w:tc>
        <w:tc>
          <w:tcPr>
            <w:tcW w:w="1120" w:type="dxa"/>
            <w:vAlign w:val="bottom"/>
          </w:tcPr>
          <w:p>
            <w:pPr>
              <w:spacing w:after="0"/>
              <w:rPr>
                <w:sz w:val="16"/>
                <w:szCs w:val="16"/>
                <w:color w:val="auto"/>
              </w:rPr>
            </w:pPr>
          </w:p>
        </w:tc>
        <w:tc>
          <w:tcPr>
            <w:tcW w:w="5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Geoffrey Race</w:t>
            </w:r>
          </w:p>
        </w:tc>
      </w:tr>
      <w:tr>
        <w:trPr>
          <w:trHeight w:val="216"/>
        </w:trPr>
        <w:tc>
          <w:tcPr>
            <w:tcW w:w="20" w:type="dxa"/>
            <w:vAlign w:val="bottom"/>
          </w:tcPr>
          <w:p>
            <w:pPr>
              <w:spacing w:after="0"/>
              <w:rPr>
                <w:sz w:val="18"/>
                <w:szCs w:val="18"/>
                <w:color w:val="auto"/>
              </w:rPr>
            </w:pPr>
          </w:p>
        </w:tc>
        <w:tc>
          <w:tcPr>
            <w:tcW w:w="6260" w:type="dxa"/>
            <w:vAlign w:val="bottom"/>
            <w:gridSpan w:val="2"/>
          </w:tcPr>
          <w:p>
            <w:pPr>
              <w:jc w:val="center"/>
              <w:ind w:right="1140"/>
              <w:spacing w:after="0"/>
              <w:rPr>
                <w:sz w:val="20"/>
                <w:szCs w:val="20"/>
                <w:color w:val="auto"/>
              </w:rPr>
            </w:pPr>
            <w:r>
              <w:rPr>
                <w:rFonts w:ascii="Arial" w:cs="Arial" w:eastAsia="Arial" w:hAnsi="Arial"/>
                <w:sz w:val="18"/>
                <w:szCs w:val="18"/>
                <w:color w:val="auto"/>
                <w:w w:val="93"/>
              </w:rPr>
              <w:t>Chief Executive Officer and</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20" w:type="dxa"/>
            <w:vAlign w:val="bottom"/>
          </w:tcPr>
          <w:p>
            <w:pPr>
              <w:spacing w:after="0"/>
              <w:rPr>
                <w:sz w:val="20"/>
                <w:szCs w:val="20"/>
                <w:color w:val="auto"/>
              </w:rPr>
            </w:pPr>
          </w:p>
        </w:tc>
        <w:tc>
          <w:tcPr>
            <w:tcW w:w="626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Chairman of the Board of Directors</w:t>
            </w:r>
          </w:p>
        </w:tc>
        <w:tc>
          <w:tcPr>
            <w:tcW w:w="51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Letter"/>
      <w:start w:val="1"/>
    </w:lvl>
    <w:lvl w:ilvl="1">
      <w:lvlJc w:val="left"/>
      <w:lvlText w:val="(%2)"/>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60"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15" Type="http://schemas.openxmlformats.org/officeDocument/2006/relationships/hyperlink" Target="http://www.sec.gov/Archives/edgar/data/0001598646/000104746914003612/a2219290zex-10_11.htm" TargetMode="External"/><Relationship Id="rId116" Type="http://schemas.openxmlformats.org/officeDocument/2006/relationships/hyperlink" Target="http://www.sec.gov/Archives/edgar/data/0001598646/000104746914005459/a2219972zex-3_3.htm" TargetMode="External"/><Relationship Id="rId117" Type="http://schemas.openxmlformats.org/officeDocument/2006/relationships/hyperlink" Target="http://www.sec.gov/Archives/edgar/data/0001598646/000104746914005459/a2219972zex-3_1.htm" TargetMode="External"/><Relationship Id="rId118" Type="http://schemas.openxmlformats.org/officeDocument/2006/relationships/hyperlink" Target="http://www.sec.gov/Archives/edgar/data/0001598646/000104746914005459/a2219972zex-3_2.htm" TargetMode="External"/><Relationship Id="rId119" Type="http://schemas.openxmlformats.org/officeDocument/2006/relationships/hyperlink" Target="http://www.sec.gov/Archives/edgar/data/0001598646/000104746914005459/a2219972zex-4_1.htm" TargetMode="External"/><Relationship Id="rId120" Type="http://schemas.openxmlformats.org/officeDocument/2006/relationships/hyperlink" Target="http://www.sec.gov/Archives/edgar/data/0001598646/000104746914005459/a2219972zex-4_2.htm" TargetMode="External"/><Relationship Id="rId121" Type="http://schemas.openxmlformats.org/officeDocument/2006/relationships/hyperlink" Target="http://www.sec.gov/Archives/edgar/data/0001598646/000104746914005459/a2219972zex-4_3.htm" TargetMode="External"/><Relationship Id="rId122" Type="http://schemas.openxmlformats.org/officeDocument/2006/relationships/hyperlink" Target="http://www.sec.gov/Archives/edgar/data/0001598646/000104746914003612/a2219290zex-10_13.htm" TargetMode="External"/><Relationship Id="rId123" Type="http://schemas.openxmlformats.org/officeDocument/2006/relationships/hyperlink" Target="http://www.sec.gov/Archives/edgar/data/0001598646/000104746914003612/a2219290zex-10_14.htm" TargetMode="External"/><Relationship Id="rId124" Type="http://schemas.openxmlformats.org/officeDocument/2006/relationships/hyperlink" Target="http://www.sec.gov/Archives/edgar/data/0001598646/000104746914005459/a2219972zex-10_26.htm" TargetMode="External"/><Relationship Id="rId127" Type="http://schemas.openxmlformats.org/officeDocument/2006/relationships/hyperlink" Target="http://www.sec.gov/Archives/edgar/data/0001598646/000104746914005459/a2219972zex-10_27.htm" TargetMode="External"/><Relationship Id="rId128" Type="http://schemas.openxmlformats.org/officeDocument/2006/relationships/hyperlink" Target="http://www.sec.gov/Archives/edgar/data/0001598646/000104746914003612/a2219290zex-10_19.htm" TargetMode="External"/><Relationship Id="rId129" Type="http://schemas.openxmlformats.org/officeDocument/2006/relationships/hyperlink" Target="http://www.sec.gov/Archives/edgar/data/0001598646/000104746914003612/a2219290zex-10_20.htm" TargetMode="External"/><Relationship Id="rId130" Type="http://schemas.openxmlformats.org/officeDocument/2006/relationships/hyperlink" Target="http://www.sec.gov/Archives/edgar/data/0001598646/000104746914003612/a2219290zex-10_22.htm" TargetMode="External"/><Relationship Id="rId131" Type="http://schemas.openxmlformats.org/officeDocument/2006/relationships/hyperlink" Target="http://www.sec.gov/Archives/edgar/data/0001598646/000104746914003612/a2219290zex-10_23.htm" TargetMode="External"/><Relationship Id="rId132" Type="http://schemas.openxmlformats.org/officeDocument/2006/relationships/hyperlink" Target="http://www.sec.gov/Archives/edgar/data/0001598646/000104746914005459/a2219972zex-10_1.htm" TargetMode="External"/><Relationship Id="rId133" Type="http://schemas.openxmlformats.org/officeDocument/2006/relationships/hyperlink" Target="http://www.sec.gov/Archives/edgar/data/0001598646/000104746914005459/a2219972zex-10_2.htm" TargetMode="External"/><Relationship Id="rId134" Type="http://schemas.openxmlformats.org/officeDocument/2006/relationships/hyperlink" Target="http://www.sec.gov/Archives/edgar/data/0001598646/000104746914005459/a2219972zex-10_3.htm" TargetMode="External"/><Relationship Id="rId135" Type="http://schemas.openxmlformats.org/officeDocument/2006/relationships/hyperlink" Target="http://www.sec.gov/Archives/edgar/data/0001598646/000104746914005459/a2219972zex-10_4.htm" TargetMode="External"/><Relationship Id="rId136" Type="http://schemas.openxmlformats.org/officeDocument/2006/relationships/hyperlink" Target="http://www.sec.gov/Archives/edgar/data/0001598646/000104746914005459/a2219972zex-10_5.htm" TargetMode="External"/><Relationship Id="rId137" Type="http://schemas.openxmlformats.org/officeDocument/2006/relationships/hyperlink" Target="http://www.sec.gov/Archives/edgar/data/0001598646/000104746914005459/a2219972zex-10_6.htm" TargetMode="External"/><Relationship Id="rId138" Type="http://schemas.openxmlformats.org/officeDocument/2006/relationships/hyperlink" Target="http://www.sec.gov/Archives/edgar/data/0001598646/000104746914005459/a2219972zex-10_7.htm" TargetMode="External"/><Relationship Id="rId139" Type="http://schemas.openxmlformats.org/officeDocument/2006/relationships/hyperlink" Target="http://www.sec.gov/Archives/edgar/data/0001598646/000104746914005459/a2219972zex-10_9.htm" TargetMode="External"/><Relationship Id="rId140" Type="http://schemas.openxmlformats.org/officeDocument/2006/relationships/hyperlink" Target="http://www.sec.gov/Archives/edgar/data/0001598646/000104746914005459/a2219972zex-10_24.htm" TargetMode="External"/><Relationship Id="rId141" Type="http://schemas.openxmlformats.org/officeDocument/2006/relationships/hyperlink" Target="http://www.sec.gov/Archives/edgar/data/0001598646/000119312515014828/d853928dex101.htm" TargetMode="External"/><Relationship Id="rId144" Type="http://schemas.openxmlformats.org/officeDocument/2006/relationships/hyperlink" Target="http://www.sec.gov/Archives/edgar/data/0001598646/000119312515096955/d890084dex101.htm" TargetMode="External"/><Relationship Id="rId145" Type="http://schemas.openxmlformats.org/officeDocument/2006/relationships/hyperlink" Target="http://www.sec.gov/Archives/edgar/data/0001598646/000119312515096955/d890084dex103.htm" TargetMode="External"/><Relationship Id="rId146" Type="http://schemas.openxmlformats.org/officeDocument/2006/relationships/hyperlink" Target="http://www.sec.gov/Archives/edgar/data/0001598646/000156459015003491/nerv-ex105_20150331184.htm" TargetMode="External"/><Relationship Id="rId147" Type="http://schemas.openxmlformats.org/officeDocument/2006/relationships/hyperlink" Target="http://www.sec.gov/Archives/edgar/data/0001598646/000119312515226674/d944002dex101.htm" TargetMode="External"/><Relationship Id="rId148" Type="http://schemas.openxmlformats.org/officeDocument/2006/relationships/hyperlink" Target="http://www.sec.gov/Archives/edgar/data/0001598646/000119312515305542/d20299dex101.htm" TargetMode="External"/><Relationship Id="rId149" Type="http://schemas.openxmlformats.org/officeDocument/2006/relationships/hyperlink" Target="http://www.sec.gov/Archives/edgar/data/0001598646/000156459015009483/nerv-ex102_99.htm" TargetMode="External"/><Relationship Id="rId150" Type="http://schemas.openxmlformats.org/officeDocument/2006/relationships/hyperlink" Target="http://www.sec.gov/Archives/edgar/data/0001598646/000119312516476859/d119464dex101.htm" TargetMode="External"/><Relationship Id="rId151" Type="http://schemas.openxmlformats.org/officeDocument/2006/relationships/hyperlink" Target="http://www.sec.gov/Archives/edgar/data/0001598646/000119312516509484/d137820dex101.htm" TargetMode="External"/><Relationship Id="rId152" Type="http://schemas.openxmlformats.org/officeDocument/2006/relationships/hyperlink" Target="http://www.sec.gov/Archives/edgar/data/0001598646/000156459016022499/nerv-ex101_183.htm" TargetMode="External"/><Relationship Id="rId153" Type="http://schemas.openxmlformats.org/officeDocument/2006/relationships/hyperlink" Target="http://www.sec.gov/Archives/edgar/data/0001598646/000156459016022499/nerv-ex102_182.htm" TargetMode="External"/><Relationship Id="rId154" Type="http://schemas.openxmlformats.org/officeDocument/2006/relationships/hyperlink" Target="http://www.sec.gov/Archives/edgar/data/0001598646/000156459016022499/nerv-ex103_181.htm" TargetMode="External"/><Relationship Id="rId155" Type="http://schemas.openxmlformats.org/officeDocument/2006/relationships/hyperlink" Target="http://www.sec.gov/Archives/edgar/data/0001598646/000156459016022499/nerv-ex104_179.htm" TargetMode="External"/><Relationship Id="rId156" Type="http://schemas.openxmlformats.org/officeDocument/2006/relationships/hyperlink" Target="http://www.sec.gov/Archives/edgar/data/0001598646/000156459016022499/nerv-ex105_180.htm" TargetMode="External"/><Relationship Id="rId157" Type="http://schemas.openxmlformats.org/officeDocument/2006/relationships/hyperlink" Target="http://www.sec.gov/Archives/edgar/data/0001598646/000119312516795845/d306566dex1001.htm" TargetMode="External"/><Relationship Id="rId158" Type="http://schemas.openxmlformats.org/officeDocument/2006/relationships/hyperlink" Target="http://www.sec.gov/Archives/edgar/data/0001598646/000156459017004048/nerv-ex1036_286.htm" TargetMode="External"/><Relationship Id="rId159" Type="http://schemas.openxmlformats.org/officeDocument/2006/relationships/hyperlink" Target="http://www.sec.gov/Archives/edgar/data/1598646/000119312517305938/d341528dex101.htm" TargetMode="External"/><Relationship Id="rId161" Type="http://schemas.openxmlformats.org/officeDocument/2006/relationships/hyperlink" Target="http://www.sec.gov/Archives/edgar/data/1598646/000119312517203538/d413527dex101.htm" TargetMode="External"/><Relationship Id="rId162" Type="http://schemas.openxmlformats.org/officeDocument/2006/relationships/hyperlink" Target="http://www.sec.gov/Archives/edgar/data/1598646/000119312517203538/d413527dex102.htm" TargetMode="External"/><Relationship Id="rId163" Type="http://schemas.openxmlformats.org/officeDocument/2006/relationships/hyperlink" Target="http://www.sec.gov/Archives/edgar/data/1598646/000119312517366344/d508860dex101.htm" TargetMode="External"/><Relationship Id="rId164" Type="http://schemas.openxmlformats.org/officeDocument/2006/relationships/hyperlink" Target="http://www.sec.gov/Archives/edgar/data/1598646/000119312517366344/d508860dex102.htm" TargetMode="External"/><Relationship Id="rId165" Type="http://schemas.openxmlformats.org/officeDocument/2006/relationships/hyperlink" Target="http://www.sec.gov/Archives/edgar/data/1598646/000119312517366344/d50886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2019-12-29T00:12:22Z</dcterms:created>
  <dcterms:modified xsi:type="dcterms:W3CDTF">2019-12-29T00:12:22Z</dcterms:modified>
</cp:coreProperties>
</file>