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81280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89"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118110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0" w:lineRule="exact"/>
        <w:rPr>
          <w:sz w:val="24"/>
          <w:szCs w:val="24"/>
          <w:color w:val="auto"/>
        </w:rPr>
      </w:pPr>
    </w:p>
    <w:p>
      <w:pPr>
        <w:ind w:left="500" w:right="100" w:hanging="492"/>
        <w:spacing w:after="0" w:line="256" w:lineRule="auto"/>
        <w:tabs>
          <w:tab w:leader="none" w:pos="5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quarterly period ended June 30, 2020</w:t>
      </w:r>
    </w:p>
    <w:p>
      <w:pPr>
        <w:spacing w:after="0" w:line="11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OR</w:t>
      </w:r>
    </w:p>
    <w:p>
      <w:pPr>
        <w:spacing w:after="0" w:line="108" w:lineRule="exact"/>
        <w:rPr>
          <w:sz w:val="24"/>
          <w:szCs w:val="24"/>
          <w:color w:val="auto"/>
        </w:rPr>
      </w:pPr>
    </w:p>
    <w:p>
      <w:pPr>
        <w:ind w:left="500" w:right="80" w:hanging="492"/>
        <w:spacing w:after="0" w:line="256" w:lineRule="auto"/>
        <w:tabs>
          <w:tab w:leader="none" w:pos="50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3" w:lineRule="exact"/>
        <w:rPr>
          <w:sz w:val="24"/>
          <w:szCs w:val="24"/>
          <w:color w:val="auto"/>
        </w:rPr>
      </w:pPr>
    </w:p>
    <w:p>
      <w:pPr>
        <w:ind w:left="342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3676650</wp:posOffset>
            </wp:positionH>
            <wp:positionV relativeFrom="paragraph">
              <wp:posOffset>-7620</wp:posOffset>
            </wp:positionV>
            <wp:extent cx="12947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9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Commission File No. 001-36517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111760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4"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Minerva Neurosciences, Inc.</w:t>
      </w:r>
    </w:p>
    <w:p>
      <w:pPr>
        <w:spacing w:after="0" w:line="50"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9" w:lineRule="exact"/>
        <w:rPr>
          <w:sz w:val="24"/>
          <w:szCs w:val="24"/>
          <w:color w:val="auto"/>
        </w:rPr>
      </w:pPr>
    </w:p>
    <w:tbl>
      <w:tblPr>
        <w:tblLayout w:type="fixed"/>
        <w:tblInd w:w="1540" w:type="dxa"/>
        <w:tblCellMar>
          <w:top w:w="0" w:type="dxa"/>
          <w:left w:w="0" w:type="dxa"/>
          <w:bottom w:w="0" w:type="dxa"/>
          <w:right w:w="0" w:type="dxa"/>
        </w:tblCellMar>
      </w:tblPr>
      <w:tr>
        <w:trPr>
          <w:trHeight w:val="212"/>
        </w:trPr>
        <w:tc>
          <w:tcPr>
            <w:tcW w:w="4380" w:type="dxa"/>
            <w:vAlign w:val="bottom"/>
          </w:tcPr>
          <w:p>
            <w:pPr>
              <w:jc w:val="center"/>
              <w:ind w:right="1859"/>
              <w:spacing w:after="0"/>
              <w:rPr>
                <w:sz w:val="20"/>
                <w:szCs w:val="20"/>
                <w:color w:val="auto"/>
              </w:rPr>
            </w:pPr>
            <w:r>
              <w:rPr>
                <w:rFonts w:ascii="Arial" w:cs="Arial" w:eastAsia="Arial" w:hAnsi="Arial"/>
                <w:sz w:val="18"/>
                <w:szCs w:val="18"/>
                <w:b w:val="1"/>
                <w:bCs w:val="1"/>
                <w:color w:val="auto"/>
                <w:w w:val="91"/>
              </w:rPr>
              <w:t>Delaware</w:t>
            </w:r>
          </w:p>
        </w:tc>
        <w:tc>
          <w:tcPr>
            <w:tcW w:w="3080" w:type="dxa"/>
            <w:vAlign w:val="bottom"/>
          </w:tcPr>
          <w:p>
            <w:pPr>
              <w:jc w:val="right"/>
              <w:ind w:right="61"/>
              <w:spacing w:after="0"/>
              <w:rPr>
                <w:sz w:val="20"/>
                <w:szCs w:val="20"/>
                <w:color w:val="auto"/>
              </w:rPr>
            </w:pPr>
            <w:r>
              <w:rPr>
                <w:rFonts w:ascii="Arial" w:cs="Arial" w:eastAsia="Arial" w:hAnsi="Arial"/>
                <w:sz w:val="18"/>
                <w:szCs w:val="18"/>
                <w:b w:val="1"/>
                <w:bCs w:val="1"/>
                <w:color w:val="auto"/>
              </w:rPr>
              <w:t>26-0784194</w:t>
            </w:r>
          </w:p>
        </w:tc>
      </w:tr>
      <w:tr>
        <w:trPr>
          <w:trHeight w:val="148"/>
        </w:trPr>
        <w:tc>
          <w:tcPr>
            <w:tcW w:w="4380" w:type="dxa"/>
            <w:vAlign w:val="bottom"/>
          </w:tcPr>
          <w:p>
            <w:pPr>
              <w:jc w:val="center"/>
              <w:ind w:right="183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080" w:type="dxa"/>
            <w:vAlign w:val="bottom"/>
          </w:tcPr>
          <w:p>
            <w:pPr>
              <w:jc w:val="center"/>
              <w:ind w:left="188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380" w:type="dxa"/>
            <w:vAlign w:val="bottom"/>
          </w:tcPr>
          <w:p>
            <w:pPr>
              <w:jc w:val="center"/>
              <w:ind w:right="1859"/>
              <w:spacing w:after="0"/>
              <w:rPr>
                <w:sz w:val="20"/>
                <w:szCs w:val="20"/>
                <w:color w:val="auto"/>
              </w:rPr>
            </w:pPr>
            <w:r>
              <w:rPr>
                <w:rFonts w:ascii="Arial" w:cs="Arial" w:eastAsia="Arial" w:hAnsi="Arial"/>
                <w:sz w:val="14"/>
                <w:szCs w:val="14"/>
                <w:b w:val="1"/>
                <w:bCs w:val="1"/>
                <w:color w:val="auto"/>
                <w:w w:val="94"/>
              </w:rPr>
              <w:t>Incorporation or Organization)</w:t>
            </w:r>
          </w:p>
        </w:tc>
        <w:tc>
          <w:tcPr>
            <w:tcW w:w="3080" w:type="dxa"/>
            <w:vAlign w:val="bottom"/>
          </w:tcPr>
          <w:p>
            <w:pPr>
              <w:jc w:val="center"/>
              <w:ind w:left="1861"/>
              <w:spacing w:after="0"/>
              <w:rPr>
                <w:sz w:val="20"/>
                <w:szCs w:val="20"/>
                <w:color w:val="auto"/>
              </w:rPr>
            </w:pPr>
            <w:r>
              <w:rPr>
                <w:rFonts w:ascii="Arial" w:cs="Arial" w:eastAsia="Arial" w:hAnsi="Arial"/>
                <w:sz w:val="14"/>
                <w:szCs w:val="14"/>
                <w:b w:val="1"/>
                <w:bCs w:val="1"/>
                <w:color w:val="auto"/>
                <w:w w:val="96"/>
              </w:rPr>
              <w:t>Identification No.)</w:t>
            </w:r>
          </w:p>
        </w:tc>
      </w:tr>
      <w:tr>
        <w:trPr>
          <w:trHeight w:val="304"/>
        </w:trPr>
        <w:tc>
          <w:tcPr>
            <w:tcW w:w="4380" w:type="dxa"/>
            <w:vAlign w:val="bottom"/>
          </w:tcPr>
          <w:p>
            <w:pPr>
              <w:jc w:val="center"/>
              <w:ind w:right="1859"/>
              <w:spacing w:after="0"/>
              <w:rPr>
                <w:sz w:val="20"/>
                <w:szCs w:val="20"/>
                <w:color w:val="auto"/>
              </w:rPr>
            </w:pPr>
            <w:r>
              <w:rPr>
                <w:rFonts w:ascii="Arial" w:cs="Arial" w:eastAsia="Arial" w:hAnsi="Arial"/>
                <w:sz w:val="18"/>
                <w:szCs w:val="18"/>
                <w:b w:val="1"/>
                <w:bCs w:val="1"/>
                <w:color w:val="auto"/>
                <w:w w:val="89"/>
              </w:rPr>
              <w:t>1601 Trapelo Road, Suite 286</w:t>
            </w:r>
          </w:p>
        </w:tc>
        <w:tc>
          <w:tcPr>
            <w:tcW w:w="3080" w:type="dxa"/>
            <w:vAlign w:val="bottom"/>
          </w:tcPr>
          <w:p>
            <w:pPr>
              <w:spacing w:after="0"/>
              <w:rPr>
                <w:sz w:val="24"/>
                <w:szCs w:val="24"/>
                <w:color w:val="auto"/>
              </w:rPr>
            </w:pPr>
          </w:p>
        </w:tc>
      </w:tr>
      <w:tr>
        <w:trPr>
          <w:trHeight w:val="212"/>
        </w:trPr>
        <w:tc>
          <w:tcPr>
            <w:tcW w:w="4380" w:type="dxa"/>
            <w:vAlign w:val="bottom"/>
          </w:tcPr>
          <w:p>
            <w:pPr>
              <w:jc w:val="center"/>
              <w:ind w:right="1839"/>
              <w:spacing w:after="0"/>
              <w:rPr>
                <w:sz w:val="20"/>
                <w:szCs w:val="20"/>
                <w:color w:val="auto"/>
              </w:rPr>
            </w:pPr>
            <w:r>
              <w:rPr>
                <w:rFonts w:ascii="Arial" w:cs="Arial" w:eastAsia="Arial" w:hAnsi="Arial"/>
                <w:sz w:val="18"/>
                <w:szCs w:val="18"/>
                <w:b w:val="1"/>
                <w:bCs w:val="1"/>
                <w:color w:val="auto"/>
                <w:w w:val="97"/>
              </w:rPr>
              <w:t>Waltham, MA</w:t>
            </w:r>
          </w:p>
        </w:tc>
        <w:tc>
          <w:tcPr>
            <w:tcW w:w="3080" w:type="dxa"/>
            <w:vAlign w:val="bottom"/>
          </w:tcPr>
          <w:p>
            <w:pPr>
              <w:jc w:val="right"/>
              <w:ind w:right="261"/>
              <w:spacing w:after="0"/>
              <w:rPr>
                <w:sz w:val="20"/>
                <w:szCs w:val="20"/>
                <w:color w:val="auto"/>
              </w:rPr>
            </w:pPr>
            <w:r>
              <w:rPr>
                <w:rFonts w:ascii="Arial" w:cs="Arial" w:eastAsia="Arial" w:hAnsi="Arial"/>
                <w:sz w:val="18"/>
                <w:szCs w:val="18"/>
                <w:b w:val="1"/>
                <w:bCs w:val="1"/>
                <w:color w:val="auto"/>
              </w:rPr>
              <w:t>02451</w:t>
            </w:r>
          </w:p>
        </w:tc>
      </w:tr>
      <w:tr>
        <w:trPr>
          <w:trHeight w:val="186"/>
        </w:trPr>
        <w:tc>
          <w:tcPr>
            <w:tcW w:w="4380" w:type="dxa"/>
            <w:vAlign w:val="bottom"/>
          </w:tcPr>
          <w:p>
            <w:pPr>
              <w:jc w:val="center"/>
              <w:ind w:right="183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3080" w:type="dxa"/>
            <w:vAlign w:val="bottom"/>
          </w:tcPr>
          <w:p>
            <w:pPr>
              <w:jc w:val="center"/>
              <w:ind w:left="1861"/>
              <w:spacing w:after="0"/>
              <w:rPr>
                <w:sz w:val="20"/>
                <w:szCs w:val="20"/>
                <w:color w:val="auto"/>
              </w:rPr>
            </w:pPr>
            <w:r>
              <w:rPr>
                <w:rFonts w:ascii="Arial" w:cs="Arial" w:eastAsia="Arial" w:hAnsi="Arial"/>
                <w:sz w:val="14"/>
                <w:szCs w:val="14"/>
                <w:b w:val="1"/>
                <w:bCs w:val="1"/>
                <w:color w:val="auto"/>
                <w:w w:val="95"/>
              </w:rPr>
              <w:t>(Zip Code)</w:t>
            </w:r>
          </w:p>
        </w:tc>
      </w:tr>
    </w:tbl>
    <w:p>
      <w:pPr>
        <w:spacing w:after="0" w:line="7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Registrant’s telephone number, including area code: (617) 600-7373</w:t>
      </w:r>
    </w:p>
    <w:p>
      <w:pPr>
        <w:spacing w:after="0" w:line="135"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109220</wp:posOffset>
            </wp:positionV>
            <wp:extent cx="1423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5"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12(b) of the Act:</w:t>
      </w:r>
    </w:p>
    <w:p>
      <w:pPr>
        <w:spacing w:after="0" w:line="6" w:lineRule="exact"/>
        <w:rPr>
          <w:sz w:val="24"/>
          <w:szCs w:val="24"/>
          <w:color w:val="auto"/>
        </w:rPr>
      </w:pPr>
    </w:p>
    <w:tbl>
      <w:tblPr>
        <w:tblLayout w:type="fixed"/>
        <w:tblInd w:w="590" w:type="dxa"/>
        <w:tblCellMar>
          <w:top w:w="0" w:type="dxa"/>
          <w:left w:w="0" w:type="dxa"/>
          <w:bottom w:w="0" w:type="dxa"/>
          <w:right w:w="0" w:type="dxa"/>
        </w:tblCellMar>
      </w:tblPr>
      <w:tr>
        <w:trPr>
          <w:trHeight w:val="155"/>
        </w:trPr>
        <w:tc>
          <w:tcPr>
            <w:tcW w:w="3880" w:type="dxa"/>
            <w:vAlign w:val="bottom"/>
            <w:tcBorders>
              <w:top w:val="single" w:sz="8" w:color="auto"/>
              <w:left w:val="single" w:sz="8" w:color="auto"/>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w w:val="92"/>
              </w:rPr>
              <w:t>Title of each class</w:t>
            </w:r>
          </w:p>
        </w:tc>
        <w:tc>
          <w:tcPr>
            <w:tcW w:w="2380" w:type="dxa"/>
            <w:vAlign w:val="bottom"/>
            <w:tcBorders>
              <w:top w:val="single" w:sz="8" w:color="auto"/>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w w:val="94"/>
              </w:rPr>
              <w:t>Trading Symbol(s)</w:t>
            </w:r>
          </w:p>
        </w:tc>
        <w:tc>
          <w:tcPr>
            <w:tcW w:w="3840" w:type="dxa"/>
            <w:vAlign w:val="bottom"/>
            <w:tcBorders>
              <w:top w:val="single" w:sz="8" w:color="auto"/>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w w:val="92"/>
              </w:rPr>
              <w:t>Name of each exchange on which registered</w:t>
            </w:r>
          </w:p>
        </w:tc>
      </w:tr>
      <w:tr>
        <w:trPr>
          <w:trHeight w:val="155"/>
        </w:trPr>
        <w:tc>
          <w:tcPr>
            <w:tcW w:w="3880" w:type="dxa"/>
            <w:vAlign w:val="bottom"/>
            <w:tcBorders>
              <w:left w:val="single" w:sz="8" w:color="auto"/>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w w:val="91"/>
              </w:rPr>
              <w:t>Common Stock, $0.0001 par value per share</w:t>
            </w:r>
          </w:p>
        </w:tc>
        <w:tc>
          <w:tcPr>
            <w:tcW w:w="238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w w:val="97"/>
              </w:rPr>
              <w:t>NERV</w:t>
            </w:r>
          </w:p>
        </w:tc>
        <w:tc>
          <w:tcPr>
            <w:tcW w:w="384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w w:val="97"/>
              </w:rPr>
              <w:t>The NASDAQ Global Market</w:t>
            </w:r>
          </w:p>
        </w:tc>
      </w:tr>
    </w:tbl>
    <w:p>
      <w:pPr>
        <w:spacing w:after="0" w:line="89"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of Registrant’s Common Stock, $0.0001 par value per share, outstanding as of July 29, 2020 was 41,204,869.</w:t>
      </w:r>
    </w:p>
    <w:p>
      <w:pPr>
        <w:spacing w:after="0" w:line="96" w:lineRule="exact"/>
        <w:rPr>
          <w:sz w:val="24"/>
          <w:szCs w:val="24"/>
          <w:color w:val="auto"/>
        </w:rPr>
      </w:pPr>
    </w:p>
    <w:p>
      <w:pPr>
        <w:ind w:right="120"/>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2" w:lineRule="exact"/>
        <w:rPr>
          <w:sz w:val="24"/>
          <w:szCs w:val="24"/>
          <w:color w:val="auto"/>
        </w:rPr>
      </w:pPr>
    </w:p>
    <w:p>
      <w:pPr>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2" w:lineRule="exact"/>
        <w:rPr>
          <w:sz w:val="24"/>
          <w:szCs w:val="24"/>
          <w:color w:val="auto"/>
        </w:rPr>
      </w:pPr>
    </w:p>
    <w:p>
      <w:pPr>
        <w:ind w:right="360"/>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140"/>
          </w:cols>
          <w:pgMar w:left="320" w:top="584" w:right="439" w:bottom="1440" w:gutter="0" w:footer="0" w:header="0"/>
        </w:sectPr>
      </w:pPr>
    </w:p>
    <w:p>
      <w:pPr>
        <w:spacing w:after="0" w:line="92" w:lineRule="exact"/>
        <w:rPr>
          <w:sz w:val="24"/>
          <w:szCs w:val="24"/>
          <w:color w:val="auto"/>
        </w:rPr>
      </w:pPr>
    </w:p>
    <w:tbl>
      <w:tblPr>
        <w:tblLayout w:type="fixed"/>
        <w:tblInd w:w="0" w:type="dxa"/>
        <w:tblCellMar>
          <w:top w:w="0" w:type="dxa"/>
          <w:left w:w="0" w:type="dxa"/>
          <w:bottom w:w="0" w:type="dxa"/>
          <w:right w:w="0" w:type="dxa"/>
        </w:tblCellMar>
      </w:tblPr>
      <w:tr>
        <w:trPr>
          <w:trHeight w:val="226"/>
        </w:trPr>
        <w:tc>
          <w:tcPr>
            <w:tcW w:w="33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160" w:type="dxa"/>
            <w:vAlign w:val="bottom"/>
          </w:tcPr>
          <w:p>
            <w:pPr>
              <w:ind w:left="1700"/>
              <w:spacing w:after="0" w:line="141" w:lineRule="exact"/>
              <w:rPr>
                <w:sz w:val="20"/>
                <w:szCs w:val="20"/>
                <w:color w:val="auto"/>
              </w:rPr>
            </w:pPr>
            <w:r>
              <w:rPr>
                <w:rFonts w:ascii="MS PGothic" w:cs="MS PGothic" w:eastAsia="MS PGothic" w:hAnsi="MS PGothic"/>
                <w:sz w:val="14"/>
                <w:szCs w:val="14"/>
                <w:color w:val="auto"/>
              </w:rPr>
              <w:t>☐</w:t>
            </w:r>
          </w:p>
        </w:tc>
        <w:tc>
          <w:tcPr>
            <w:tcW w:w="1900" w:type="dxa"/>
            <w:vAlign w:val="bottom"/>
          </w:tcPr>
          <w:p>
            <w:pPr>
              <w:ind w:left="320"/>
              <w:spacing w:after="0"/>
              <w:rPr>
                <w:sz w:val="20"/>
                <w:szCs w:val="20"/>
                <w:color w:val="auto"/>
              </w:rPr>
            </w:pPr>
            <w:r>
              <w:rPr>
                <w:rFonts w:ascii="Arial" w:cs="Arial" w:eastAsia="Arial" w:hAnsi="Arial"/>
                <w:sz w:val="14"/>
                <w:szCs w:val="14"/>
                <w:color w:val="auto"/>
              </w:rPr>
              <w:t>Accelerated filer</w:t>
            </w:r>
          </w:p>
        </w:tc>
      </w:tr>
      <w:tr>
        <w:trPr>
          <w:trHeight w:val="297"/>
        </w:trPr>
        <w:tc>
          <w:tcPr>
            <w:tcW w:w="3300" w:type="dxa"/>
            <w:vAlign w:val="bottom"/>
          </w:tcPr>
          <w:p>
            <w:pPr>
              <w:spacing w:after="0"/>
              <w:rPr>
                <w:sz w:val="20"/>
                <w:szCs w:val="20"/>
                <w:color w:val="auto"/>
              </w:rPr>
            </w:pPr>
            <w:r>
              <w:rPr>
                <w:rFonts w:ascii="Arial" w:cs="Arial" w:eastAsia="Arial" w:hAnsi="Arial"/>
                <w:sz w:val="14"/>
                <w:szCs w:val="14"/>
                <w:color w:val="auto"/>
              </w:rPr>
              <w:t>Non-accelerated filer</w:t>
            </w:r>
          </w:p>
        </w:tc>
        <w:tc>
          <w:tcPr>
            <w:tcW w:w="2160" w:type="dxa"/>
            <w:vAlign w:val="bottom"/>
          </w:tcPr>
          <w:p>
            <w:pPr>
              <w:ind w:left="1700"/>
              <w:spacing w:after="0" w:line="141" w:lineRule="exact"/>
              <w:rPr>
                <w:sz w:val="20"/>
                <w:szCs w:val="20"/>
                <w:color w:val="auto"/>
              </w:rPr>
            </w:pPr>
            <w:r>
              <w:rPr>
                <w:rFonts w:ascii="MS PGothic" w:cs="MS PGothic" w:eastAsia="MS PGothic" w:hAnsi="MS PGothic"/>
                <w:sz w:val="14"/>
                <w:szCs w:val="14"/>
                <w:color w:val="auto"/>
              </w:rPr>
              <w:t>☐</w:t>
            </w:r>
          </w:p>
        </w:tc>
        <w:tc>
          <w:tcPr>
            <w:tcW w:w="1900" w:type="dxa"/>
            <w:vAlign w:val="bottom"/>
          </w:tcPr>
          <w:p>
            <w:pPr>
              <w:ind w:left="320"/>
              <w:spacing w:after="0"/>
              <w:rPr>
                <w:sz w:val="20"/>
                <w:szCs w:val="20"/>
                <w:color w:val="auto"/>
              </w:rPr>
            </w:pPr>
            <w:r>
              <w:rPr>
                <w:rFonts w:ascii="Arial" w:cs="Arial" w:eastAsia="Arial" w:hAnsi="Arial"/>
                <w:sz w:val="14"/>
                <w:szCs w:val="14"/>
                <w:color w:val="auto"/>
                <w:w w:val="93"/>
              </w:rPr>
              <w:t>Smaller reporting company</w:t>
            </w:r>
          </w:p>
        </w:tc>
      </w:tr>
      <w:tr>
        <w:trPr>
          <w:trHeight w:val="297"/>
        </w:trPr>
        <w:tc>
          <w:tcPr>
            <w:tcW w:w="330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2160" w:type="dxa"/>
            <w:vAlign w:val="bottom"/>
          </w:tcPr>
          <w:p>
            <w:pPr>
              <w:ind w:left="1700"/>
              <w:spacing w:after="0" w:line="141" w:lineRule="exact"/>
              <w:rPr>
                <w:sz w:val="20"/>
                <w:szCs w:val="20"/>
                <w:color w:val="auto"/>
              </w:rPr>
            </w:pPr>
            <w:r>
              <w:rPr>
                <w:rFonts w:ascii="MS PGothic" w:cs="MS PGothic" w:eastAsia="MS PGothic" w:hAnsi="MS PGothic"/>
                <w:sz w:val="14"/>
                <w:szCs w:val="14"/>
                <w:color w:val="auto"/>
              </w:rPr>
              <w:t>☐</w:t>
            </w:r>
          </w:p>
        </w:tc>
        <w:tc>
          <w:tcPr>
            <w:tcW w:w="1900" w:type="dxa"/>
            <w:vAlign w:val="bottom"/>
          </w:tcPr>
          <w:p>
            <w:pPr>
              <w:spacing w:after="0"/>
              <w:rPr>
                <w:sz w:val="24"/>
                <w:szCs w:val="24"/>
                <w:color w:val="auto"/>
              </w:rPr>
            </w:pPr>
          </w:p>
        </w:tc>
      </w:tr>
    </w:tbl>
    <w:p>
      <w:pPr>
        <w:spacing w:after="0" w:line="112" w:lineRule="exact"/>
        <w:rPr>
          <w:sz w:val="24"/>
          <w:szCs w:val="24"/>
          <w:color w:val="auto"/>
        </w:rPr>
      </w:pPr>
    </w:p>
    <w:p>
      <w:pPr>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9" w:lineRule="exact"/>
        <w:rPr>
          <w:sz w:val="24"/>
          <w:szCs w:val="24"/>
          <w:color w:val="auto"/>
        </w:rPr>
      </w:pPr>
    </w:p>
    <w:p>
      <w:pPr>
        <w:spacing w:after="0" w:line="161" w:lineRule="exact"/>
        <w:tabs>
          <w:tab w:leader="none" w:pos="6060" w:val="left"/>
          <w:tab w:leader="none" w:pos="6640" w:val="left"/>
        </w:tabs>
        <w:rPr>
          <w:sz w:val="20"/>
          <w:szCs w:val="20"/>
          <w:color w:val="auto"/>
        </w:rPr>
      </w:pPr>
      <w:r>
        <w:rPr>
          <w:rFonts w:ascii="Arial" w:cs="Arial" w:eastAsia="Arial" w:hAnsi="Arial"/>
          <w:sz w:val="14"/>
          <w:szCs w:val="14"/>
          <w:color w:val="auto"/>
        </w:rPr>
        <w:t>Indicate by check mark whether the registrant is a shell company (as defined in Rule 12b-2 of the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587375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7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57"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ectPr>
          <w:pgSz w:w="11900" w:h="16838" w:orient="portrait"/>
          <w:cols w:equalWidth="0" w:num="2">
            <w:col w:w="10680" w:space="120"/>
            <w:col w:w="340"/>
          </w:cols>
          <w:pgMar w:left="320" w:top="584" w:right="4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INDEX TO FORM 10-Q</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tcPr>
          <w:p>
            <w:pPr>
              <w:spacing w:after="0"/>
              <w:rPr>
                <w:sz w:val="14"/>
                <w:szCs w:val="14"/>
                <w:color w:val="auto"/>
              </w:rPr>
            </w:pPr>
          </w:p>
        </w:tc>
        <w:tc>
          <w:tcPr>
            <w:tcW w:w="9440" w:type="dxa"/>
            <w:vAlign w:val="bottom"/>
            <w:vMerge w:val="restart"/>
          </w:tcPr>
          <w:p>
            <w:pPr>
              <w:ind w:left="3400"/>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PART I — Financial Information</w:t>
              </w:r>
            </w:hyperlink>
          </w:p>
        </w:tc>
        <w:tc>
          <w:tcPr>
            <w:tcW w:w="66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9440" w:type="dxa"/>
            <w:vAlign w:val="bottom"/>
            <w:vMerge w:val="continue"/>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1140" w:type="dxa"/>
            <w:vAlign w:val="bottom"/>
          </w:tcPr>
          <w:p>
            <w:pPr>
              <w:spacing w:after="0"/>
              <w:rPr>
                <w:sz w:val="20"/>
                <w:szCs w:val="20"/>
                <w:color w:val="auto"/>
              </w:rPr>
            </w:pPr>
            <w:r>
              <w:rPr>
                <w:rFonts w:ascii="Arial" w:cs="Arial" w:eastAsia="Arial" w:hAnsi="Arial"/>
                <w:sz w:val="18"/>
                <w:szCs w:val="18"/>
                <w:color w:val="auto"/>
              </w:rPr>
              <w:t>Item 1.</w:t>
            </w:r>
          </w:p>
        </w:tc>
        <w:tc>
          <w:tcPr>
            <w:tcW w:w="9440" w:type="dxa"/>
            <w:vAlign w:val="bottom"/>
          </w:tcPr>
          <w:p>
            <w:pPr>
              <w:ind w:left="2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Financial Statements (unaudited):</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9440" w:type="dxa"/>
            <w:vAlign w:val="bottom"/>
          </w:tcPr>
          <w:p>
            <w:pPr>
              <w:ind w:left="2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Condensed Consolidated Balance Sheets as of June 30, 2020 and December 31, 2019</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9440" w:type="dxa"/>
            <w:vAlign w:val="bottom"/>
          </w:tcPr>
          <w:p>
            <w:pPr>
              <w:ind w:left="2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Condensed Consolidated Statements of Operations for the three and six months ended June 30, 2020 and 2019</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9440" w:type="dxa"/>
            <w:vAlign w:val="bottom"/>
          </w:tcPr>
          <w:p>
            <w:pPr>
              <w:ind w:left="2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Condensed Consolidated Statements of Stockholders’ Equity for the six months ended June 30, 2020 and 2019</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9440" w:type="dxa"/>
            <w:vAlign w:val="bottom"/>
          </w:tcPr>
          <w:p>
            <w:pPr>
              <w:ind w:left="2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Condensed Consolidated Statements of Cash Flows for the six months ended June 30, 2020 and 2019</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9440" w:type="dxa"/>
            <w:vAlign w:val="bottom"/>
          </w:tcPr>
          <w:p>
            <w:pPr>
              <w:ind w:left="2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Notes to Condensed Consolidated Financial Statements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Item 2.</w:t>
            </w:r>
          </w:p>
        </w:tc>
        <w:tc>
          <w:tcPr>
            <w:tcW w:w="9440" w:type="dxa"/>
            <w:vAlign w:val="bottom"/>
          </w:tcPr>
          <w:p>
            <w:pPr>
              <w:ind w:left="20"/>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Management’s Discussion and Analysis of Financial Condition and Results of Operations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Item 3.</w:t>
            </w:r>
          </w:p>
        </w:tc>
        <w:tc>
          <w:tcPr>
            <w:tcW w:w="9440" w:type="dxa"/>
            <w:vAlign w:val="bottom"/>
          </w:tcPr>
          <w:p>
            <w:pPr>
              <w:ind w:left="20"/>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Quantitative and Qualitative Disclosures about Market Risk</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Item 4.</w:t>
            </w:r>
          </w:p>
        </w:tc>
        <w:tc>
          <w:tcPr>
            <w:tcW w:w="9440" w:type="dxa"/>
            <w:vAlign w:val="bottom"/>
          </w:tcPr>
          <w:p>
            <w:pPr>
              <w:ind w:left="20"/>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Controls and Procedures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432"/>
        </w:trPr>
        <w:tc>
          <w:tcPr>
            <w:tcW w:w="1140" w:type="dxa"/>
            <w:vAlign w:val="bottom"/>
          </w:tcPr>
          <w:p>
            <w:pPr>
              <w:spacing w:after="0"/>
              <w:rPr>
                <w:sz w:val="24"/>
                <w:szCs w:val="24"/>
                <w:color w:val="auto"/>
              </w:rPr>
            </w:pPr>
          </w:p>
        </w:tc>
        <w:tc>
          <w:tcPr>
            <w:tcW w:w="9440" w:type="dxa"/>
            <w:vAlign w:val="bottom"/>
          </w:tcPr>
          <w:p>
            <w:pPr>
              <w:ind w:left="3500"/>
              <w:spacing w:after="0"/>
              <w:rPr>
                <w:rFonts w:ascii="Arial" w:cs="Arial" w:eastAsia="Arial" w:hAnsi="Arial"/>
                <w:sz w:val="18"/>
                <w:szCs w:val="18"/>
                <w:b w:val="1"/>
                <w:bCs w:val="1"/>
                <w:u w:val="single" w:color="auto"/>
                <w:color w:val="0000EE"/>
              </w:rPr>
            </w:pPr>
            <w:hyperlink w:anchor="page26">
              <w:r>
                <w:rPr>
                  <w:rFonts w:ascii="Arial" w:cs="Arial" w:eastAsia="Arial" w:hAnsi="Arial"/>
                  <w:sz w:val="18"/>
                  <w:szCs w:val="18"/>
                  <w:b w:val="1"/>
                  <w:bCs w:val="1"/>
                  <w:u w:val="single" w:color="auto"/>
                  <w:color w:val="0000EE"/>
                </w:rPr>
                <w:t>PART II — Other Information</w:t>
              </w:r>
            </w:hyperlink>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140" w:type="dxa"/>
            <w:vAlign w:val="bottom"/>
          </w:tcPr>
          <w:p>
            <w:pPr>
              <w:spacing w:after="0"/>
              <w:rPr>
                <w:sz w:val="20"/>
                <w:szCs w:val="20"/>
                <w:color w:val="auto"/>
              </w:rPr>
            </w:pPr>
            <w:r>
              <w:rPr>
                <w:rFonts w:ascii="Arial" w:cs="Arial" w:eastAsia="Arial" w:hAnsi="Arial"/>
                <w:sz w:val="18"/>
                <w:szCs w:val="18"/>
                <w:color w:val="auto"/>
              </w:rPr>
              <w:t>Item 1.</w:t>
            </w:r>
          </w:p>
        </w:tc>
        <w:tc>
          <w:tcPr>
            <w:tcW w:w="9440" w:type="dxa"/>
            <w:vAlign w:val="bottom"/>
          </w:tcPr>
          <w:p>
            <w:pPr>
              <w:ind w:left="2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Legal Proceedings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Item 1A.</w:t>
            </w:r>
          </w:p>
        </w:tc>
        <w:tc>
          <w:tcPr>
            <w:tcW w:w="9440" w:type="dxa"/>
            <w:vAlign w:val="bottom"/>
          </w:tcPr>
          <w:p>
            <w:pPr>
              <w:ind w:left="2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Risk Factors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Item 2.</w:t>
            </w:r>
          </w:p>
        </w:tc>
        <w:tc>
          <w:tcPr>
            <w:tcW w:w="9440" w:type="dxa"/>
            <w:vAlign w:val="bottom"/>
          </w:tcPr>
          <w:p>
            <w:pPr>
              <w:ind w:left="20"/>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Unregistered Sales of Equity Securities and Use of Proceeds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Item 3.</w:t>
            </w:r>
          </w:p>
        </w:tc>
        <w:tc>
          <w:tcPr>
            <w:tcW w:w="9440" w:type="dxa"/>
            <w:vAlign w:val="bottom"/>
          </w:tcPr>
          <w:p>
            <w:pPr>
              <w:ind w:left="20"/>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Defaults Upon Senior Securities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Item 4.</w:t>
            </w:r>
          </w:p>
        </w:tc>
        <w:tc>
          <w:tcPr>
            <w:tcW w:w="9440" w:type="dxa"/>
            <w:vAlign w:val="bottom"/>
          </w:tcPr>
          <w:p>
            <w:pPr>
              <w:ind w:left="20"/>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Mine Safety Disclosures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Item 5.</w:t>
            </w:r>
          </w:p>
        </w:tc>
        <w:tc>
          <w:tcPr>
            <w:tcW w:w="9440" w:type="dxa"/>
            <w:vAlign w:val="bottom"/>
          </w:tcPr>
          <w:p>
            <w:pPr>
              <w:ind w:left="20"/>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Other Information</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Item 6.</w:t>
            </w:r>
          </w:p>
        </w:tc>
        <w:tc>
          <w:tcPr>
            <w:tcW w:w="9440" w:type="dxa"/>
            <w:vAlign w:val="bottom"/>
          </w:tcPr>
          <w:p>
            <w:pPr>
              <w:ind w:left="2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Exhibits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432"/>
        </w:trPr>
        <w:tc>
          <w:tcPr>
            <w:tcW w:w="1140" w:type="dxa"/>
            <w:vAlign w:val="bottom"/>
          </w:tcPr>
          <w:p>
            <w:pPr>
              <w:spacing w:after="0"/>
              <w:rPr>
                <w:rFonts w:ascii="Arial" w:cs="Arial" w:eastAsia="Arial" w:hAnsi="Arial"/>
                <w:sz w:val="18"/>
                <w:szCs w:val="18"/>
                <w:u w:val="single" w:color="auto"/>
                <w:color w:val="0000EE"/>
                <w:w w:val="95"/>
              </w:rPr>
            </w:pPr>
            <w:hyperlink w:anchor="page30">
              <w:r>
                <w:rPr>
                  <w:rFonts w:ascii="Arial" w:cs="Arial" w:eastAsia="Arial" w:hAnsi="Arial"/>
                  <w:sz w:val="18"/>
                  <w:szCs w:val="18"/>
                  <w:u w:val="single" w:color="auto"/>
                  <w:color w:val="0000EE"/>
                  <w:w w:val="95"/>
                </w:rPr>
                <w:t>SIGNATURES</w:t>
              </w:r>
            </w:hyperlink>
          </w:p>
        </w:tc>
        <w:tc>
          <w:tcPr>
            <w:tcW w:w="94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ind w:right="420"/>
        <w:spacing w:after="0" w:line="277" w:lineRule="auto"/>
        <w:rPr>
          <w:sz w:val="20"/>
          <w:szCs w:val="20"/>
          <w:color w:val="auto"/>
        </w:rPr>
      </w:pPr>
      <w:r>
        <w:rPr>
          <w:rFonts w:ascii="Arial" w:cs="Arial" w:eastAsia="Arial" w:hAnsi="Arial"/>
          <w:sz w:val="18"/>
          <w:szCs w:val="18"/>
          <w:i w:val="1"/>
          <w:iCs w:val="1"/>
          <w:color w:val="auto"/>
        </w:rPr>
        <w:t>Unless the context suggests otherwise, references in this Quarterly Report on Form 10-Q, or Quarterly Report, to “Minerva,” “the Company,” “we,” “us,” and “our” refer to Minerva Neurosciences, Inc. and, where appropriate, its subsidiaries.</w:t>
      </w:r>
    </w:p>
    <w:p>
      <w:pPr>
        <w:spacing w:after="0" w:line="170" w:lineRule="exact"/>
        <w:rPr>
          <w:sz w:val="20"/>
          <w:szCs w:val="20"/>
          <w:color w:val="auto"/>
        </w:rPr>
      </w:pPr>
    </w:p>
    <w:p>
      <w:pPr>
        <w:spacing w:after="0" w:line="271" w:lineRule="auto"/>
        <w:rPr>
          <w:sz w:val="20"/>
          <w:szCs w:val="20"/>
          <w:color w:val="auto"/>
        </w:rPr>
      </w:pPr>
      <w:r>
        <w:rPr>
          <w:rFonts w:ascii="Arial" w:cs="Arial" w:eastAsia="Arial" w:hAnsi="Arial"/>
          <w:sz w:val="17"/>
          <w:szCs w:val="17"/>
          <w:i w:val="1"/>
          <w:iCs w:val="1"/>
          <w:color w:val="auto"/>
        </w:rPr>
        <w:t>This Quarterly Report on Form 10-Q contains forward-looking statements. These forward-looking statements reflect our plans, estimates and beliefs. These statements involve known and unknown risks, uncertainties and other factors that may cause our actual results, performance or achievements to be materially different from any future results, performances or achievements expressed or implied by the forward-looking statements. In some cases, you can identify forward-looking statements by terms such as “anticipates,” “believes,” “could,” “estimates,” “expects,” “intends,” “may,” “plans,” “potential,” “predicts,” “projects,” “should,” “would” and similar expressions intended to identify forward-looking statements. Forward-looking statements reflect our current views with respect to future events and are based on assumptions and subject to risks and uncertainties. Because of these risks and uncertainties, the forward-looking events and circumstances discussed in this report may not transpire. These risks and uncertainties include, but are not limited to, the risks included in this Quarterly Report on Form 10-Q under Part II, Item IA, “Risk Factors.”</w:t>
      </w:r>
    </w:p>
    <w:p>
      <w:pPr>
        <w:spacing w:after="0" w:line="178"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i w:val="1"/>
          <w:iCs w:val="1"/>
          <w:color w:val="auto"/>
        </w:rPr>
        <w:t>Given these uncertainties, you should not place undue reliance on these forward-looking statements. Also, forward-looking statements represent our estimates and assumptions only as of the date of this document. You should read this document with the understanding that our actual future results may be materially different from what we expect. Except as required by law, we do not undertake any obligation to publicly update or revise any forward-looking statements contained in this report, whether as a result of new information, future events or otherwise.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trademarks, trade names and service marks appearing in this Quarterly Report on Form 10-Q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 Financial Statements</w:t>
      </w:r>
    </w:p>
    <w:p>
      <w:pPr>
        <w:spacing w:after="0" w:line="211"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MINERVA NEUROSCIENCES, INC.</w:t>
      </w:r>
    </w:p>
    <w:p>
      <w:pPr>
        <w:spacing w:after="0" w:line="113"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7"/>
                <w:szCs w:val="17"/>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68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4"/>
                <w:szCs w:val="14"/>
                <w:color w:val="auto"/>
              </w:rPr>
            </w:pPr>
          </w:p>
        </w:tc>
      </w:tr>
      <w:tr>
        <w:trPr>
          <w:trHeight w:val="223"/>
        </w:trPr>
        <w:tc>
          <w:tcPr>
            <w:tcW w:w="7680" w:type="dxa"/>
            <w:vAlign w:val="bottom"/>
            <w:shd w:val="clear" w:color="auto" w:fill="CFF0FC"/>
          </w:tcPr>
          <w:p>
            <w:pPr>
              <w:ind w:left="3600"/>
              <w:spacing w:after="0"/>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680" w:type="dxa"/>
            <w:vAlign w:val="bottom"/>
          </w:tcPr>
          <w:p>
            <w:pPr>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32,252,075</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21,412,623</w:t>
            </w:r>
          </w:p>
        </w:tc>
        <w:tc>
          <w:tcPr>
            <w:tcW w:w="120" w:type="dxa"/>
            <w:vAlign w:val="bottom"/>
            <w:shd w:val="clear" w:color="auto" w:fill="CFF0FC"/>
          </w:tcPr>
          <w:p>
            <w:pPr>
              <w:spacing w:after="0"/>
              <w:rPr>
                <w:sz w:val="19"/>
                <w:szCs w:val="19"/>
                <w:color w:val="auto"/>
              </w:rPr>
            </w:pPr>
          </w:p>
        </w:tc>
      </w:tr>
      <w:tr>
        <w:trPr>
          <w:trHeight w:val="229"/>
        </w:trPr>
        <w:tc>
          <w:tcPr>
            <w:tcW w:w="7680" w:type="dxa"/>
            <w:vAlign w:val="bottom"/>
          </w:tcPr>
          <w:p>
            <w:pPr>
              <w:ind w:left="260"/>
              <w:spacing w:after="0"/>
              <w:rPr>
                <w:sz w:val="20"/>
                <w:szCs w:val="20"/>
                <w:color w:val="auto"/>
              </w:rPr>
            </w:pPr>
            <w:r>
              <w:rPr>
                <w:rFonts w:ascii="Arial" w:cs="Arial" w:eastAsia="Arial" w:hAnsi="Arial"/>
                <w:sz w:val="18"/>
                <w:szCs w:val="18"/>
                <w:color w:val="auto"/>
              </w:rPr>
              <w:t>Marketable securities</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2,996,324</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24,441,520</w:t>
            </w:r>
          </w:p>
        </w:tc>
        <w:tc>
          <w:tcPr>
            <w:tcW w:w="120" w:type="dxa"/>
            <w:vAlign w:val="bottom"/>
          </w:tcPr>
          <w:p>
            <w:pPr>
              <w:spacing w:after="0"/>
              <w:rPr>
                <w:sz w:val="19"/>
                <w:szCs w:val="19"/>
                <w:color w:val="auto"/>
              </w:rPr>
            </w:pPr>
          </w:p>
        </w:tc>
      </w:tr>
      <w:tr>
        <w:trPr>
          <w:trHeight w:val="229"/>
        </w:trPr>
        <w:tc>
          <w:tcPr>
            <w:tcW w:w="7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Restricted cash</w:t>
            </w: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100,000</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100,000</w:t>
            </w:r>
          </w:p>
        </w:tc>
        <w:tc>
          <w:tcPr>
            <w:tcW w:w="120" w:type="dxa"/>
            <w:vAlign w:val="bottom"/>
            <w:shd w:val="clear" w:color="auto" w:fill="CFF0FC"/>
          </w:tcPr>
          <w:p>
            <w:pPr>
              <w:spacing w:after="0"/>
              <w:rPr>
                <w:sz w:val="19"/>
                <w:szCs w:val="19"/>
                <w:color w:val="auto"/>
              </w:rPr>
            </w:pPr>
          </w:p>
        </w:tc>
      </w:tr>
      <w:tr>
        <w:trPr>
          <w:trHeight w:val="230"/>
        </w:trPr>
        <w:tc>
          <w:tcPr>
            <w:tcW w:w="76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542,746</w:t>
            </w:r>
          </w:p>
        </w:tc>
        <w:tc>
          <w:tcPr>
            <w:tcW w:w="3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1,182,483</w:t>
            </w:r>
          </w:p>
        </w:tc>
        <w:tc>
          <w:tcPr>
            <w:tcW w:w="120" w:type="dxa"/>
            <w:vAlign w:val="bottom"/>
            <w:tcBorders>
              <w:bottom w:val="single" w:sz="8" w:color="CFF0FC"/>
            </w:tcBorders>
          </w:tcPr>
          <w:p>
            <w:pPr>
              <w:spacing w:after="0"/>
              <w:rPr>
                <w:sz w:val="19"/>
                <w:szCs w:val="19"/>
                <w:color w:val="auto"/>
              </w:rPr>
            </w:pPr>
          </w:p>
        </w:tc>
      </w:tr>
      <w:tr>
        <w:trPr>
          <w:trHeight w:val="223"/>
        </w:trPr>
        <w:tc>
          <w:tcPr>
            <w:tcW w:w="76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35,891,145</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47,136,626</w:t>
            </w:r>
          </w:p>
        </w:tc>
        <w:tc>
          <w:tcPr>
            <w:tcW w:w="120" w:type="dxa"/>
            <w:vAlign w:val="bottom"/>
            <w:shd w:val="clear" w:color="auto" w:fill="CFF0FC"/>
          </w:tcPr>
          <w:p>
            <w:pPr>
              <w:spacing w:after="0"/>
              <w:rPr>
                <w:sz w:val="19"/>
                <w:szCs w:val="19"/>
                <w:color w:val="auto"/>
              </w:rPr>
            </w:pPr>
          </w:p>
        </w:tc>
      </w:tr>
      <w:tr>
        <w:trPr>
          <w:trHeight w:val="230"/>
        </w:trPr>
        <w:tc>
          <w:tcPr>
            <w:tcW w:w="7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Equipment, net</w:t>
            </w: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7,278</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16,011</w:t>
            </w:r>
          </w:p>
        </w:tc>
        <w:tc>
          <w:tcPr>
            <w:tcW w:w="120" w:type="dxa"/>
            <w:vAlign w:val="bottom"/>
            <w:shd w:val="clear" w:color="auto" w:fill="CFF0FC"/>
          </w:tcPr>
          <w:p>
            <w:pPr>
              <w:spacing w:after="0"/>
              <w:rPr>
                <w:sz w:val="19"/>
                <w:szCs w:val="19"/>
                <w:color w:val="auto"/>
              </w:rPr>
            </w:pPr>
          </w:p>
        </w:tc>
      </w:tr>
      <w:tr>
        <w:trPr>
          <w:trHeight w:val="229"/>
        </w:trPr>
        <w:tc>
          <w:tcPr>
            <w:tcW w:w="768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14,808</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14,808</w:t>
            </w:r>
          </w:p>
        </w:tc>
        <w:tc>
          <w:tcPr>
            <w:tcW w:w="120" w:type="dxa"/>
            <w:vAlign w:val="bottom"/>
          </w:tcPr>
          <w:p>
            <w:pPr>
              <w:spacing w:after="0"/>
              <w:rPr>
                <w:sz w:val="19"/>
                <w:szCs w:val="19"/>
                <w:color w:val="auto"/>
              </w:rPr>
            </w:pPr>
          </w:p>
        </w:tc>
      </w:tr>
      <w:tr>
        <w:trPr>
          <w:trHeight w:val="230"/>
        </w:trPr>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right-of-use assets</w:t>
            </w: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184,020</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261,952</w:t>
            </w:r>
          </w:p>
        </w:tc>
        <w:tc>
          <w:tcPr>
            <w:tcW w:w="120" w:type="dxa"/>
            <w:vAlign w:val="bottom"/>
            <w:shd w:val="clear" w:color="auto" w:fill="CFF0FC"/>
          </w:tcPr>
          <w:p>
            <w:pPr>
              <w:spacing w:after="0"/>
              <w:rPr>
                <w:sz w:val="19"/>
                <w:szCs w:val="19"/>
                <w:color w:val="auto"/>
              </w:rPr>
            </w:pPr>
          </w:p>
        </w:tc>
      </w:tr>
      <w:tr>
        <w:trPr>
          <w:trHeight w:val="229"/>
        </w:trPr>
        <w:tc>
          <w:tcPr>
            <w:tcW w:w="7680" w:type="dxa"/>
            <w:vAlign w:val="bottom"/>
          </w:tcPr>
          <w:p>
            <w:pPr>
              <w:spacing w:after="0"/>
              <w:rPr>
                <w:sz w:val="20"/>
                <w:szCs w:val="20"/>
                <w:color w:val="auto"/>
              </w:rPr>
            </w:pPr>
            <w:r>
              <w:rPr>
                <w:rFonts w:ascii="Arial" w:cs="Arial" w:eastAsia="Arial" w:hAnsi="Arial"/>
                <w:sz w:val="18"/>
                <w:szCs w:val="18"/>
                <w:color w:val="auto"/>
              </w:rPr>
              <w:t>In-process research and development</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15,200,000</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15,200,000</w:t>
            </w:r>
          </w:p>
        </w:tc>
        <w:tc>
          <w:tcPr>
            <w:tcW w:w="120" w:type="dxa"/>
            <w:vAlign w:val="bottom"/>
          </w:tcPr>
          <w:p>
            <w:pPr>
              <w:spacing w:after="0"/>
              <w:rPr>
                <w:sz w:val="19"/>
                <w:szCs w:val="19"/>
                <w:color w:val="auto"/>
              </w:rPr>
            </w:pPr>
          </w:p>
        </w:tc>
      </w:tr>
      <w:tr>
        <w:trPr>
          <w:trHeight w:val="230"/>
        </w:trPr>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30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14,869,399</w:t>
            </w:r>
          </w:p>
        </w:tc>
        <w:tc>
          <w:tcPr>
            <w:tcW w:w="3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14,869,399</w:t>
            </w:r>
          </w:p>
        </w:tc>
        <w:tc>
          <w:tcPr>
            <w:tcW w:w="120" w:type="dxa"/>
            <w:vAlign w:val="bottom"/>
            <w:shd w:val="clear" w:color="auto" w:fill="CFF0FC"/>
          </w:tcPr>
          <w:p>
            <w:pPr>
              <w:spacing w:after="0"/>
              <w:rPr>
                <w:sz w:val="19"/>
                <w:szCs w:val="19"/>
                <w:color w:val="auto"/>
              </w:rPr>
            </w:pPr>
          </w:p>
        </w:tc>
      </w:tr>
      <w:tr>
        <w:trPr>
          <w:trHeight w:val="263"/>
        </w:trPr>
        <w:tc>
          <w:tcPr>
            <w:tcW w:w="7680" w:type="dxa"/>
            <w:vAlign w:val="bottom"/>
            <w:tcBorders>
              <w:bottom w:val="single" w:sz="8" w:color="CFF0FC"/>
            </w:tcBorders>
          </w:tcPr>
          <w:p>
            <w:pPr>
              <w:ind w:left="500"/>
              <w:spacing w:after="0"/>
              <w:rPr>
                <w:sz w:val="20"/>
                <w:szCs w:val="20"/>
                <w:color w:val="auto"/>
              </w:rPr>
            </w:pPr>
            <w:r>
              <w:rPr>
                <w:rFonts w:ascii="Arial" w:cs="Arial" w:eastAsia="Arial" w:hAnsi="Arial"/>
                <w:sz w:val="18"/>
                <w:szCs w:val="18"/>
                <w:b w:val="1"/>
                <w:bCs w:val="1"/>
                <w:color w:val="auto"/>
              </w:rPr>
              <w:t>Total assets</w:t>
            </w: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b w:val="1"/>
                <w:bCs w:val="1"/>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66,166,650</w:t>
            </w:r>
          </w:p>
        </w:tc>
        <w:tc>
          <w:tcPr>
            <w:tcW w:w="30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77,498,796</w:t>
            </w:r>
          </w:p>
        </w:tc>
        <w:tc>
          <w:tcPr>
            <w:tcW w:w="120" w:type="dxa"/>
            <w:vAlign w:val="bottom"/>
            <w:tcBorders>
              <w:bottom w:val="single" w:sz="8" w:color="CFF0FC"/>
            </w:tcBorders>
          </w:tcPr>
          <w:p>
            <w:pPr>
              <w:spacing w:after="0"/>
              <w:rPr>
                <w:sz w:val="22"/>
                <w:szCs w:val="22"/>
                <w:color w:val="auto"/>
              </w:rPr>
            </w:pPr>
          </w:p>
        </w:tc>
      </w:tr>
      <w:tr>
        <w:trPr>
          <w:trHeight w:val="210"/>
        </w:trPr>
        <w:tc>
          <w:tcPr>
            <w:tcW w:w="76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9"/>
        </w:trPr>
        <w:tc>
          <w:tcPr>
            <w:tcW w:w="7680" w:type="dxa"/>
            <w:vAlign w:val="bottom"/>
          </w:tcPr>
          <w:p>
            <w:pPr>
              <w:ind w:left="2440"/>
              <w:spacing w:after="0"/>
              <w:rPr>
                <w:sz w:val="20"/>
                <w:szCs w:val="20"/>
                <w:color w:val="auto"/>
              </w:rPr>
            </w:pPr>
            <w:r>
              <w:rPr>
                <w:rFonts w:ascii="Arial" w:cs="Arial" w:eastAsia="Arial" w:hAnsi="Arial"/>
                <w:sz w:val="18"/>
                <w:szCs w:val="18"/>
                <w:b w:val="1"/>
                <w:bCs w:val="1"/>
                <w:color w:val="auto"/>
              </w:rPr>
              <w:t>Liabilities and Stockholders’ Equity</w:t>
            </w: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68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3,138,559</w:t>
            </w:r>
          </w:p>
        </w:tc>
        <w:tc>
          <w:tcPr>
            <w:tcW w:w="300" w:type="dxa"/>
            <w:vAlign w:val="bottom"/>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2,317,004</w:t>
            </w:r>
          </w:p>
        </w:tc>
        <w:tc>
          <w:tcPr>
            <w:tcW w:w="120" w:type="dxa"/>
            <w:vAlign w:val="bottom"/>
          </w:tcPr>
          <w:p>
            <w:pPr>
              <w:spacing w:after="0"/>
              <w:rPr>
                <w:sz w:val="19"/>
                <w:szCs w:val="19"/>
                <w:color w:val="auto"/>
              </w:rPr>
            </w:pPr>
          </w:p>
        </w:tc>
      </w:tr>
      <w:tr>
        <w:trPr>
          <w:trHeight w:val="230"/>
        </w:trPr>
        <w:tc>
          <w:tcPr>
            <w:tcW w:w="7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expenses and other current liabilities</w:t>
            </w: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4,079,649</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4,139,163</w:t>
            </w:r>
          </w:p>
        </w:tc>
        <w:tc>
          <w:tcPr>
            <w:tcW w:w="120" w:type="dxa"/>
            <w:vAlign w:val="bottom"/>
            <w:shd w:val="clear" w:color="auto" w:fill="CFF0FC"/>
          </w:tcPr>
          <w:p>
            <w:pPr>
              <w:spacing w:after="0"/>
              <w:rPr>
                <w:sz w:val="19"/>
                <w:szCs w:val="19"/>
                <w:color w:val="auto"/>
              </w:rPr>
            </w:pPr>
          </w:p>
        </w:tc>
      </w:tr>
      <w:tr>
        <w:trPr>
          <w:trHeight w:val="230"/>
        </w:trPr>
        <w:tc>
          <w:tcPr>
            <w:tcW w:w="76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Operating leases</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184,777</w:t>
            </w:r>
          </w:p>
        </w:tc>
        <w:tc>
          <w:tcPr>
            <w:tcW w:w="3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172,901</w:t>
            </w:r>
          </w:p>
        </w:tc>
        <w:tc>
          <w:tcPr>
            <w:tcW w:w="120" w:type="dxa"/>
            <w:vAlign w:val="bottom"/>
            <w:tcBorders>
              <w:bottom w:val="single" w:sz="8" w:color="CFF0FC"/>
            </w:tcBorders>
          </w:tcPr>
          <w:p>
            <w:pPr>
              <w:spacing w:after="0"/>
              <w:rPr>
                <w:sz w:val="19"/>
                <w:szCs w:val="19"/>
                <w:color w:val="auto"/>
              </w:rPr>
            </w:pPr>
          </w:p>
        </w:tc>
      </w:tr>
      <w:tr>
        <w:trPr>
          <w:trHeight w:val="223"/>
        </w:trPr>
        <w:tc>
          <w:tcPr>
            <w:tcW w:w="76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liabilities</w:t>
            </w: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7,402,985</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6,629,068</w:t>
            </w:r>
          </w:p>
        </w:tc>
        <w:tc>
          <w:tcPr>
            <w:tcW w:w="120" w:type="dxa"/>
            <w:vAlign w:val="bottom"/>
            <w:shd w:val="clear" w:color="auto" w:fill="CFF0FC"/>
          </w:tcPr>
          <w:p>
            <w:pPr>
              <w:spacing w:after="0"/>
              <w:rPr>
                <w:sz w:val="19"/>
                <w:szCs w:val="19"/>
                <w:color w:val="auto"/>
              </w:rPr>
            </w:pPr>
          </w:p>
        </w:tc>
      </w:tr>
      <w:tr>
        <w:trPr>
          <w:trHeight w:val="230"/>
        </w:trPr>
        <w:tc>
          <w:tcPr>
            <w:tcW w:w="7680" w:type="dxa"/>
            <w:vAlign w:val="bottom"/>
          </w:tcPr>
          <w:p>
            <w:pPr>
              <w:ind w:left="260"/>
              <w:spacing w:after="0"/>
              <w:rPr>
                <w:sz w:val="20"/>
                <w:szCs w:val="20"/>
                <w:color w:val="auto"/>
              </w:rPr>
            </w:pPr>
            <w:r>
              <w:rPr>
                <w:rFonts w:ascii="Arial" w:cs="Arial" w:eastAsia="Arial" w:hAnsi="Arial"/>
                <w:sz w:val="18"/>
                <w:szCs w:val="18"/>
                <w:color w:val="auto"/>
              </w:rPr>
              <w:t>Deferred taxes</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1,803,356</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1,803,356</w:t>
            </w:r>
          </w:p>
        </w:tc>
        <w:tc>
          <w:tcPr>
            <w:tcW w:w="120" w:type="dxa"/>
            <w:vAlign w:val="bottom"/>
          </w:tcPr>
          <w:p>
            <w:pPr>
              <w:spacing w:after="0"/>
              <w:rPr>
                <w:sz w:val="19"/>
                <w:szCs w:val="19"/>
                <w:color w:val="auto"/>
              </w:rPr>
            </w:pPr>
          </w:p>
        </w:tc>
      </w:tr>
      <w:tr>
        <w:trPr>
          <w:trHeight w:val="230"/>
        </w:trPr>
        <w:tc>
          <w:tcPr>
            <w:tcW w:w="7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revenue</w:t>
            </w:r>
          </w:p>
        </w:tc>
        <w:tc>
          <w:tcPr>
            <w:tcW w:w="30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41,175,600</w:t>
            </w:r>
          </w:p>
        </w:tc>
        <w:tc>
          <w:tcPr>
            <w:tcW w:w="120" w:type="dxa"/>
            <w:vAlign w:val="bottom"/>
            <w:shd w:val="clear" w:color="auto" w:fill="CFF0FC"/>
          </w:tcPr>
          <w:p>
            <w:pPr>
              <w:spacing w:after="0"/>
              <w:rPr>
                <w:sz w:val="19"/>
                <w:szCs w:val="19"/>
                <w:color w:val="auto"/>
              </w:rPr>
            </w:pPr>
          </w:p>
        </w:tc>
      </w:tr>
      <w:tr>
        <w:trPr>
          <w:trHeight w:val="229"/>
        </w:trPr>
        <w:tc>
          <w:tcPr>
            <w:tcW w:w="76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Noncurrent operating leases</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16,288</w:t>
            </w:r>
          </w:p>
        </w:tc>
        <w:tc>
          <w:tcPr>
            <w:tcW w:w="3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111,229</w:t>
            </w:r>
          </w:p>
        </w:tc>
        <w:tc>
          <w:tcPr>
            <w:tcW w:w="120" w:type="dxa"/>
            <w:vAlign w:val="bottom"/>
            <w:tcBorders>
              <w:bottom w:val="single" w:sz="8" w:color="CFF0FC"/>
            </w:tcBorders>
          </w:tcPr>
          <w:p>
            <w:pPr>
              <w:spacing w:after="0"/>
              <w:rPr>
                <w:sz w:val="19"/>
                <w:szCs w:val="19"/>
                <w:color w:val="auto"/>
              </w:rPr>
            </w:pPr>
          </w:p>
        </w:tc>
      </w:tr>
      <w:tr>
        <w:trPr>
          <w:trHeight w:val="223"/>
        </w:trPr>
        <w:tc>
          <w:tcPr>
            <w:tcW w:w="76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liabilities</w:t>
            </w:r>
          </w:p>
        </w:tc>
        <w:tc>
          <w:tcPr>
            <w:tcW w:w="30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9,222,629</w:t>
            </w:r>
          </w:p>
        </w:tc>
        <w:tc>
          <w:tcPr>
            <w:tcW w:w="3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49,719,253</w:t>
            </w:r>
          </w:p>
        </w:tc>
        <w:tc>
          <w:tcPr>
            <w:tcW w:w="120" w:type="dxa"/>
            <w:vAlign w:val="bottom"/>
            <w:shd w:val="clear" w:color="auto" w:fill="CFF0FC"/>
          </w:tcPr>
          <w:p>
            <w:pPr>
              <w:spacing w:after="0"/>
              <w:rPr>
                <w:sz w:val="19"/>
                <w:szCs w:val="19"/>
                <w:color w:val="auto"/>
              </w:rPr>
            </w:pPr>
          </w:p>
        </w:tc>
      </w:tr>
      <w:tr>
        <w:trPr>
          <w:trHeight w:val="223"/>
        </w:trPr>
        <w:tc>
          <w:tcPr>
            <w:tcW w:w="7680" w:type="dxa"/>
            <w:vAlign w:val="bottom"/>
          </w:tcPr>
          <w:p>
            <w:pPr>
              <w:spacing w:after="0"/>
              <w:rPr>
                <w:sz w:val="20"/>
                <w:szCs w:val="20"/>
                <w:color w:val="auto"/>
              </w:rPr>
            </w:pPr>
            <w:r>
              <w:rPr>
                <w:rFonts w:ascii="Arial" w:cs="Arial" w:eastAsia="Arial" w:hAnsi="Arial"/>
                <w:sz w:val="18"/>
                <w:szCs w:val="18"/>
                <w:color w:val="auto"/>
              </w:rPr>
              <w:t>Commitments and contingencies (Note 8)</w:t>
            </w: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6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680" w:type="dxa"/>
            <w:vAlign w:val="bottom"/>
          </w:tcPr>
          <w:p>
            <w:pPr>
              <w:spacing w:after="0"/>
              <w:rPr>
                <w:sz w:val="20"/>
                <w:szCs w:val="20"/>
                <w:color w:val="auto"/>
              </w:rPr>
            </w:pPr>
            <w:r>
              <w:rPr>
                <w:rFonts w:ascii="Arial" w:cs="Arial" w:eastAsia="Arial" w:hAnsi="Arial"/>
                <w:sz w:val="18"/>
                <w:szCs w:val="18"/>
                <w:color w:val="auto"/>
              </w:rPr>
              <w:t>Stockholders’ equity</w:t>
            </w: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5"/>
        </w:trPr>
        <w:tc>
          <w:tcPr>
            <w:tcW w:w="7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Preferred stock; $0.0001 par value; 100,000,000 shares authorized; none issued</w:t>
            </w:r>
          </w:p>
        </w:tc>
        <w:tc>
          <w:tcPr>
            <w:tcW w:w="3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or outstanding as of June 30, 2020 and December 31, 2019, respectively</w:t>
            </w:r>
          </w:p>
        </w:tc>
        <w:tc>
          <w:tcPr>
            <w:tcW w:w="300" w:type="dxa"/>
            <w:vAlign w:val="bottom"/>
            <w:shd w:val="clear" w:color="auto" w:fill="CFF0FC"/>
          </w:tcPr>
          <w:p>
            <w:pPr>
              <w:spacing w:after="0"/>
              <w:rPr>
                <w:sz w:val="20"/>
                <w:szCs w:val="20"/>
                <w:color w:val="auto"/>
              </w:rPr>
            </w:pPr>
          </w:p>
        </w:tc>
        <w:tc>
          <w:tcPr>
            <w:tcW w:w="15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15"/>
        </w:trPr>
        <w:tc>
          <w:tcPr>
            <w:tcW w:w="7680" w:type="dxa"/>
            <w:vAlign w:val="bottom"/>
          </w:tcPr>
          <w:p>
            <w:pPr>
              <w:ind w:left="260"/>
              <w:spacing w:after="0"/>
              <w:rPr>
                <w:sz w:val="20"/>
                <w:szCs w:val="20"/>
                <w:color w:val="auto"/>
              </w:rPr>
            </w:pPr>
            <w:r>
              <w:rPr>
                <w:rFonts w:ascii="Arial" w:cs="Arial" w:eastAsia="Arial" w:hAnsi="Arial"/>
                <w:sz w:val="18"/>
                <w:szCs w:val="18"/>
                <w:color w:val="auto"/>
              </w:rPr>
              <w:t>Common stock; $0.0001 par value; 125,000,000 shares authorized; 40,644,839 and</w:t>
            </w: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680" w:type="dxa"/>
            <w:vAlign w:val="bottom"/>
          </w:tcPr>
          <w:p>
            <w:pPr>
              <w:ind w:left="380"/>
              <w:spacing w:after="0"/>
              <w:rPr>
                <w:sz w:val="20"/>
                <w:szCs w:val="20"/>
                <w:color w:val="auto"/>
              </w:rPr>
            </w:pPr>
            <w:r>
              <w:rPr>
                <w:rFonts w:ascii="Arial" w:cs="Arial" w:eastAsia="Arial" w:hAnsi="Arial"/>
                <w:sz w:val="18"/>
                <w:szCs w:val="18"/>
                <w:color w:val="auto"/>
              </w:rPr>
              <w:t>39,084,121 shares issued and outstanding as of June 30, 2020 and</w:t>
            </w: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680" w:type="dxa"/>
            <w:vAlign w:val="bottom"/>
          </w:tcPr>
          <w:p>
            <w:pPr>
              <w:ind w:left="380"/>
              <w:spacing w:after="0"/>
              <w:rPr>
                <w:sz w:val="20"/>
                <w:szCs w:val="20"/>
                <w:color w:val="auto"/>
              </w:rPr>
            </w:pPr>
            <w:r>
              <w:rPr>
                <w:rFonts w:ascii="Arial" w:cs="Arial" w:eastAsia="Arial" w:hAnsi="Arial"/>
                <w:sz w:val="18"/>
                <w:szCs w:val="18"/>
                <w:color w:val="auto"/>
              </w:rPr>
              <w:t>December 31, 2019, respectively</w:t>
            </w:r>
          </w:p>
        </w:tc>
        <w:tc>
          <w:tcPr>
            <w:tcW w:w="3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4,065</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3,908</w:t>
            </w:r>
          </w:p>
        </w:tc>
        <w:tc>
          <w:tcPr>
            <w:tcW w:w="120" w:type="dxa"/>
            <w:vAlign w:val="bottom"/>
          </w:tcPr>
          <w:p>
            <w:pPr>
              <w:spacing w:after="0"/>
              <w:rPr>
                <w:sz w:val="20"/>
                <w:szCs w:val="20"/>
                <w:color w:val="auto"/>
              </w:rPr>
            </w:pPr>
          </w:p>
        </w:tc>
      </w:tr>
      <w:tr>
        <w:trPr>
          <w:trHeight w:val="230"/>
        </w:trPr>
        <w:tc>
          <w:tcPr>
            <w:tcW w:w="76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Additional paid-in capital</w:t>
            </w: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326,297,963</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314,511,853</w:t>
            </w:r>
          </w:p>
        </w:tc>
        <w:tc>
          <w:tcPr>
            <w:tcW w:w="120" w:type="dxa"/>
            <w:vAlign w:val="bottom"/>
            <w:shd w:val="clear" w:color="auto" w:fill="CFF0FC"/>
          </w:tcPr>
          <w:p>
            <w:pPr>
              <w:spacing w:after="0"/>
              <w:rPr>
                <w:sz w:val="19"/>
                <w:szCs w:val="19"/>
                <w:color w:val="auto"/>
              </w:rPr>
            </w:pPr>
          </w:p>
        </w:tc>
      </w:tr>
      <w:tr>
        <w:trPr>
          <w:trHeight w:val="229"/>
        </w:trPr>
        <w:tc>
          <w:tcPr>
            <w:tcW w:w="7680" w:type="dxa"/>
            <w:vAlign w:val="bottom"/>
          </w:tcPr>
          <w:p>
            <w:pPr>
              <w:ind w:left="140"/>
              <w:spacing w:after="0"/>
              <w:rPr>
                <w:sz w:val="20"/>
                <w:szCs w:val="20"/>
                <w:color w:val="auto"/>
              </w:rPr>
            </w:pPr>
            <w:r>
              <w:rPr>
                <w:rFonts w:ascii="Arial" w:cs="Arial" w:eastAsia="Arial" w:hAnsi="Arial"/>
                <w:sz w:val="18"/>
                <w:szCs w:val="18"/>
                <w:color w:val="auto"/>
              </w:rPr>
              <w:t>Accumulated deficit</w:t>
            </w:r>
          </w:p>
        </w:tc>
        <w:tc>
          <w:tcPr>
            <w:tcW w:w="300" w:type="dxa"/>
            <w:vAlign w:val="bottom"/>
          </w:tcPr>
          <w:p>
            <w:pPr>
              <w:spacing w:after="0"/>
              <w:rPr>
                <w:sz w:val="19"/>
                <w:szCs w:val="19"/>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(269,358,007)</w:t>
            </w:r>
          </w:p>
        </w:tc>
        <w:tc>
          <w:tcPr>
            <w:tcW w:w="220" w:type="dxa"/>
            <w:vAlign w:val="bottom"/>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(286,736,218)</w:t>
            </w:r>
          </w:p>
        </w:tc>
      </w:tr>
      <w:tr>
        <w:trPr>
          <w:trHeight w:val="223"/>
        </w:trPr>
        <w:tc>
          <w:tcPr>
            <w:tcW w:w="768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stockholders’ equity</w:t>
            </w: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56,944,021</w:t>
            </w:r>
          </w:p>
        </w:tc>
        <w:tc>
          <w:tcPr>
            <w:tcW w:w="3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27,779,543</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7680" w:type="dxa"/>
            <w:vAlign w:val="bottom"/>
          </w:tcPr>
          <w:p>
            <w:pPr>
              <w:ind w:left="500"/>
              <w:spacing w:after="0"/>
              <w:rPr>
                <w:sz w:val="20"/>
                <w:szCs w:val="20"/>
                <w:color w:val="auto"/>
              </w:rPr>
            </w:pPr>
            <w:r>
              <w:rPr>
                <w:rFonts w:ascii="Arial" w:cs="Arial" w:eastAsia="Arial" w:hAnsi="Arial"/>
                <w:sz w:val="18"/>
                <w:szCs w:val="18"/>
                <w:b w:val="1"/>
                <w:bCs w:val="1"/>
                <w:color w:val="auto"/>
              </w:rPr>
              <w:t>Total liabilities and stockholders’ equity</w:t>
            </w: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b w:val="1"/>
                <w:bCs w:val="1"/>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66,166,650</w:t>
            </w:r>
          </w:p>
        </w:tc>
        <w:tc>
          <w:tcPr>
            <w:tcW w:w="30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77,498,796</w:t>
            </w:r>
          </w:p>
        </w:tc>
        <w:tc>
          <w:tcPr>
            <w:tcW w:w="120" w:type="dxa"/>
            <w:vAlign w:val="bottom"/>
          </w:tcPr>
          <w:p>
            <w:pPr>
              <w:spacing w:after="0"/>
              <w:rPr>
                <w:sz w:val="19"/>
                <w:szCs w:val="19"/>
                <w:color w:val="auto"/>
              </w:rPr>
            </w:pPr>
          </w:p>
        </w:tc>
      </w:tr>
      <w:tr>
        <w:trPr>
          <w:trHeight w:val="20"/>
        </w:trPr>
        <w:tc>
          <w:tcPr>
            <w:tcW w:w="76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ind w:left="4240"/>
        <w:spacing w:after="0"/>
        <w:rPr>
          <w:sz w:val="20"/>
          <w:szCs w:val="20"/>
          <w:color w:val="auto"/>
        </w:rPr>
      </w:pPr>
      <w:r>
        <w:rPr>
          <w:rFonts w:ascii="Arial" w:cs="Arial" w:eastAsia="Arial" w:hAnsi="Arial"/>
          <w:sz w:val="18"/>
          <w:szCs w:val="18"/>
          <w:color w:val="auto"/>
        </w:rPr>
        <w:t>MINERVA NEUROSCIENCES, INC.</w:t>
      </w:r>
    </w:p>
    <w:p>
      <w:pPr>
        <w:spacing w:after="0" w:line="113"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8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w w:val="98"/>
              </w:rPr>
              <w:t>Three Months Ended June 30,</w:t>
            </w:r>
          </w:p>
        </w:tc>
        <w:tc>
          <w:tcPr>
            <w:tcW w:w="220" w:type="dxa"/>
            <w:vAlign w:val="bottom"/>
          </w:tcPr>
          <w:p>
            <w:pPr>
              <w:spacing w:after="0"/>
              <w:rPr>
                <w:sz w:val="14"/>
                <w:szCs w:val="14"/>
                <w:color w:val="auto"/>
              </w:rPr>
            </w:pPr>
          </w:p>
        </w:tc>
        <w:tc>
          <w:tcPr>
            <w:tcW w:w="246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Six Months Ended June 30,</w:t>
            </w:r>
          </w:p>
        </w:tc>
      </w:tr>
      <w:tr>
        <w:trPr>
          <w:trHeight w:val="156"/>
        </w:trPr>
        <w:tc>
          <w:tcPr>
            <w:tcW w:w="4520" w:type="dxa"/>
            <w:vAlign w:val="bottom"/>
            <w:tcBorders>
              <w:bottom w:val="single" w:sz="8" w:color="CFF0FC"/>
            </w:tcBorders>
          </w:tcPr>
          <w:p>
            <w:pPr>
              <w:spacing w:after="0"/>
              <w:rPr>
                <w:sz w:val="13"/>
                <w:szCs w:val="13"/>
                <w:color w:val="auto"/>
              </w:rPr>
            </w:pPr>
          </w:p>
        </w:tc>
        <w:tc>
          <w:tcPr>
            <w:tcW w:w="126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top w:val="single" w:sz="8" w:color="auto"/>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71"/>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r>
      <w:tr>
        <w:trPr>
          <w:trHeight w:val="223"/>
        </w:trPr>
        <w:tc>
          <w:tcPr>
            <w:tcW w:w="45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1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3"/>
        </w:trPr>
        <w:tc>
          <w:tcPr>
            <w:tcW w:w="4520" w:type="dxa"/>
            <w:vAlign w:val="bottom"/>
          </w:tcPr>
          <w:p>
            <w:pPr>
              <w:ind w:left="260"/>
              <w:spacing w:after="0"/>
              <w:rPr>
                <w:sz w:val="20"/>
                <w:szCs w:val="20"/>
                <w:color w:val="auto"/>
              </w:rPr>
            </w:pPr>
            <w:r>
              <w:rPr>
                <w:rFonts w:ascii="Arial" w:cs="Arial" w:eastAsia="Arial" w:hAnsi="Arial"/>
                <w:sz w:val="18"/>
                <w:szCs w:val="18"/>
                <w:color w:val="auto"/>
              </w:rPr>
              <w:t>Collaborative revenue</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9"/>
              </w:rPr>
              <w:t>41,175,600</w:t>
            </w:r>
          </w:p>
        </w:tc>
        <w:tc>
          <w:tcPr>
            <w:tcW w:w="2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41,175,600</w:t>
            </w:r>
          </w:p>
        </w:tc>
        <w:tc>
          <w:tcPr>
            <w:tcW w:w="260" w:type="dxa"/>
            <w:vAlign w:val="bottom"/>
          </w:tcPr>
          <w:p>
            <w:pPr>
              <w:spacing w:after="0"/>
              <w:rPr>
                <w:sz w:val="21"/>
                <w:szCs w:val="21"/>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7"/>
        </w:trPr>
        <w:tc>
          <w:tcPr>
            <w:tcW w:w="452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revenues</w:t>
            </w:r>
          </w:p>
        </w:tc>
        <w:tc>
          <w:tcPr>
            <w:tcW w:w="1260" w:type="dxa"/>
            <w:vAlign w:val="bottom"/>
            <w:tcBorders>
              <w:top w:val="single" w:sz="8" w:color="CFF0FC"/>
            </w:tcBorders>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41,175,600</w:t>
            </w:r>
          </w:p>
        </w:tc>
        <w:tc>
          <w:tcPr>
            <w:tcW w:w="240" w:type="dxa"/>
            <w:vAlign w:val="bottom"/>
            <w:tcBorders>
              <w:top w:val="single" w:sz="8" w:color="CFF0FC"/>
            </w:tcBorders>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41,175,600</w:t>
            </w:r>
          </w:p>
        </w:tc>
        <w:tc>
          <w:tcPr>
            <w:tcW w:w="260" w:type="dxa"/>
            <w:vAlign w:val="bottom"/>
            <w:tcBorders>
              <w:top w:val="single" w:sz="8" w:color="CFF0FC"/>
            </w:tcBorders>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20"/>
                <w:szCs w:val="20"/>
                <w:color w:val="auto"/>
              </w:rPr>
            </w:pPr>
          </w:p>
        </w:tc>
      </w:tr>
      <w:tr>
        <w:trPr>
          <w:trHeight w:val="239"/>
        </w:trPr>
        <w:tc>
          <w:tcPr>
            <w:tcW w:w="452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4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1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5,766,984</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8,319,612</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13,849,494</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19,925,809</w:t>
            </w:r>
          </w:p>
        </w:tc>
        <w:tc>
          <w:tcPr>
            <w:tcW w:w="100" w:type="dxa"/>
            <w:vAlign w:val="bottom"/>
            <w:shd w:val="clear" w:color="auto" w:fill="CFF0FC"/>
          </w:tcPr>
          <w:p>
            <w:pPr>
              <w:spacing w:after="0"/>
              <w:rPr>
                <w:sz w:val="21"/>
                <w:szCs w:val="21"/>
                <w:color w:val="auto"/>
              </w:rPr>
            </w:pPr>
          </w:p>
        </w:tc>
      </w:tr>
      <w:tr>
        <w:trPr>
          <w:trHeight w:val="243"/>
        </w:trPr>
        <w:tc>
          <w:tcPr>
            <w:tcW w:w="45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General and administrative</w:t>
            </w:r>
          </w:p>
        </w:tc>
        <w:tc>
          <w:tcPr>
            <w:tcW w:w="1260" w:type="dxa"/>
            <w:vAlign w:val="bottom"/>
            <w:tcBorders>
              <w:bottom w:val="single" w:sz="8" w:color="CFF0FC"/>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5,900,518</w:t>
            </w:r>
          </w:p>
        </w:tc>
        <w:tc>
          <w:tcPr>
            <w:tcW w:w="24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4,584,361</w:t>
            </w:r>
          </w:p>
        </w:tc>
        <w:tc>
          <w:tcPr>
            <w:tcW w:w="24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10,089,586</w:t>
            </w:r>
          </w:p>
        </w:tc>
        <w:tc>
          <w:tcPr>
            <w:tcW w:w="26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9,290,035</w:t>
            </w:r>
          </w:p>
        </w:tc>
        <w:tc>
          <w:tcPr>
            <w:tcW w:w="100" w:type="dxa"/>
            <w:vAlign w:val="bottom"/>
            <w:tcBorders>
              <w:bottom w:val="single" w:sz="8" w:color="CFF0FC"/>
            </w:tcBorders>
          </w:tcPr>
          <w:p>
            <w:pPr>
              <w:spacing w:after="0"/>
              <w:rPr>
                <w:sz w:val="21"/>
                <w:szCs w:val="21"/>
                <w:color w:val="auto"/>
              </w:rPr>
            </w:pPr>
          </w:p>
        </w:tc>
      </w:tr>
      <w:tr>
        <w:trPr>
          <w:trHeight w:val="236"/>
        </w:trPr>
        <w:tc>
          <w:tcPr>
            <w:tcW w:w="45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expenses</w:t>
            </w:r>
          </w:p>
        </w:tc>
        <w:tc>
          <w:tcPr>
            <w:tcW w:w="126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11,667,502</w:t>
            </w:r>
          </w:p>
        </w:tc>
        <w:tc>
          <w:tcPr>
            <w:tcW w:w="24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12,903,973</w:t>
            </w:r>
          </w:p>
        </w:tc>
        <w:tc>
          <w:tcPr>
            <w:tcW w:w="240" w:type="dxa"/>
            <w:vAlign w:val="bottom"/>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23,939,080</w:t>
            </w:r>
          </w:p>
        </w:tc>
        <w:tc>
          <w:tcPr>
            <w:tcW w:w="26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29,215,844</w:t>
            </w:r>
          </w:p>
        </w:tc>
        <w:tc>
          <w:tcPr>
            <w:tcW w:w="100" w:type="dxa"/>
            <w:vAlign w:val="bottom"/>
            <w:shd w:val="clear" w:color="auto" w:fill="CFF0FC"/>
          </w:tcPr>
          <w:p>
            <w:pPr>
              <w:spacing w:after="0"/>
              <w:rPr>
                <w:sz w:val="20"/>
                <w:szCs w:val="20"/>
                <w:color w:val="auto"/>
              </w:rPr>
            </w:pPr>
          </w:p>
        </w:tc>
      </w:tr>
      <w:tr>
        <w:trPr>
          <w:trHeight w:val="237"/>
        </w:trPr>
        <w:tc>
          <w:tcPr>
            <w:tcW w:w="4520" w:type="dxa"/>
            <w:vAlign w:val="bottom"/>
          </w:tcPr>
          <w:p>
            <w:pPr>
              <w:spacing w:after="0"/>
              <w:rPr>
                <w:sz w:val="20"/>
                <w:szCs w:val="20"/>
                <w:color w:val="auto"/>
              </w:rPr>
            </w:pPr>
            <w:r>
              <w:rPr>
                <w:rFonts w:ascii="Arial" w:cs="Arial" w:eastAsia="Arial" w:hAnsi="Arial"/>
                <w:sz w:val="18"/>
                <w:szCs w:val="18"/>
                <w:color w:val="auto"/>
              </w:rPr>
              <w:t>Gain (loss) from operations</w:t>
            </w: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29,508,098</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(12,903,973)</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17,236,520</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(29,215,844)</w:t>
            </w:r>
          </w:p>
        </w:tc>
      </w:tr>
      <w:tr>
        <w:trPr>
          <w:trHeight w:val="243"/>
        </w:trPr>
        <w:tc>
          <w:tcPr>
            <w:tcW w:w="452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4520" w:type="dxa"/>
            <w:vAlign w:val="bottom"/>
          </w:tcPr>
          <w:p>
            <w:pPr>
              <w:spacing w:after="0"/>
              <w:rPr>
                <w:sz w:val="20"/>
                <w:szCs w:val="20"/>
                <w:color w:val="auto"/>
              </w:rPr>
            </w:pPr>
            <w:r>
              <w:rPr>
                <w:rFonts w:ascii="Arial" w:cs="Arial" w:eastAsia="Arial" w:hAnsi="Arial"/>
                <w:sz w:val="18"/>
                <w:szCs w:val="18"/>
                <w:color w:val="auto"/>
              </w:rPr>
              <w:t>Foreign exchange losses</w:t>
            </w:r>
          </w:p>
        </w:tc>
        <w:tc>
          <w:tcPr>
            <w:tcW w:w="1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(3,661)</w:t>
            </w:r>
          </w:p>
        </w:tc>
        <w:tc>
          <w:tcPr>
            <w:tcW w:w="18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(6,718)</w:t>
            </w:r>
          </w:p>
        </w:tc>
        <w:tc>
          <w:tcPr>
            <w:tcW w:w="22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(13,053)</w:t>
            </w:r>
          </w:p>
        </w:tc>
        <w:tc>
          <w:tcPr>
            <w:tcW w:w="180" w:type="dxa"/>
            <w:vAlign w:val="bottom"/>
          </w:tcPr>
          <w:p>
            <w:pPr>
              <w:spacing w:after="0"/>
              <w:rPr>
                <w:sz w:val="21"/>
                <w:szCs w:val="21"/>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(13,031)</w:t>
            </w:r>
          </w:p>
        </w:tc>
      </w:tr>
      <w:tr>
        <w:trPr>
          <w:trHeight w:val="243"/>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Investment income</w:t>
            </w:r>
          </w:p>
        </w:tc>
        <w:tc>
          <w:tcPr>
            <w:tcW w:w="1260" w:type="dxa"/>
            <w:vAlign w:val="bottom"/>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24,939</w:t>
            </w:r>
          </w:p>
        </w:tc>
        <w:tc>
          <w:tcPr>
            <w:tcW w:w="240" w:type="dxa"/>
            <w:vAlign w:val="bottom"/>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434,220</w:t>
            </w:r>
          </w:p>
        </w:tc>
        <w:tc>
          <w:tcPr>
            <w:tcW w:w="240" w:type="dxa"/>
            <w:vAlign w:val="bottom"/>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154,744</w:t>
            </w:r>
          </w:p>
        </w:tc>
        <w:tc>
          <w:tcPr>
            <w:tcW w:w="260" w:type="dxa"/>
            <w:vAlign w:val="bottom"/>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925,204</w:t>
            </w:r>
          </w:p>
        </w:tc>
        <w:tc>
          <w:tcPr>
            <w:tcW w:w="100" w:type="dxa"/>
            <w:vAlign w:val="bottom"/>
            <w:shd w:val="clear" w:color="auto" w:fill="CFF0FC"/>
          </w:tcPr>
          <w:p>
            <w:pPr>
              <w:spacing w:after="0"/>
              <w:rPr>
                <w:sz w:val="21"/>
                <w:szCs w:val="21"/>
                <w:color w:val="auto"/>
              </w:rPr>
            </w:pPr>
          </w:p>
        </w:tc>
      </w:tr>
      <w:tr>
        <w:trPr>
          <w:trHeight w:val="277"/>
        </w:trPr>
        <w:tc>
          <w:tcPr>
            <w:tcW w:w="4520" w:type="dxa"/>
            <w:vAlign w:val="bottom"/>
          </w:tcPr>
          <w:p>
            <w:pPr>
              <w:ind w:left="500"/>
              <w:spacing w:after="0"/>
              <w:rPr>
                <w:sz w:val="20"/>
                <w:szCs w:val="20"/>
                <w:color w:val="auto"/>
              </w:rPr>
            </w:pPr>
            <w:r>
              <w:rPr>
                <w:rFonts w:ascii="Arial" w:cs="Arial" w:eastAsia="Arial" w:hAnsi="Arial"/>
                <w:sz w:val="18"/>
                <w:szCs w:val="18"/>
                <w:color w:val="auto"/>
              </w:rPr>
              <w:t>Net income (loss)</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9"/>
              </w:rPr>
              <w:t>29,529,376</w:t>
            </w:r>
          </w:p>
        </w:tc>
        <w:tc>
          <w:tcPr>
            <w:tcW w:w="24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(12,476,471)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17,378,211</w:t>
            </w:r>
          </w:p>
        </w:tc>
        <w:tc>
          <w:tcPr>
            <w:tcW w:w="260" w:type="dxa"/>
            <w:vAlign w:val="bottom"/>
          </w:tcPr>
          <w:p>
            <w:pPr>
              <w:spacing w:after="0"/>
              <w:rPr>
                <w:sz w:val="24"/>
                <w:szCs w:val="24"/>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(28,303,671)</w:t>
            </w:r>
          </w:p>
        </w:tc>
      </w:tr>
      <w:tr>
        <w:trPr>
          <w:trHeight w:val="223"/>
        </w:trPr>
        <w:tc>
          <w:tcPr>
            <w:tcW w:w="452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83"/>
        </w:trPr>
        <w:tc>
          <w:tcPr>
            <w:tcW w:w="4520" w:type="dxa"/>
            <w:vAlign w:val="bottom"/>
          </w:tcPr>
          <w:p>
            <w:pPr>
              <w:spacing w:after="0"/>
              <w:rPr>
                <w:sz w:val="20"/>
                <w:szCs w:val="20"/>
                <w:color w:val="auto"/>
              </w:rPr>
            </w:pPr>
            <w:r>
              <w:rPr>
                <w:rFonts w:ascii="Arial" w:cs="Arial" w:eastAsia="Arial" w:hAnsi="Arial"/>
                <w:sz w:val="18"/>
                <w:szCs w:val="18"/>
                <w:color w:val="auto"/>
              </w:rPr>
              <w:t>Net income (loss) per share, basic</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0.75</w:t>
            </w:r>
          </w:p>
        </w:tc>
        <w:tc>
          <w:tcPr>
            <w:tcW w:w="24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(0.32)</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0.44</w:t>
            </w:r>
          </w:p>
        </w:tc>
        <w:tc>
          <w:tcPr>
            <w:tcW w:w="260" w:type="dxa"/>
            <w:vAlign w:val="bottom"/>
          </w:tcPr>
          <w:p>
            <w:pPr>
              <w:spacing w:after="0"/>
              <w:rPr>
                <w:sz w:val="24"/>
                <w:szCs w:val="24"/>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(0.73)</w:t>
            </w:r>
          </w:p>
        </w:tc>
      </w:tr>
      <w:tr>
        <w:trPr>
          <w:trHeight w:val="224"/>
        </w:trPr>
        <w:tc>
          <w:tcPr>
            <w:tcW w:w="4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 average shares outstanding, basic</w:t>
            </w:r>
          </w:p>
        </w:tc>
        <w:tc>
          <w:tcPr>
            <w:tcW w:w="12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39,483,187</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39,025,471</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39,330,389</w:t>
            </w: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38,996,949</w:t>
            </w:r>
          </w:p>
        </w:tc>
        <w:tc>
          <w:tcPr>
            <w:tcW w:w="100" w:type="dxa"/>
            <w:vAlign w:val="bottom"/>
            <w:tcBorders>
              <w:top w:val="single" w:sz="8" w:color="CFF0FC"/>
            </w:tcBorders>
            <w:shd w:val="clear" w:color="auto" w:fill="CFF0FC"/>
          </w:tcPr>
          <w:p>
            <w:pPr>
              <w:spacing w:after="0"/>
              <w:rPr>
                <w:sz w:val="19"/>
                <w:szCs w:val="19"/>
                <w:color w:val="auto"/>
              </w:rPr>
            </w:pPr>
          </w:p>
        </w:tc>
      </w:tr>
      <w:tr>
        <w:trPr>
          <w:trHeight w:val="276"/>
        </w:trPr>
        <w:tc>
          <w:tcPr>
            <w:tcW w:w="4520" w:type="dxa"/>
            <w:vAlign w:val="bottom"/>
          </w:tcPr>
          <w:p>
            <w:pPr>
              <w:spacing w:after="0"/>
              <w:rPr>
                <w:sz w:val="20"/>
                <w:szCs w:val="20"/>
                <w:color w:val="auto"/>
              </w:rPr>
            </w:pPr>
            <w:r>
              <w:rPr>
                <w:rFonts w:ascii="Arial" w:cs="Arial" w:eastAsia="Arial" w:hAnsi="Arial"/>
                <w:sz w:val="18"/>
                <w:szCs w:val="18"/>
                <w:color w:val="auto"/>
              </w:rPr>
              <w:t>Net income (loss) per share, diluted</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0.73</w:t>
            </w:r>
          </w:p>
        </w:tc>
        <w:tc>
          <w:tcPr>
            <w:tcW w:w="24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(0.32)</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0.43</w:t>
            </w:r>
          </w:p>
        </w:tc>
        <w:tc>
          <w:tcPr>
            <w:tcW w:w="260" w:type="dxa"/>
            <w:vAlign w:val="bottom"/>
          </w:tcPr>
          <w:p>
            <w:pPr>
              <w:spacing w:after="0"/>
              <w:rPr>
                <w:sz w:val="24"/>
                <w:szCs w:val="24"/>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(0.73)</w:t>
            </w:r>
          </w:p>
        </w:tc>
      </w:tr>
      <w:tr>
        <w:trPr>
          <w:trHeight w:val="223"/>
        </w:trPr>
        <w:tc>
          <w:tcPr>
            <w:tcW w:w="4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 average shares outstanding, diluted</w:t>
            </w:r>
          </w:p>
        </w:tc>
        <w:tc>
          <w:tcPr>
            <w:tcW w:w="12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40,278,071</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39,025,471</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40,144,996</w:t>
            </w: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38,996,949</w:t>
            </w:r>
          </w:p>
        </w:tc>
        <w:tc>
          <w:tcPr>
            <w:tcW w:w="100" w:type="dxa"/>
            <w:vAlign w:val="bottom"/>
            <w:tcBorders>
              <w:top w:val="single" w:sz="8" w:color="CFF0FC"/>
            </w:tcBorders>
            <w:shd w:val="clear" w:color="auto" w:fill="CFF0FC"/>
          </w:tcPr>
          <w:p>
            <w:pPr>
              <w:spacing w:after="0"/>
              <w:rPr>
                <w:sz w:val="19"/>
                <w:szCs w:val="19"/>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 w:name="page6"/>
    <w:bookmarkEnd w:id="5"/>
    <w:p>
      <w:pPr>
        <w:ind w:left="4240"/>
        <w:spacing w:after="0"/>
        <w:rPr>
          <w:sz w:val="20"/>
          <w:szCs w:val="20"/>
          <w:color w:val="auto"/>
        </w:rPr>
      </w:pPr>
      <w:r>
        <w:rPr>
          <w:rFonts w:ascii="Arial" w:cs="Arial" w:eastAsia="Arial" w:hAnsi="Arial"/>
          <w:sz w:val="18"/>
          <w:szCs w:val="18"/>
          <w:color w:val="auto"/>
        </w:rPr>
        <w:t>MINERVA NEUROSCIENCES, INC.</w:t>
      </w:r>
    </w:p>
    <w:p>
      <w:pPr>
        <w:spacing w:after="0" w:line="113"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Common Stock</w:t>
            </w:r>
          </w:p>
        </w:tc>
        <w:tc>
          <w:tcPr>
            <w:tcW w:w="9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Additional</w:t>
            </w:r>
          </w:p>
        </w:tc>
        <w:tc>
          <w:tcPr>
            <w:tcW w:w="180" w:type="dxa"/>
            <w:vAlign w:val="bottom"/>
          </w:tcPr>
          <w:p>
            <w:pPr>
              <w:spacing w:after="0"/>
              <w:rPr>
                <w:sz w:val="14"/>
                <w:szCs w:val="14"/>
                <w:color w:val="auto"/>
              </w:rPr>
            </w:pPr>
          </w:p>
        </w:tc>
        <w:tc>
          <w:tcPr>
            <w:tcW w:w="1420" w:type="dxa"/>
            <w:vAlign w:val="bottom"/>
            <w:gridSpan w:val="2"/>
          </w:tcPr>
          <w:p>
            <w:pPr>
              <w:jc w:val="right"/>
              <w:ind w:right="441"/>
              <w:spacing w:after="0"/>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3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20" w:type="dxa"/>
            <w:vAlign w:val="bottom"/>
            <w:gridSpan w:val="2"/>
          </w:tcPr>
          <w:p>
            <w:pPr>
              <w:ind w:left="180"/>
              <w:spacing w:after="0" w:line="155" w:lineRule="exact"/>
              <w:rPr>
                <w:sz w:val="20"/>
                <w:szCs w:val="20"/>
                <w:color w:val="auto"/>
              </w:rPr>
            </w:pPr>
            <w:r>
              <w:rPr>
                <w:rFonts w:ascii="Arial" w:cs="Arial" w:eastAsia="Arial" w:hAnsi="Arial"/>
                <w:sz w:val="14"/>
                <w:szCs w:val="14"/>
                <w:b w:val="1"/>
                <w:bCs w:val="1"/>
                <w:color w:val="auto"/>
              </w:rPr>
              <w:t>Shares</w:t>
            </w:r>
          </w:p>
        </w:tc>
        <w:tc>
          <w:tcPr>
            <w:tcW w:w="380" w:type="dxa"/>
            <w:vAlign w:val="bottom"/>
          </w:tcPr>
          <w:p>
            <w:pPr>
              <w:spacing w:after="0"/>
              <w:rPr>
                <w:sz w:val="13"/>
                <w:szCs w:val="13"/>
                <w:color w:val="auto"/>
              </w:rPr>
            </w:pPr>
          </w:p>
        </w:tc>
        <w:tc>
          <w:tcPr>
            <w:tcW w:w="960" w:type="dxa"/>
            <w:vAlign w:val="bottom"/>
          </w:tcPr>
          <w:p>
            <w:pPr>
              <w:jc w:val="right"/>
              <w:ind w:right="351"/>
              <w:spacing w:after="0" w:line="155" w:lineRule="exact"/>
              <w:rPr>
                <w:sz w:val="20"/>
                <w:szCs w:val="20"/>
                <w:color w:val="auto"/>
              </w:rPr>
            </w:pPr>
            <w:r>
              <w:rPr>
                <w:rFonts w:ascii="Arial" w:cs="Arial" w:eastAsia="Arial" w:hAnsi="Arial"/>
                <w:sz w:val="14"/>
                <w:szCs w:val="14"/>
                <w:b w:val="1"/>
                <w:bCs w:val="1"/>
                <w:color w:val="auto"/>
                <w:w w:val="94"/>
              </w:rPr>
              <w:t>Amount</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gridSpan w:val="2"/>
          </w:tcPr>
          <w:p>
            <w:pPr>
              <w:jc w:val="right"/>
              <w:ind w:right="460"/>
              <w:spacing w:after="0" w:line="155" w:lineRule="exact"/>
              <w:rPr>
                <w:sz w:val="20"/>
                <w:szCs w:val="20"/>
                <w:color w:val="auto"/>
              </w:rPr>
            </w:pPr>
            <w:r>
              <w:rPr>
                <w:rFonts w:ascii="Arial" w:cs="Arial" w:eastAsia="Arial" w:hAnsi="Arial"/>
                <w:sz w:val="14"/>
                <w:szCs w:val="14"/>
                <w:b w:val="1"/>
                <w:bCs w:val="1"/>
                <w:color w:val="auto"/>
              </w:rPr>
              <w:t>Paid-In Capital</w:t>
            </w:r>
          </w:p>
        </w:tc>
        <w:tc>
          <w:tcPr>
            <w:tcW w:w="180" w:type="dxa"/>
            <w:vAlign w:val="bottom"/>
          </w:tcPr>
          <w:p>
            <w:pPr>
              <w:spacing w:after="0"/>
              <w:rPr>
                <w:sz w:val="13"/>
                <w:szCs w:val="13"/>
                <w:color w:val="auto"/>
              </w:rPr>
            </w:pPr>
          </w:p>
        </w:tc>
        <w:tc>
          <w:tcPr>
            <w:tcW w:w="1420" w:type="dxa"/>
            <w:vAlign w:val="bottom"/>
            <w:gridSpan w:val="2"/>
          </w:tcPr>
          <w:p>
            <w:pPr>
              <w:jc w:val="right"/>
              <w:ind w:right="641"/>
              <w:spacing w:after="0" w:line="155" w:lineRule="exact"/>
              <w:rPr>
                <w:sz w:val="20"/>
                <w:szCs w:val="20"/>
                <w:color w:val="auto"/>
              </w:rPr>
            </w:pPr>
            <w:r>
              <w:rPr>
                <w:rFonts w:ascii="Arial" w:cs="Arial" w:eastAsia="Arial" w:hAnsi="Arial"/>
                <w:sz w:val="14"/>
                <w:szCs w:val="14"/>
                <w:b w:val="1"/>
                <w:bCs w:val="1"/>
                <w:color w:val="auto"/>
              </w:rPr>
              <w:t>Deficit</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gridSpan w:val="2"/>
          </w:tcPr>
          <w:p>
            <w:pPr>
              <w:jc w:val="right"/>
              <w:ind w:right="640"/>
              <w:spacing w:after="0" w:line="155" w:lineRule="exact"/>
              <w:rPr>
                <w:sz w:val="20"/>
                <w:szCs w:val="20"/>
                <w:color w:val="auto"/>
              </w:rPr>
            </w:pPr>
            <w:r>
              <w:rPr>
                <w:rFonts w:ascii="Arial" w:cs="Arial" w:eastAsia="Arial" w:hAnsi="Arial"/>
                <w:sz w:val="14"/>
                <w:szCs w:val="14"/>
                <w:b w:val="1"/>
                <w:bCs w:val="1"/>
                <w:color w:val="auto"/>
              </w:rPr>
              <w:t>Total</w:t>
            </w:r>
          </w:p>
        </w:tc>
      </w:tr>
      <w:tr>
        <w:trPr>
          <w:trHeight w:val="223"/>
        </w:trPr>
        <w:tc>
          <w:tcPr>
            <w:tcW w:w="3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Balances at January 1, 2019</w:t>
            </w:r>
          </w:p>
        </w:tc>
        <w:tc>
          <w:tcPr>
            <w:tcW w:w="28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38,937,971</w:t>
            </w:r>
          </w:p>
        </w:tc>
        <w:tc>
          <w:tcPr>
            <w:tcW w:w="26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227"/>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3,894</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304,813,603</w:t>
            </w: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(214,552,728)</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90,264,769</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87,500</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524,991</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525,000</w:t>
            </w:r>
          </w:p>
        </w:tc>
        <w:tc>
          <w:tcPr>
            <w:tcW w:w="120" w:type="dxa"/>
            <w:vAlign w:val="bottom"/>
          </w:tcPr>
          <w:p>
            <w:pPr>
              <w:spacing w:after="0"/>
              <w:rPr>
                <w:sz w:val="19"/>
                <w:szCs w:val="19"/>
                <w:color w:val="auto"/>
              </w:rPr>
            </w:pPr>
          </w:p>
        </w:tc>
      </w:tr>
      <w:tr>
        <w:trPr>
          <w:trHeight w:val="229"/>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2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2,461,699</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81"/>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2,461,699</w:t>
            </w:r>
          </w:p>
        </w:tc>
        <w:tc>
          <w:tcPr>
            <w:tcW w:w="120" w:type="dxa"/>
            <w:vAlign w:val="bottom"/>
            <w:shd w:val="clear" w:color="auto" w:fill="CFF0FC"/>
          </w:tcPr>
          <w:p>
            <w:pPr>
              <w:spacing w:after="0"/>
              <w:rPr>
                <w:sz w:val="19"/>
                <w:szCs w:val="19"/>
                <w:color w:val="auto"/>
              </w:rPr>
            </w:pP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Net loss</w:t>
            </w:r>
          </w:p>
        </w:tc>
        <w:tc>
          <w:tcPr>
            <w:tcW w:w="280" w:type="dxa"/>
            <w:vAlign w:val="bottom"/>
          </w:tcPr>
          <w:p>
            <w:pPr>
              <w:spacing w:after="0"/>
              <w:rPr>
                <w:sz w:val="19"/>
                <w:szCs w:val="19"/>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20" w:type="dxa"/>
            <w:vAlign w:val="bottom"/>
            <w:gridSpan w:val="2"/>
          </w:tcPr>
          <w:p>
            <w:pPr>
              <w:jc w:val="right"/>
              <w:ind w:right="101"/>
              <w:spacing w:after="0"/>
              <w:rPr>
                <w:sz w:val="20"/>
                <w:szCs w:val="20"/>
                <w:color w:val="auto"/>
              </w:rPr>
            </w:pPr>
            <w:r>
              <w:rPr>
                <w:rFonts w:ascii="Arial" w:cs="Arial" w:eastAsia="Arial" w:hAnsi="Arial"/>
                <w:sz w:val="18"/>
                <w:szCs w:val="18"/>
                <w:color w:val="auto"/>
              </w:rPr>
              <w:t>(15,827,200)</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(15,827,200)</w:t>
            </w:r>
          </w:p>
        </w:tc>
      </w:tr>
      <w:tr>
        <w:trPr>
          <w:trHeight w:val="223"/>
        </w:trPr>
        <w:tc>
          <w:tcPr>
            <w:tcW w:w="3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Balances at March 31, 2019</w:t>
            </w:r>
          </w:p>
        </w:tc>
        <w:tc>
          <w:tcPr>
            <w:tcW w:w="28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39,025,471</w:t>
            </w:r>
          </w:p>
        </w:tc>
        <w:tc>
          <w:tcPr>
            <w:tcW w:w="26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3,903</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307,800,293</w:t>
            </w: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(230,379,928)</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77,424,268</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80" w:type="dxa"/>
            <w:vAlign w:val="bottom"/>
          </w:tcPr>
          <w:p>
            <w:pPr>
              <w:spacing w:after="0"/>
              <w:rPr>
                <w:sz w:val="19"/>
                <w:szCs w:val="19"/>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2,320,392</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2,320,392</w:t>
            </w:r>
          </w:p>
        </w:tc>
        <w:tc>
          <w:tcPr>
            <w:tcW w:w="120" w:type="dxa"/>
            <w:vAlign w:val="bottom"/>
          </w:tcPr>
          <w:p>
            <w:pPr>
              <w:spacing w:after="0"/>
              <w:rPr>
                <w:sz w:val="19"/>
                <w:szCs w:val="19"/>
                <w:color w:val="auto"/>
              </w:rPr>
            </w:pPr>
          </w:p>
        </w:tc>
      </w:tr>
      <w:tr>
        <w:trPr>
          <w:trHeight w:val="229"/>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2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01"/>
              <w:spacing w:after="0"/>
              <w:rPr>
                <w:sz w:val="20"/>
                <w:szCs w:val="20"/>
                <w:color w:val="auto"/>
              </w:rPr>
            </w:pPr>
            <w:r>
              <w:rPr>
                <w:rFonts w:ascii="Arial" w:cs="Arial" w:eastAsia="Arial" w:hAnsi="Arial"/>
                <w:sz w:val="18"/>
                <w:szCs w:val="18"/>
                <w:color w:val="auto"/>
              </w:rPr>
              <w:t>(12,476,471)</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(12,476,471)</w:t>
            </w:r>
          </w:p>
        </w:tc>
      </w:tr>
      <w:tr>
        <w:trPr>
          <w:trHeight w:val="263"/>
        </w:trPr>
        <w:tc>
          <w:tcPr>
            <w:tcW w:w="338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Balances at June 30, 2019</w:t>
            </w:r>
          </w:p>
        </w:tc>
        <w:tc>
          <w:tcPr>
            <w:tcW w:w="28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39,025,471</w:t>
            </w:r>
          </w:p>
        </w:tc>
        <w:tc>
          <w:tcPr>
            <w:tcW w:w="260" w:type="dxa"/>
            <w:vAlign w:val="bottom"/>
            <w:tcBorders>
              <w:bottom w:val="single" w:sz="8" w:color="CFF0FC"/>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227"/>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3,903</w:t>
            </w:r>
          </w:p>
        </w:tc>
        <w:tc>
          <w:tcPr>
            <w:tcW w:w="24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310,120,685</w:t>
            </w:r>
          </w:p>
        </w:tc>
        <w:tc>
          <w:tcPr>
            <w:tcW w:w="26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(242,856,399</w:t>
            </w:r>
          </w:p>
        </w:tc>
        <w:tc>
          <w:tcPr>
            <w:tcW w:w="240" w:type="dxa"/>
            <w:vAlign w:val="bottom"/>
            <w:tcBorders>
              <w:bottom w:val="single" w:sz="8" w:color="CFF0FC"/>
            </w:tcBorders>
          </w:tcPr>
          <w:p>
            <w:pPr>
              <w:jc w:val="right"/>
              <w:ind w:right="101"/>
              <w:spacing w:after="0"/>
              <w:rPr>
                <w:sz w:val="20"/>
                <w:szCs w:val="20"/>
                <w:color w:val="auto"/>
              </w:rPr>
            </w:pPr>
            <w:r>
              <w:rPr>
                <w:rFonts w:ascii="Arial" w:cs="Arial" w:eastAsia="Arial" w:hAnsi="Arial"/>
                <w:sz w:val="16"/>
                <w:szCs w:val="16"/>
                <w:b w:val="1"/>
                <w:bCs w:val="1"/>
                <w:color w:val="auto"/>
                <w:w w:val="74"/>
              </w:rPr>
              <w:t>)</w:t>
            </w:r>
          </w:p>
        </w:tc>
        <w:tc>
          <w:tcPr>
            <w:tcW w:w="20" w:type="dxa"/>
            <w:vAlign w:val="bottom"/>
            <w:tcBorders>
              <w:bottom w:val="single" w:sz="8" w:color="CFF0FC"/>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67,268,189</w:t>
            </w:r>
          </w:p>
        </w:tc>
        <w:tc>
          <w:tcPr>
            <w:tcW w:w="120" w:type="dxa"/>
            <w:vAlign w:val="bottom"/>
            <w:tcBorders>
              <w:bottom w:val="single" w:sz="8" w:color="CFF0FC"/>
            </w:tcBorders>
          </w:tcPr>
          <w:p>
            <w:pPr>
              <w:spacing w:after="0"/>
              <w:rPr>
                <w:sz w:val="22"/>
                <w:szCs w:val="22"/>
                <w:color w:val="auto"/>
              </w:rPr>
            </w:pPr>
          </w:p>
        </w:tc>
      </w:tr>
      <w:tr>
        <w:trPr>
          <w:trHeight w:val="210"/>
        </w:trPr>
        <w:tc>
          <w:tcPr>
            <w:tcW w:w="33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9"/>
        </w:trPr>
        <w:tc>
          <w:tcPr>
            <w:tcW w:w="3380" w:type="dxa"/>
            <w:vAlign w:val="bottom"/>
          </w:tcPr>
          <w:p>
            <w:pPr>
              <w:spacing w:after="0"/>
              <w:rPr>
                <w:sz w:val="20"/>
                <w:szCs w:val="20"/>
                <w:color w:val="auto"/>
              </w:rPr>
            </w:pPr>
            <w:r>
              <w:rPr>
                <w:rFonts w:ascii="Arial" w:cs="Arial" w:eastAsia="Arial" w:hAnsi="Arial"/>
                <w:sz w:val="18"/>
                <w:szCs w:val="18"/>
                <w:b w:val="1"/>
                <w:bCs w:val="1"/>
                <w:color w:val="auto"/>
              </w:rPr>
              <w:t>Balances at January 1, 2020</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39,084,121</w:t>
            </w:r>
          </w:p>
        </w:tc>
        <w:tc>
          <w:tcPr>
            <w:tcW w:w="260" w:type="dxa"/>
            <w:vAlign w:val="bottom"/>
          </w:tcPr>
          <w:p>
            <w:pPr>
              <w:spacing w:after="0"/>
              <w:rPr>
                <w:sz w:val="19"/>
                <w:szCs w:val="19"/>
                <w:color w:val="auto"/>
              </w:rPr>
            </w:pPr>
          </w:p>
        </w:tc>
        <w:tc>
          <w:tcPr>
            <w:tcW w:w="380" w:type="dxa"/>
            <w:vAlign w:val="bottom"/>
          </w:tcPr>
          <w:p>
            <w:pPr>
              <w:jc w:val="right"/>
              <w:ind w:right="227"/>
              <w:spacing w:after="0"/>
              <w:rPr>
                <w:sz w:val="20"/>
                <w:szCs w:val="20"/>
                <w:color w:val="auto"/>
              </w:rPr>
            </w:pPr>
            <w:r>
              <w:rPr>
                <w:rFonts w:ascii="Arial" w:cs="Arial" w:eastAsia="Arial" w:hAnsi="Arial"/>
                <w:sz w:val="15"/>
                <w:szCs w:val="15"/>
                <w:b w:val="1"/>
                <w:bCs w:val="1"/>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3,908</w:t>
            </w:r>
          </w:p>
        </w:tc>
        <w:tc>
          <w:tcPr>
            <w:tcW w:w="2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314,511,853</w:t>
            </w:r>
          </w:p>
        </w:tc>
        <w:tc>
          <w:tcPr>
            <w:tcW w:w="2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420" w:type="dxa"/>
            <w:vAlign w:val="bottom"/>
            <w:gridSpan w:val="2"/>
          </w:tcPr>
          <w:p>
            <w:pPr>
              <w:jc w:val="right"/>
              <w:ind w:right="101"/>
              <w:spacing w:after="0"/>
              <w:rPr>
                <w:sz w:val="20"/>
                <w:szCs w:val="20"/>
                <w:color w:val="auto"/>
              </w:rPr>
            </w:pPr>
            <w:r>
              <w:rPr>
                <w:rFonts w:ascii="Arial" w:cs="Arial" w:eastAsia="Arial" w:hAnsi="Arial"/>
                <w:sz w:val="18"/>
                <w:szCs w:val="18"/>
                <w:b w:val="1"/>
                <w:bCs w:val="1"/>
                <w:color w:val="auto"/>
              </w:rPr>
              <w:t>(286,736,218)</w:t>
            </w:r>
          </w:p>
        </w:tc>
        <w:tc>
          <w:tcPr>
            <w:tcW w:w="280" w:type="dxa"/>
            <w:vAlign w:val="bottom"/>
            <w:gridSpan w:val="2"/>
          </w:tcPr>
          <w:p>
            <w:pPr>
              <w:jc w:val="right"/>
              <w:ind w:right="107"/>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27,779,543</w:t>
            </w:r>
          </w:p>
        </w:tc>
        <w:tc>
          <w:tcPr>
            <w:tcW w:w="120" w:type="dxa"/>
            <w:vAlign w:val="bottom"/>
          </w:tcPr>
          <w:p>
            <w:pPr>
              <w:spacing w:after="0"/>
              <w:rPr>
                <w:sz w:val="19"/>
                <w:szCs w:val="19"/>
                <w:color w:val="auto"/>
              </w:rPr>
            </w:pPr>
          </w:p>
        </w:tc>
      </w:tr>
      <w:tr>
        <w:trPr>
          <w:trHeight w:val="229"/>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Exercise of stock options</w:t>
            </w: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135,013</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797,615</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81"/>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797,629</w:t>
            </w:r>
          </w:p>
        </w:tc>
        <w:tc>
          <w:tcPr>
            <w:tcW w:w="120" w:type="dxa"/>
            <w:vAlign w:val="bottom"/>
            <w:shd w:val="clear" w:color="auto" w:fill="CFF0FC"/>
          </w:tcPr>
          <w:p>
            <w:pPr>
              <w:spacing w:after="0"/>
              <w:rPr>
                <w:sz w:val="19"/>
                <w:szCs w:val="19"/>
                <w:color w:val="auto"/>
              </w:rPr>
            </w:pP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80" w:type="dxa"/>
            <w:vAlign w:val="bottom"/>
          </w:tcPr>
          <w:p>
            <w:pPr>
              <w:spacing w:after="0"/>
              <w:rPr>
                <w:sz w:val="19"/>
                <w:szCs w:val="19"/>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2,198,187</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2,198,187</w:t>
            </w:r>
          </w:p>
        </w:tc>
        <w:tc>
          <w:tcPr>
            <w:tcW w:w="120" w:type="dxa"/>
            <w:vAlign w:val="bottom"/>
          </w:tcPr>
          <w:p>
            <w:pPr>
              <w:spacing w:after="0"/>
              <w:rPr>
                <w:sz w:val="19"/>
                <w:szCs w:val="19"/>
                <w:color w:val="auto"/>
              </w:rPr>
            </w:pPr>
          </w:p>
        </w:tc>
      </w:tr>
      <w:tr>
        <w:trPr>
          <w:trHeight w:val="229"/>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2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01"/>
              <w:spacing w:after="0"/>
              <w:rPr>
                <w:sz w:val="20"/>
                <w:szCs w:val="20"/>
                <w:color w:val="auto"/>
              </w:rPr>
            </w:pPr>
            <w:r>
              <w:rPr>
                <w:rFonts w:ascii="Arial" w:cs="Arial" w:eastAsia="Arial" w:hAnsi="Arial"/>
                <w:sz w:val="18"/>
                <w:szCs w:val="18"/>
                <w:color w:val="auto"/>
              </w:rPr>
              <w:t>(12,151,165)</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(12,151,165)</w:t>
            </w:r>
          </w:p>
        </w:tc>
      </w:tr>
      <w:tr>
        <w:trPr>
          <w:trHeight w:val="263"/>
        </w:trPr>
        <w:tc>
          <w:tcPr>
            <w:tcW w:w="338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Balances at March 31, 2020</w:t>
            </w:r>
          </w:p>
        </w:tc>
        <w:tc>
          <w:tcPr>
            <w:tcW w:w="28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39,219,134</w:t>
            </w:r>
          </w:p>
        </w:tc>
        <w:tc>
          <w:tcPr>
            <w:tcW w:w="260" w:type="dxa"/>
            <w:vAlign w:val="bottom"/>
            <w:tcBorders>
              <w:bottom w:val="single" w:sz="8" w:color="CFF0FC"/>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227"/>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3,922</w:t>
            </w:r>
          </w:p>
        </w:tc>
        <w:tc>
          <w:tcPr>
            <w:tcW w:w="24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317,507,655</w:t>
            </w:r>
          </w:p>
        </w:tc>
        <w:tc>
          <w:tcPr>
            <w:tcW w:w="26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(298,887,383</w:t>
            </w:r>
          </w:p>
        </w:tc>
        <w:tc>
          <w:tcPr>
            <w:tcW w:w="240" w:type="dxa"/>
            <w:vAlign w:val="bottom"/>
            <w:tcBorders>
              <w:bottom w:val="single" w:sz="8" w:color="CFF0FC"/>
            </w:tcBorders>
          </w:tcPr>
          <w:p>
            <w:pPr>
              <w:jc w:val="right"/>
              <w:ind w:right="101"/>
              <w:spacing w:after="0"/>
              <w:rPr>
                <w:sz w:val="20"/>
                <w:szCs w:val="20"/>
                <w:color w:val="auto"/>
              </w:rPr>
            </w:pPr>
            <w:r>
              <w:rPr>
                <w:rFonts w:ascii="Arial" w:cs="Arial" w:eastAsia="Arial" w:hAnsi="Arial"/>
                <w:sz w:val="16"/>
                <w:szCs w:val="16"/>
                <w:b w:val="1"/>
                <w:bCs w:val="1"/>
                <w:color w:val="auto"/>
                <w:w w:val="74"/>
              </w:rPr>
              <w:t>)</w:t>
            </w:r>
          </w:p>
        </w:tc>
        <w:tc>
          <w:tcPr>
            <w:tcW w:w="20" w:type="dxa"/>
            <w:vAlign w:val="bottom"/>
            <w:tcBorders>
              <w:bottom w:val="single" w:sz="8" w:color="CFF0FC"/>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18,624,194</w:t>
            </w:r>
          </w:p>
        </w:tc>
        <w:tc>
          <w:tcPr>
            <w:tcW w:w="120" w:type="dxa"/>
            <w:vAlign w:val="bottom"/>
            <w:tcBorders>
              <w:bottom w:val="single" w:sz="8" w:color="CFF0FC"/>
            </w:tcBorders>
          </w:tcPr>
          <w:p>
            <w:pPr>
              <w:spacing w:after="0"/>
              <w:rPr>
                <w:sz w:val="22"/>
                <w:szCs w:val="22"/>
                <w:color w:val="auto"/>
              </w:rPr>
            </w:pPr>
          </w:p>
        </w:tc>
      </w:tr>
      <w:tr>
        <w:trPr>
          <w:trHeight w:val="196"/>
        </w:trPr>
        <w:tc>
          <w:tcPr>
            <w:tcW w:w="338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Issuance of common stock in a public</w:t>
            </w:r>
          </w:p>
        </w:tc>
        <w:tc>
          <w:tcPr>
            <w:tcW w:w="2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30"/>
        </w:trPr>
        <w:tc>
          <w:tcPr>
            <w:tcW w:w="33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offering</w:t>
            </w:r>
          </w:p>
        </w:tc>
        <w:tc>
          <w:tcPr>
            <w:tcW w:w="28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1,361,956</w:t>
            </w:r>
          </w:p>
        </w:tc>
        <w:tc>
          <w:tcPr>
            <w:tcW w:w="2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5,178,324</w:t>
            </w: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181"/>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5,178,460</w:t>
            </w:r>
          </w:p>
        </w:tc>
        <w:tc>
          <w:tcPr>
            <w:tcW w:w="120" w:type="dxa"/>
            <w:vAlign w:val="bottom"/>
            <w:shd w:val="clear" w:color="auto" w:fill="CFF0FC"/>
          </w:tcPr>
          <w:p>
            <w:pPr>
              <w:spacing w:after="0"/>
              <w:rPr>
                <w:sz w:val="20"/>
                <w:szCs w:val="20"/>
                <w:color w:val="auto"/>
              </w:rPr>
            </w:pPr>
          </w:p>
        </w:tc>
      </w:tr>
      <w:tr>
        <w:trPr>
          <w:trHeight w:val="215"/>
        </w:trPr>
        <w:tc>
          <w:tcPr>
            <w:tcW w:w="3380" w:type="dxa"/>
            <w:vAlign w:val="bottom"/>
          </w:tcPr>
          <w:p>
            <w:pPr>
              <w:spacing w:after="0"/>
              <w:rPr>
                <w:sz w:val="20"/>
                <w:szCs w:val="20"/>
                <w:color w:val="auto"/>
              </w:rPr>
            </w:pPr>
            <w:r>
              <w:rPr>
                <w:rFonts w:ascii="Arial" w:cs="Arial" w:eastAsia="Arial" w:hAnsi="Arial"/>
                <w:sz w:val="18"/>
                <w:szCs w:val="18"/>
                <w:color w:val="auto"/>
              </w:rPr>
              <w:t>Costs related to issuance of common</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3380" w:type="dxa"/>
            <w:vAlign w:val="bottom"/>
          </w:tcPr>
          <w:p>
            <w:pPr>
              <w:ind w:left="140"/>
              <w:spacing w:after="0"/>
              <w:rPr>
                <w:sz w:val="20"/>
                <w:szCs w:val="20"/>
                <w:color w:val="auto"/>
              </w:rPr>
            </w:pPr>
            <w:r>
              <w:rPr>
                <w:rFonts w:ascii="Arial" w:cs="Arial" w:eastAsia="Arial" w:hAnsi="Arial"/>
                <w:sz w:val="18"/>
                <w:szCs w:val="18"/>
                <w:color w:val="auto"/>
              </w:rPr>
              <w:t>stock</w:t>
            </w:r>
          </w:p>
        </w:tc>
        <w:tc>
          <w:tcPr>
            <w:tcW w:w="280" w:type="dxa"/>
            <w:vAlign w:val="bottom"/>
          </w:tcPr>
          <w:p>
            <w:pPr>
              <w:spacing w:after="0"/>
              <w:rPr>
                <w:sz w:val="20"/>
                <w:szCs w:val="20"/>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(219,517)</w:t>
            </w:r>
          </w:p>
        </w:tc>
        <w:tc>
          <w:tcPr>
            <w:tcW w:w="180" w:type="dxa"/>
            <w:vAlign w:val="bottom"/>
          </w:tcPr>
          <w:p>
            <w:pPr>
              <w:spacing w:after="0"/>
              <w:rPr>
                <w:sz w:val="20"/>
                <w:szCs w:val="20"/>
                <w:color w:val="auto"/>
              </w:rPr>
            </w:pPr>
          </w:p>
        </w:tc>
        <w:tc>
          <w:tcPr>
            <w:tcW w:w="142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(219,517)</w:t>
            </w:r>
          </w:p>
        </w:tc>
      </w:tr>
      <w:tr>
        <w:trPr>
          <w:trHeight w:val="230"/>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Exercise of stock options</w:t>
            </w: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63,749</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346,019</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81"/>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346,026</w:t>
            </w:r>
          </w:p>
        </w:tc>
        <w:tc>
          <w:tcPr>
            <w:tcW w:w="120" w:type="dxa"/>
            <w:vAlign w:val="bottom"/>
            <w:shd w:val="clear" w:color="auto" w:fill="CFF0FC"/>
          </w:tcPr>
          <w:p>
            <w:pPr>
              <w:spacing w:after="0"/>
              <w:rPr>
                <w:sz w:val="19"/>
                <w:szCs w:val="19"/>
                <w:color w:val="auto"/>
              </w:rPr>
            </w:pPr>
          </w:p>
        </w:tc>
      </w:tr>
      <w:tr>
        <w:trPr>
          <w:trHeight w:val="229"/>
        </w:trPr>
        <w:tc>
          <w:tcPr>
            <w:tcW w:w="338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80" w:type="dxa"/>
            <w:vAlign w:val="bottom"/>
          </w:tcPr>
          <w:p>
            <w:pPr>
              <w:spacing w:after="0"/>
              <w:rPr>
                <w:sz w:val="19"/>
                <w:szCs w:val="19"/>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3,485,482</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3,485,482</w:t>
            </w:r>
          </w:p>
        </w:tc>
        <w:tc>
          <w:tcPr>
            <w:tcW w:w="120" w:type="dxa"/>
            <w:vAlign w:val="bottom"/>
          </w:tcPr>
          <w:p>
            <w:pPr>
              <w:spacing w:after="0"/>
              <w:rPr>
                <w:sz w:val="19"/>
                <w:szCs w:val="19"/>
                <w:color w:val="auto"/>
              </w:rPr>
            </w:pPr>
          </w:p>
        </w:tc>
      </w:tr>
      <w:tr>
        <w:trPr>
          <w:trHeight w:val="230"/>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29,529,376</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29,529,376</w:t>
            </w:r>
          </w:p>
        </w:tc>
        <w:tc>
          <w:tcPr>
            <w:tcW w:w="120" w:type="dxa"/>
            <w:vAlign w:val="bottom"/>
            <w:shd w:val="clear" w:color="auto" w:fill="CFF0FC"/>
          </w:tcPr>
          <w:p>
            <w:pPr>
              <w:spacing w:after="0"/>
              <w:rPr>
                <w:sz w:val="19"/>
                <w:szCs w:val="19"/>
                <w:color w:val="auto"/>
              </w:rPr>
            </w:pPr>
          </w:p>
        </w:tc>
      </w:tr>
      <w:tr>
        <w:trPr>
          <w:trHeight w:val="223"/>
        </w:trPr>
        <w:tc>
          <w:tcPr>
            <w:tcW w:w="3380" w:type="dxa"/>
            <w:vAlign w:val="bottom"/>
          </w:tcPr>
          <w:p>
            <w:pPr>
              <w:spacing w:after="0"/>
              <w:rPr>
                <w:sz w:val="20"/>
                <w:szCs w:val="20"/>
                <w:color w:val="auto"/>
              </w:rPr>
            </w:pPr>
            <w:r>
              <w:rPr>
                <w:rFonts w:ascii="Arial" w:cs="Arial" w:eastAsia="Arial" w:hAnsi="Arial"/>
                <w:sz w:val="18"/>
                <w:szCs w:val="18"/>
                <w:b w:val="1"/>
                <w:bCs w:val="1"/>
                <w:color w:val="auto"/>
              </w:rPr>
              <w:t>Balances at June 30, 2020</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40,644,839</w:t>
            </w:r>
          </w:p>
        </w:tc>
        <w:tc>
          <w:tcPr>
            <w:tcW w:w="26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227"/>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4,065</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326,297,963</w:t>
            </w: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(269,358,007</w:t>
            </w:r>
          </w:p>
        </w:tc>
        <w:tc>
          <w:tcPr>
            <w:tcW w:w="240" w:type="dxa"/>
            <w:vAlign w:val="bottom"/>
          </w:tcPr>
          <w:p>
            <w:pPr>
              <w:jc w:val="right"/>
              <w:ind w:right="101"/>
              <w:spacing w:after="0"/>
              <w:rPr>
                <w:sz w:val="20"/>
                <w:szCs w:val="20"/>
                <w:color w:val="auto"/>
              </w:rPr>
            </w:pPr>
            <w:r>
              <w:rPr>
                <w:rFonts w:ascii="Arial" w:cs="Arial" w:eastAsia="Arial" w:hAnsi="Arial"/>
                <w:sz w:val="16"/>
                <w:szCs w:val="16"/>
                <w:b w:val="1"/>
                <w:bCs w:val="1"/>
                <w:color w:val="auto"/>
                <w:w w:val="74"/>
              </w:rPr>
              <w:t>)</w:t>
            </w: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56,944,021</w:t>
            </w:r>
          </w:p>
        </w:tc>
        <w:tc>
          <w:tcPr>
            <w:tcW w:w="120" w:type="dxa"/>
            <w:vAlign w:val="bottom"/>
          </w:tcPr>
          <w:p>
            <w:pPr>
              <w:spacing w:after="0"/>
              <w:rPr>
                <w:sz w:val="19"/>
                <w:szCs w:val="19"/>
                <w:color w:val="auto"/>
              </w:rPr>
            </w:pPr>
          </w:p>
        </w:tc>
      </w:tr>
      <w:tr>
        <w:trPr>
          <w:trHeight w:val="20"/>
        </w:trPr>
        <w:tc>
          <w:tcPr>
            <w:tcW w:w="3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 w:name="page7"/>
    <w:bookmarkEnd w:id="6"/>
    <w:p>
      <w:pPr>
        <w:ind w:left="4240"/>
        <w:spacing w:after="0"/>
        <w:rPr>
          <w:sz w:val="20"/>
          <w:szCs w:val="20"/>
          <w:color w:val="auto"/>
        </w:rPr>
      </w:pPr>
      <w:r>
        <w:rPr>
          <w:rFonts w:ascii="Arial" w:cs="Arial" w:eastAsia="Arial" w:hAnsi="Arial"/>
          <w:sz w:val="18"/>
          <w:szCs w:val="18"/>
          <w:color w:val="auto"/>
        </w:rPr>
        <w:t>MINERVA NEUROSCIENCES, INC.</w:t>
      </w:r>
    </w:p>
    <w:p>
      <w:pPr>
        <w:spacing w:after="0" w:line="113"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0" w:type="dxa"/>
            <w:vAlign w:val="bottom"/>
            <w:gridSpan w:val="6"/>
          </w:tcPr>
          <w:p>
            <w:pPr>
              <w:jc w:val="right"/>
              <w:ind w:right="100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23"/>
        </w:trPr>
        <w:tc>
          <w:tcPr>
            <w:tcW w:w="6860" w:type="dxa"/>
            <w:vAlign w:val="bottom"/>
            <w:tcBorders>
              <w:bottom w:val="single" w:sz="8" w:color="CFF0FC"/>
            </w:tcBorders>
          </w:tcPr>
          <w:p>
            <w:pPr>
              <w:spacing w:after="0"/>
              <w:rPr>
                <w:sz w:val="19"/>
                <w:szCs w:val="19"/>
                <w:color w:val="auto"/>
              </w:rPr>
            </w:pPr>
          </w:p>
        </w:tc>
        <w:tc>
          <w:tcPr>
            <w:tcW w:w="82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top w:val="single" w:sz="8" w:color="auto"/>
              <w:bottom w:val="single" w:sz="8" w:color="CFF0FC"/>
            </w:tcBorders>
          </w:tcPr>
          <w:p>
            <w:pPr>
              <w:spacing w:after="0"/>
              <w:rPr>
                <w:sz w:val="19"/>
                <w:szCs w:val="19"/>
                <w:color w:val="auto"/>
              </w:rPr>
            </w:pPr>
          </w:p>
        </w:tc>
        <w:tc>
          <w:tcPr>
            <w:tcW w:w="120" w:type="dxa"/>
            <w:vAlign w:val="bottom"/>
            <w:tcBorders>
              <w:top w:val="single" w:sz="8" w:color="auto"/>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8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60" w:type="dxa"/>
            <w:vAlign w:val="bottom"/>
          </w:tcPr>
          <w:p>
            <w:pPr>
              <w:spacing w:after="0"/>
              <w:rPr>
                <w:sz w:val="20"/>
                <w:szCs w:val="20"/>
                <w:color w:val="auto"/>
              </w:rPr>
            </w:pPr>
            <w:r>
              <w:rPr>
                <w:rFonts w:ascii="Arial" w:cs="Arial" w:eastAsia="Arial" w:hAnsi="Arial"/>
                <w:sz w:val="18"/>
                <w:szCs w:val="18"/>
                <w:color w:val="auto"/>
              </w:rPr>
              <w:t>Net income (loss)</w:t>
            </w:r>
          </w:p>
        </w:tc>
        <w:tc>
          <w:tcPr>
            <w:tcW w:w="11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17,378,211</w:t>
            </w:r>
          </w:p>
        </w:tc>
        <w:tc>
          <w:tcPr>
            <w:tcW w:w="180" w:type="dxa"/>
            <w:vAlign w:val="bottom"/>
          </w:tcPr>
          <w:p>
            <w:pPr>
              <w:spacing w:after="0"/>
              <w:rPr>
                <w:sz w:val="19"/>
                <w:szCs w:val="19"/>
                <w:color w:val="auto"/>
              </w:rPr>
            </w:pPr>
          </w:p>
        </w:tc>
        <w:tc>
          <w:tcPr>
            <w:tcW w:w="460" w:type="dxa"/>
            <w:vAlign w:val="bottom"/>
            <w:gridSpan w:val="2"/>
          </w:tcPr>
          <w:p>
            <w:pPr>
              <w:jc w:val="right"/>
              <w:ind w:right="187"/>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(28,303,671)</w:t>
            </w:r>
          </w:p>
        </w:tc>
        <w:tc>
          <w:tcPr>
            <w:tcW w:w="0" w:type="dxa"/>
            <w:vAlign w:val="bottom"/>
          </w:tcPr>
          <w:p>
            <w:pPr>
              <w:spacing w:after="0"/>
              <w:rPr>
                <w:sz w:val="1"/>
                <w:szCs w:val="1"/>
                <w:color w:val="auto"/>
              </w:rPr>
            </w:pPr>
          </w:p>
        </w:tc>
      </w:tr>
      <w:tr>
        <w:trPr>
          <w:trHeight w:val="229"/>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income (loss) to net cash used in operating activities:</w:t>
            </w:r>
          </w:p>
        </w:tc>
        <w:tc>
          <w:tcPr>
            <w:tcW w:w="8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8,733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8,734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Accretion of marketable securities premium</w:t>
            </w:r>
          </w:p>
        </w:tc>
        <w:tc>
          <w:tcPr>
            <w:tcW w:w="8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(83,098)</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(501,227)</w:t>
            </w:r>
          </w:p>
        </w:tc>
        <w:tc>
          <w:tcPr>
            <w:tcW w:w="0" w:type="dxa"/>
            <w:vAlign w:val="bottom"/>
          </w:tcPr>
          <w:p>
            <w:pPr>
              <w:spacing w:after="0"/>
              <w:rPr>
                <w:sz w:val="1"/>
                <w:szCs w:val="1"/>
                <w:color w:val="auto"/>
              </w:rPr>
            </w:pPr>
          </w:p>
        </w:tc>
      </w:tr>
      <w:tr>
        <w:trPr>
          <w:trHeight w:val="229"/>
        </w:trPr>
        <w:tc>
          <w:tcPr>
            <w:tcW w:w="6860" w:type="dxa"/>
            <w:vAlign w:val="bottom"/>
          </w:tcPr>
          <w:p>
            <w:pPr>
              <w:ind w:left="260"/>
              <w:spacing w:after="0"/>
              <w:rPr>
                <w:sz w:val="20"/>
                <w:szCs w:val="20"/>
                <w:color w:val="auto"/>
              </w:rPr>
            </w:pPr>
            <w:r>
              <w:rPr>
                <w:rFonts w:ascii="Arial" w:cs="Arial" w:eastAsia="Arial" w:hAnsi="Arial"/>
                <w:sz w:val="18"/>
                <w:szCs w:val="18"/>
                <w:color w:val="auto"/>
              </w:rPr>
              <w:t>Amortization of right-of-use assets</w:t>
            </w: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77,932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70,143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 expense</w:t>
            </w:r>
          </w:p>
        </w:tc>
        <w:tc>
          <w:tcPr>
            <w:tcW w:w="8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5,683,669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4,782,091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6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8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639,737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452,516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6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821,555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1,142,122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expenses and other current liabilities</w:t>
            </w:r>
          </w:p>
        </w:tc>
        <w:tc>
          <w:tcPr>
            <w:tcW w:w="8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(59,514)</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2,676,073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tcPr>
          <w:p>
            <w:pPr>
              <w:ind w:left="260"/>
              <w:spacing w:after="0"/>
              <w:rPr>
                <w:sz w:val="20"/>
                <w:szCs w:val="20"/>
                <w:color w:val="auto"/>
              </w:rPr>
            </w:pPr>
            <w:r>
              <w:rPr>
                <w:rFonts w:ascii="Arial" w:cs="Arial" w:eastAsia="Arial" w:hAnsi="Arial"/>
                <w:sz w:val="18"/>
                <w:szCs w:val="18"/>
                <w:color w:val="auto"/>
              </w:rPr>
              <w:t>Operating lease liabilities, current</w:t>
            </w: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11,876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26,052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revenue</w:t>
            </w:r>
          </w:p>
        </w:tc>
        <w:tc>
          <w:tcPr>
            <w:tcW w:w="8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(41,175,600)</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860" w:type="dxa"/>
            <w:vAlign w:val="bottom"/>
          </w:tcPr>
          <w:p>
            <w:pPr>
              <w:ind w:left="260"/>
              <w:spacing w:after="0"/>
              <w:rPr>
                <w:sz w:val="20"/>
                <w:szCs w:val="20"/>
                <w:color w:val="auto"/>
              </w:rPr>
            </w:pPr>
            <w:r>
              <w:rPr>
                <w:rFonts w:ascii="Arial" w:cs="Arial" w:eastAsia="Arial" w:hAnsi="Arial"/>
                <w:sz w:val="18"/>
                <w:szCs w:val="18"/>
                <w:color w:val="auto"/>
              </w:rPr>
              <w:t>Operating lease liabilities, noncurrent</w:t>
            </w: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(94,941)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(83,065)</w:t>
            </w:r>
          </w:p>
        </w:tc>
        <w:tc>
          <w:tcPr>
            <w:tcW w:w="0" w:type="dxa"/>
            <w:vAlign w:val="bottom"/>
          </w:tcPr>
          <w:p>
            <w:pPr>
              <w:spacing w:after="0"/>
              <w:rPr>
                <w:sz w:val="1"/>
                <w:szCs w:val="1"/>
                <w:color w:val="auto"/>
              </w:rPr>
            </w:pPr>
          </w:p>
        </w:tc>
      </w:tr>
      <w:tr>
        <w:trPr>
          <w:trHeight w:val="223"/>
        </w:trPr>
        <w:tc>
          <w:tcPr>
            <w:tcW w:w="686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Net cash used in operating activities</w:t>
            </w:r>
          </w:p>
        </w:tc>
        <w:tc>
          <w:tcPr>
            <w:tcW w:w="8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(16,791,440)</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(19,730,232)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8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60" w:type="dxa"/>
            <w:vAlign w:val="bottom"/>
          </w:tcPr>
          <w:p>
            <w:pPr>
              <w:spacing w:after="0"/>
              <w:rPr>
                <w:sz w:val="20"/>
                <w:szCs w:val="20"/>
                <w:color w:val="auto"/>
              </w:rPr>
            </w:pPr>
            <w:r>
              <w:rPr>
                <w:rFonts w:ascii="Arial" w:cs="Arial" w:eastAsia="Arial" w:hAnsi="Arial"/>
                <w:sz w:val="18"/>
                <w:szCs w:val="18"/>
                <w:color w:val="auto"/>
              </w:rPr>
              <w:t>Proceeds from the maturity and redemption of marketable securities</w:t>
            </w: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25,400,000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30,000,000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Purchase of marketable securities</w:t>
            </w:r>
          </w:p>
        </w:tc>
        <w:tc>
          <w:tcPr>
            <w:tcW w:w="8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(3,871,706)</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(33,184,947)</w:t>
            </w:r>
          </w:p>
        </w:tc>
        <w:tc>
          <w:tcPr>
            <w:tcW w:w="0" w:type="dxa"/>
            <w:vAlign w:val="bottom"/>
          </w:tcPr>
          <w:p>
            <w:pPr>
              <w:spacing w:after="0"/>
              <w:rPr>
                <w:sz w:val="1"/>
                <w:szCs w:val="1"/>
                <w:color w:val="auto"/>
              </w:rPr>
            </w:pPr>
          </w:p>
        </w:tc>
      </w:tr>
      <w:tr>
        <w:trPr>
          <w:trHeight w:val="223"/>
        </w:trPr>
        <w:tc>
          <w:tcPr>
            <w:tcW w:w="68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Net cash provided (used in) by investing activities</w:t>
            </w:r>
          </w:p>
        </w:tc>
        <w:tc>
          <w:tcPr>
            <w:tcW w:w="82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21,528,294</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(3,184,947)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Proceeds from sales of common stock in public offering</w:t>
            </w:r>
          </w:p>
        </w:tc>
        <w:tc>
          <w:tcPr>
            <w:tcW w:w="8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5,178,460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Fees paid in connection with public offering</w:t>
            </w: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(219,517)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Proceeds from exercise of stock options</w:t>
            </w:r>
          </w:p>
        </w:tc>
        <w:tc>
          <w:tcPr>
            <w:tcW w:w="8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1,143,655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525,000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Net cash provided by financing activities</w:t>
            </w:r>
          </w:p>
        </w:tc>
        <w:tc>
          <w:tcPr>
            <w:tcW w:w="8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6,102,598</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525,000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8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10,839,452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(22,390,179)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cash equivalents and restricted cash</w:t>
            </w:r>
          </w:p>
        </w:tc>
        <w:tc>
          <w:tcPr>
            <w:tcW w:w="8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Beginning of period</w:t>
            </w:r>
          </w:p>
        </w:tc>
        <w:tc>
          <w:tcPr>
            <w:tcW w:w="8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21,512,623</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50,334,871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End of period</w:t>
            </w:r>
          </w:p>
        </w:tc>
        <w:tc>
          <w:tcPr>
            <w:tcW w:w="8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32,352,075</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27,944,692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60" w:type="dxa"/>
            <w:vAlign w:val="bottom"/>
            <w:vMerge w:val="restart"/>
          </w:tcPr>
          <w:p>
            <w:pPr>
              <w:spacing w:after="0"/>
              <w:rPr>
                <w:sz w:val="20"/>
                <w:szCs w:val="20"/>
                <w:color w:val="auto"/>
              </w:rPr>
            </w:pPr>
            <w:r>
              <w:rPr>
                <w:rFonts w:ascii="Arial" w:cs="Arial" w:eastAsia="Arial" w:hAnsi="Arial"/>
                <w:sz w:val="18"/>
                <w:szCs w:val="18"/>
                <w:b w:val="1"/>
                <w:bCs w:val="1"/>
                <w:color w:val="auto"/>
              </w:rPr>
              <w:t>Reconciliation of the Condensed Consolidated Statements of Cash Flows to the</w:t>
            </w:r>
          </w:p>
        </w:tc>
        <w:tc>
          <w:tcPr>
            <w:tcW w:w="8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860" w:type="dxa"/>
            <w:vAlign w:val="bottom"/>
            <w:vMerge w:val="continue"/>
          </w:tcPr>
          <w:p>
            <w:pPr>
              <w:spacing w:after="0"/>
              <w:rPr>
                <w:sz w:val="16"/>
                <w:szCs w:val="16"/>
                <w:color w:val="auto"/>
              </w:rPr>
            </w:pPr>
          </w:p>
        </w:tc>
        <w:tc>
          <w:tcPr>
            <w:tcW w:w="8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860" w:type="dxa"/>
            <w:vAlign w:val="bottom"/>
          </w:tcPr>
          <w:p>
            <w:pPr>
              <w:ind w:left="140"/>
              <w:spacing w:after="0"/>
              <w:rPr>
                <w:sz w:val="20"/>
                <w:szCs w:val="20"/>
                <w:color w:val="auto"/>
              </w:rPr>
            </w:pPr>
            <w:r>
              <w:rPr>
                <w:rFonts w:ascii="Arial" w:cs="Arial" w:eastAsia="Arial" w:hAnsi="Arial"/>
                <w:sz w:val="18"/>
                <w:szCs w:val="18"/>
                <w:b w:val="1"/>
                <w:bCs w:val="1"/>
                <w:color w:val="auto"/>
              </w:rPr>
              <w:t>Condensed Consolidated Balance Sheets</w:t>
            </w:r>
          </w:p>
        </w:tc>
        <w:tc>
          <w:tcPr>
            <w:tcW w:w="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118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32,252,075</w:t>
            </w:r>
          </w:p>
        </w:tc>
        <w:tc>
          <w:tcPr>
            <w:tcW w:w="18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187"/>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27,844,692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Restricted cash</w:t>
            </w:r>
          </w:p>
        </w:tc>
        <w:tc>
          <w:tcPr>
            <w:tcW w:w="8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100,000</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cash, cash equivalents and restricted cash</w:t>
            </w:r>
          </w:p>
        </w:tc>
        <w:tc>
          <w:tcPr>
            <w:tcW w:w="8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32,352,075</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27,944,692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 w:name="page8"/>
    <w:bookmarkEnd w:id="7"/>
    <w:p>
      <w:pPr>
        <w:jc w:val="center"/>
        <w:spacing w:after="0" w:line="263" w:lineRule="auto"/>
        <w:rPr>
          <w:sz w:val="20"/>
          <w:szCs w:val="20"/>
          <w:color w:val="auto"/>
        </w:rPr>
      </w:pPr>
      <w:r>
        <w:rPr>
          <w:rFonts w:ascii="Arial" w:cs="Arial" w:eastAsia="Arial" w:hAnsi="Arial"/>
          <w:sz w:val="18"/>
          <w:szCs w:val="18"/>
          <w:b w:val="1"/>
          <w:bCs w:val="1"/>
          <w:color w:val="auto"/>
        </w:rPr>
        <w:t>MINERVA NEUROSCIENCES, INC. Notes to Condensed Consolidated Financial Statements As of June 30, 2020 and for the Six Months Ended June 30, 2020 and 2019 (Unaudited)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NATURE OF OPERATIONS AND LIQUIDITY</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Nature of Operations</w:t>
      </w:r>
    </w:p>
    <w:p>
      <w:pPr>
        <w:spacing w:after="0" w:line="225"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Minerva Neurosciences, Inc. (“Minerva” or the “Company”) is a clinical-stage biopharmaceutical company focused on the development and commercialization of a portfolio of product candidates to treat patients suffering from central nervous system diseases. The Company’s lead product candidate is roluperidone (also known as MIN-101), a compound the Company is developing for the treatment of negative symptoms in patients with schizophrenia, and MIN-301, a compound the Company is developing for the treatment of Parkinson’s disease. In addition, the Company possesses a potential royalty stream from seltorexant (also known as MIN-202 or JNJ-42847922), a compound that is being developed by Janssen Pharmaceutica NV (“Janssen”) for the treatment of insomnia disorder and major depressive disorder (“MDD”).</w:t>
      </w:r>
    </w:p>
    <w:p>
      <w:pPr>
        <w:spacing w:after="0" w:line="17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November 2013, the Company merged with Sonkei Pharmaceuticals Inc. (“Sonkei”), a clinical-stage biopharmaceutical company and, in February 2014, the Company acquired Mind-NRG, a pre-clinical-stage biopharmaceutical company. The Company refers to these transactions as the Sonkei Merger and Mind-NRG Acquisition, respectively. The Company holds licenses to roluperidone and MIN-117 from Mitsubishi Tanabe Pharma Corporation (“MTPC”) with the rights to develop, sell and import roluperidone and MIN-117 globally, excluding most of Asia. With the acquisition of Mind-NRG, the Company obtained exclusive rights to develop and commercialize MIN-301.</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spacing w:after="0" w:line="280" w:lineRule="auto"/>
        <w:rPr>
          <w:sz w:val="20"/>
          <w:szCs w:val="20"/>
          <w:color w:val="auto"/>
        </w:rPr>
      </w:pPr>
      <w:r>
        <w:rPr>
          <w:rFonts w:ascii="Arial" w:cs="Arial" w:eastAsia="Arial" w:hAnsi="Arial"/>
          <w:sz w:val="17"/>
          <w:szCs w:val="17"/>
          <w:color w:val="auto"/>
        </w:rPr>
        <w:t>The accompanying interim condensed consolidated financial statements have been prepared as though the Company will continue as a going concern, which contemplates the realization of assets and satisfaction of liabilities in the normal course of business. The Company has limited capital resources and has incurred recurring operating losses and negative cash flows from operations in each year since inception. As of June 30, 2020, the Company has an accumulated deficit of approximately $269.4 million and net cash used in operating activities was approximately $16.8 million during the six months ended June 30, 2020. Management expects to continue to incur operating losses and negative cash flows from operations. The Company has financed its operations to date from proceeds from the sale of common stock, warrants, loans and convertible promissory notes.</w:t>
      </w:r>
    </w:p>
    <w:p>
      <w:pPr>
        <w:spacing w:after="0" w:line="171"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As of June 30, 2020, the Company had cash, cash equivalents, restricted cash, and marketable securities of $35.3 million. The Company believes that its existing cash, cash equivalents, restricted cash and marketable securities will be sufficient to meet its cash commitments for at least the next 12 months after the date that the interim condensed consolidated financial statements are issued. As a result of the roluperidone Phase 3 study not achieving a statistically significant improvement on its primary and secondary endpoints, we have significantly decreased our operating plan spending levels. We plan to maintain the lower level of spending while we are completing additional detailed analyses of data from this trial, following which we plan to request a meeting with the U.S. FDA to consult about the potential next steps in the development of roluperidone. Therefore, the year-to-date cash used is not representative of the future cash commitments and spending for the next 12 months after the date that the interim condensed financial statements are issued. The process of drug development can be costly and the timing and outcomes of clinical trials is uncertain. The assumptions upon which the Company has based its estimates are routinely evaluated and may be subject to change. The actual amount of the Company’s expenditures will vary depending upon a number of factors including but not limited to the design, timing and duration of future clinical trials, the progress of the Company’s research and development programs, the infrastructure to support a commercial enterprise, the cost of a commercial product launch, and the level of financial resources available. The Company has the ability to adjust its operating plan spending levels based on the timing of future clinical trials, which will be predicated upon adequate funding to complete the trials. During June 2020, as described in Note 6, the Company issued and sold 1,361,956 shares of the Company's common stock under the Sales Agreement. The shares were sold at an average price of $3.802 per share for aggregate net proceeds to the Company of approximately $5.0 million, after deducting sales commissions and offering costs payable by the Company. During the period from July 1, 2020 through July 29, 2020, the Company issued and sold 678,434 shares of the Company's common stock under the Sales Agreement. The shares were sold at an average price of $3.6168 per share for aggregate net proceeds to the Company of approximately $2.4 million, after deducting sales commissions and offering costs payable by the Company.</w:t>
      </w:r>
    </w:p>
    <w:p>
      <w:pPr>
        <w:spacing w:after="0" w:line="190"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The Company will need to raise additional capital in order to continue to fund operations and fully fund later stage clinical development programs. The Company believes that it will be able to obtain additional working capital through equity financings or other arrangements to fund future operations; however, there can be no assurance that such additional financing, if available, can be obtained on terms acceptable to the Company. If the Company is unable to obtain such additional financing, future operations would need to be scaled back or discontinued.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p>
      <w:pPr>
        <w:ind w:left="260"/>
        <w:spacing w:after="0"/>
        <w:rPr>
          <w:sz w:val="20"/>
          <w:szCs w:val="20"/>
          <w:color w:val="auto"/>
        </w:rPr>
      </w:pPr>
      <w:r>
        <w:rPr>
          <w:rFonts w:ascii="Arial" w:cs="Arial" w:eastAsia="Arial" w:hAnsi="Arial"/>
          <w:sz w:val="18"/>
          <w:szCs w:val="18"/>
          <w:b w:val="1"/>
          <w:bCs w:val="1"/>
          <w:i w:val="1"/>
          <w:iCs w:val="1"/>
          <w:color w:val="auto"/>
        </w:rPr>
        <w:t>Significant Risks and Uncertainties</w:t>
      </w:r>
    </w:p>
    <w:p>
      <w:pPr>
        <w:spacing w:after="0" w:line="225"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Company’s business could be adversely affected by the effects of the ongoing COVID-19 pandemic, which continues to have a negative impact on the local, regional, national and global scale. In response to the pandemic, a number of jurisdictions in which the Company or its service providers operate implemented shelter-in-place or similar type restrictions, which limited on-site activity to certain service providers. Additionally, the Company’s headquarters are located in Massachusetts, which implemented such restrictions. In response, the Company implemented work-from-home policies for its employees, which continue to be in effect. While certain jurisdictions, including Massachusetts have begun a phased re-opening of businesses and governmental agencies, there remain limitations on the physical operations of businesses and prohibitions on certain non-essential gatherings, and it is unclear if such phased re-openings will continue or be rolled back, and there is uncertainty about when, if, or how the Company’s workforce may return. The effects of the state executive order, local shelter-in-place orders, government-imposed quarantines and the Company’s work-from-home policies, including the uncertainty about their duration, may negatively impact productivity, disrupt our business and delay the clinical programs and timelines.</w:t>
      </w:r>
    </w:p>
    <w:p>
      <w:pPr>
        <w:spacing w:after="0" w:line="16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While the COVID-19 pandemic has not had a material adverse impact on the Company’s operations to date, this disruption, if sustained or recurrent, could have a material adverse effect on the Company’s operating results, its ability to raise capital needed to develop and commercialize products and the Company’s overall financial condition. In addition, a recession or market correction resulting from the spread of the coronavirus could materially affect the value of the Company’s common stock. The impact of the COVID-19 pandemic may also exacerbate other risks discussed in this Quarterly Report on Form 10-Q. Refer to Item 1A. “Risk Factors” in this Quarterly Report on Form 10-Q for a complete description of the material risks that the Company currently faces.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SIGNIFICANT ACCOUNTING POLICIES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interim condensed consolidated financial statements have been prepared in accordance with accounting principles generally accepted in the United States of America (“GAAP”) for interim reporting and the requirements of the Securities and Exchange Commission (“SEC”) in accordance with Regulation S-X, Rule 8-03. Under those rules, certain notes and financial information that are normally required for annual financial statements can be condensed or omitted. In the opinion of the Company’s management, the accompanying financial statements contain all adjustments (consisting of items of a normal and recurring nature) necessary to present fairly the financial position as of June 30, 2020, the results of operations for the three and six months ended June 30, 2020 and 2019 and cash flows for the six months ended June 30, 2020 and 2019. The results of operations for the three and six months ended June 30, 2020 are not necessarily indicative of the results to be expected for the full year. When preparing financial statements in conformity with GAAP, management must make estimates and assumptions that affect the reported amounts of assets and liabilities, disclosure of contingent assets and liabilities at the date of the financial statements and the reported amounts of expenses during the reporting period. Actual results could differ from those estimates. The consolidated balance sheet as of December 31, 2019 was derived from the audited annual financial statements. The accompanying unaudited condensed consolidated financial statements and notes thereto should be read in conjunction with the audited consolidated financial statements for the year ended December 31, 2019 included in the Company’s Annual Report on Form 10-K filed with the SEC on March 9, 2020.</w:t>
      </w:r>
    </w:p>
    <w:p>
      <w:pPr>
        <w:spacing w:after="0" w:line="16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Consolidation</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accompanying consolidated financial statements include the results of the Company and its wholly-owned subsidiaries, Mind-NRG Sarl and Minerva Neurosciences Securities Corporation. Intercompany transactions have been eliminated.</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Significant risks and uncertainties</w:t>
      </w:r>
    </w:p>
    <w:p>
      <w:pPr>
        <w:spacing w:after="0" w:line="22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Company’s operations are subject to a number of factors that can affect its operating results and financial condition. Such factors include, but are not limited to: the results of clinical testing and trial activities of the Company’s products, the Company’s ability to obtain regulatory approval to market its products, competition from products manufactured and sold or being developed by other companies, the price of, and demand for, Company products, the Company’s ability to negotiate favorable licensing or other manufacturing and marketing agreements for its products, and the Company’s ability to raise capital.</w:t>
      </w:r>
    </w:p>
    <w:p>
      <w:pPr>
        <w:spacing w:after="0" w:line="188"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Company currently has no commercially approved products and there can be no assurance that the Company’s research and development will be successfully commercialized. Developing and commercializing a product requires significant time and capital and is subject to regulatory review and approval as well as competition from other biotechnology and pharmaceutical companies. The Company operates in an environment of rapid change and is dependent upon the continued services of its employees and consultants and obtaining and protecting intellectual property.</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9" w:name="page10"/>
    <w:bookmarkEnd w:id="9"/>
    <w:p>
      <w:pPr>
        <w:ind w:left="2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520"/>
        <w:spacing w:after="0" w:line="263"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disclosures of contingent assets and liabilities at the date of the financial statements and the reported amounts of expenses during the reporting period. Actual results could differ from those estimates.</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Cash equivalents include short-term, highly-liquid instruments, consisting of money market accounts and short-term investments with maturities from the date of purchase of 90 days or less. The majority of cash and cash equivalents are maintained with major financial institutions in North America. Deposits with these financial institutions may exceed the amount of insurance provided on such deposits. These deposits may be redeemed upon demand which reduces counterparty performance risk.</w:t>
      </w: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Restricted cash</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Cash accounts with any type of restriction are classified as restricted. The Company maintained restricted cash balances as collateral for corporate credit cards in the amount of $0.1 million at each of June 30, 2020 and December 31, 2019.</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25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Marketable securities consist of corporate and U.S. government debt securities maturing in two months or less. Based on the Company’s intentions regarding its marketable securities, all marketable securities are classified as held-to-maturity and are carried under the amortized cost approach. The Company’s investments in marketable securities are classified as Level 2 within the fair value hierarchy. As of June 30, 2020, remaining final maturities of marketable securities ranged from July 2020 to August 2020, with a weighted average remaining maturity of approximately one month. The following tables provide the amortized cost basis, aggregate fair value, unrealized gains/losses, and the net carrying value of investments in held-to-maturity securities as of June 30, 2020 and December 31, 2019:</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right"/>
              <w:ind w:right="157"/>
              <w:spacing w:after="0"/>
              <w:rPr>
                <w:sz w:val="20"/>
                <w:szCs w:val="20"/>
                <w:color w:val="auto"/>
              </w:rPr>
            </w:pPr>
            <w:r>
              <w:rPr>
                <w:rFonts w:ascii="Arial" w:cs="Arial" w:eastAsia="Arial" w:hAnsi="Arial"/>
                <w:sz w:val="14"/>
                <w:szCs w:val="14"/>
                <w:b w:val="1"/>
                <w:bCs w:val="1"/>
                <w:color w:val="auto"/>
              </w:rPr>
              <w:t>June 30, 2020</w:t>
            </w: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6"/>
        </w:trPr>
        <w:tc>
          <w:tcPr>
            <w:tcW w:w="37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center"/>
              <w:ind w:right="97"/>
              <w:spacing w:after="0" w:line="147" w:lineRule="exact"/>
              <w:rPr>
                <w:sz w:val="20"/>
                <w:szCs w:val="20"/>
                <w:color w:val="auto"/>
              </w:rPr>
            </w:pPr>
            <w:r>
              <w:rPr>
                <w:rFonts w:ascii="Arial" w:cs="Arial" w:eastAsia="Arial" w:hAnsi="Arial"/>
                <w:sz w:val="14"/>
                <w:szCs w:val="14"/>
                <w:b w:val="1"/>
                <w:bCs w:val="1"/>
                <w:color w:val="auto"/>
                <w:w w:val="96"/>
              </w:rPr>
              <w:t>Amortized</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ind w:left="80"/>
              <w:spacing w:after="0" w:line="147" w:lineRule="exact"/>
              <w:rPr>
                <w:sz w:val="20"/>
                <w:szCs w:val="20"/>
                <w:color w:val="auto"/>
              </w:rPr>
            </w:pPr>
            <w:r>
              <w:rPr>
                <w:rFonts w:ascii="Arial" w:cs="Arial" w:eastAsia="Arial" w:hAnsi="Arial"/>
                <w:sz w:val="14"/>
                <w:szCs w:val="14"/>
                <w:b w:val="1"/>
                <w:bCs w:val="1"/>
                <w:color w:val="auto"/>
              </w:rPr>
              <w:t>Aggregate</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57"/>
              <w:spacing w:after="0" w:line="147" w:lineRule="exact"/>
              <w:rPr>
                <w:sz w:val="20"/>
                <w:szCs w:val="20"/>
                <w:color w:val="auto"/>
              </w:rPr>
            </w:pPr>
            <w:r>
              <w:rPr>
                <w:rFonts w:ascii="Arial" w:cs="Arial" w:eastAsia="Arial" w:hAnsi="Arial"/>
                <w:sz w:val="14"/>
                <w:szCs w:val="14"/>
                <w:b w:val="1"/>
                <w:bCs w:val="1"/>
                <w:color w:val="auto"/>
                <w:w w:val="93"/>
              </w:rPr>
              <w:t>Unrealized</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380"/>
              <w:spacing w:after="0" w:line="147" w:lineRule="exact"/>
              <w:rPr>
                <w:sz w:val="20"/>
                <w:szCs w:val="20"/>
                <w:color w:val="auto"/>
              </w:rPr>
            </w:pPr>
            <w:r>
              <w:rPr>
                <w:rFonts w:ascii="Arial" w:cs="Arial" w:eastAsia="Arial" w:hAnsi="Arial"/>
                <w:sz w:val="14"/>
                <w:szCs w:val="14"/>
                <w:b w:val="1"/>
                <w:bCs w:val="1"/>
                <w:color w:val="auto"/>
                <w:w w:val="93"/>
              </w:rPr>
              <w:t>Unrealized</w:t>
            </w:r>
          </w:p>
        </w:tc>
        <w:tc>
          <w:tcPr>
            <w:tcW w:w="100" w:type="dxa"/>
            <w:vAlign w:val="bottom"/>
          </w:tcPr>
          <w:p>
            <w:pPr>
              <w:spacing w:after="0"/>
              <w:rPr>
                <w:sz w:val="12"/>
                <w:szCs w:val="12"/>
                <w:color w:val="auto"/>
              </w:rPr>
            </w:pPr>
          </w:p>
        </w:tc>
        <w:tc>
          <w:tcPr>
            <w:tcW w:w="920" w:type="dxa"/>
            <w:vAlign w:val="bottom"/>
          </w:tcPr>
          <w:p>
            <w:pPr>
              <w:jc w:val="center"/>
              <w:ind w:right="17"/>
              <w:spacing w:after="0" w:line="147" w:lineRule="exact"/>
              <w:rPr>
                <w:sz w:val="20"/>
                <w:szCs w:val="20"/>
                <w:color w:val="auto"/>
              </w:rPr>
            </w:pPr>
            <w:r>
              <w:rPr>
                <w:rFonts w:ascii="Arial" w:cs="Arial" w:eastAsia="Arial" w:hAnsi="Arial"/>
                <w:sz w:val="14"/>
                <w:szCs w:val="14"/>
                <w:b w:val="1"/>
                <w:bCs w:val="1"/>
                <w:color w:val="auto"/>
                <w:w w:val="97"/>
              </w:rPr>
              <w:t>Net Carrying</w:t>
            </w:r>
          </w:p>
        </w:tc>
        <w:tc>
          <w:tcPr>
            <w:tcW w:w="120" w:type="dxa"/>
            <w:vAlign w:val="bottom"/>
          </w:tcPr>
          <w:p>
            <w:pPr>
              <w:spacing w:after="0"/>
              <w:rPr>
                <w:sz w:val="12"/>
                <w:szCs w:val="12"/>
                <w:color w:val="auto"/>
              </w:rPr>
            </w:pPr>
          </w:p>
        </w:tc>
      </w:tr>
      <w:tr>
        <w:trPr>
          <w:trHeight w:val="171"/>
        </w:trPr>
        <w:tc>
          <w:tcPr>
            <w:tcW w:w="37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center"/>
              <w:ind w:right="117"/>
              <w:spacing w:after="0"/>
              <w:rPr>
                <w:sz w:val="20"/>
                <w:szCs w:val="20"/>
                <w:color w:val="auto"/>
              </w:rPr>
            </w:pPr>
            <w:r>
              <w:rPr>
                <w:rFonts w:ascii="Arial" w:cs="Arial" w:eastAsia="Arial" w:hAnsi="Arial"/>
                <w:sz w:val="14"/>
                <w:szCs w:val="14"/>
                <w:b w:val="1"/>
                <w:bCs w:val="1"/>
                <w:color w:val="auto"/>
                <w:w w:val="89"/>
              </w:rPr>
              <w:t>Cost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ind w:left="80"/>
              <w:spacing w:after="0"/>
              <w:rPr>
                <w:sz w:val="20"/>
                <w:szCs w:val="20"/>
                <w:color w:val="auto"/>
              </w:rPr>
            </w:pPr>
            <w:r>
              <w:rPr>
                <w:rFonts w:ascii="Arial" w:cs="Arial" w:eastAsia="Arial" w:hAnsi="Arial"/>
                <w:sz w:val="14"/>
                <w:szCs w:val="14"/>
                <w:b w:val="1"/>
                <w:bCs w:val="1"/>
                <w:color w:val="auto"/>
              </w:rPr>
              <w:t>Fair Value</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center"/>
              <w:ind w:right="37"/>
              <w:spacing w:after="0"/>
              <w:rPr>
                <w:sz w:val="20"/>
                <w:szCs w:val="20"/>
                <w:color w:val="auto"/>
              </w:rPr>
            </w:pPr>
            <w:r>
              <w:rPr>
                <w:rFonts w:ascii="Arial" w:cs="Arial" w:eastAsia="Arial" w:hAnsi="Arial"/>
                <w:sz w:val="14"/>
                <w:szCs w:val="14"/>
                <w:b w:val="1"/>
                <w:bCs w:val="1"/>
                <w:color w:val="auto"/>
                <w:w w:val="92"/>
              </w:rPr>
              <w:t>Gains</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Value</w:t>
            </w:r>
          </w:p>
        </w:tc>
      </w:tr>
      <w:tr>
        <w:trPr>
          <w:trHeight w:val="223"/>
        </w:trPr>
        <w:tc>
          <w:tcPr>
            <w:tcW w:w="3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Marketable securities:</w:t>
            </w:r>
          </w:p>
        </w:tc>
        <w:tc>
          <w:tcPr>
            <w:tcW w:w="10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3760" w:type="dxa"/>
            <w:vAlign w:val="bottom"/>
          </w:tcPr>
          <w:p>
            <w:pPr>
              <w:ind w:left="260"/>
              <w:spacing w:after="0"/>
              <w:rPr>
                <w:sz w:val="20"/>
                <w:szCs w:val="20"/>
                <w:color w:val="auto"/>
              </w:rPr>
            </w:pPr>
            <w:r>
              <w:rPr>
                <w:rFonts w:ascii="Arial" w:cs="Arial" w:eastAsia="Arial" w:hAnsi="Arial"/>
                <w:sz w:val="18"/>
                <w:szCs w:val="18"/>
                <w:color w:val="auto"/>
              </w:rPr>
              <w:t>Commercial paper</w:t>
            </w:r>
          </w:p>
        </w:tc>
        <w:tc>
          <w:tcPr>
            <w:tcW w:w="11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2,996,324</w:t>
            </w:r>
          </w:p>
        </w:tc>
        <w:tc>
          <w:tcPr>
            <w:tcW w:w="42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2,996,324</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2,996,324</w:t>
            </w:r>
          </w:p>
        </w:tc>
        <w:tc>
          <w:tcPr>
            <w:tcW w:w="120" w:type="dxa"/>
            <w:vAlign w:val="bottom"/>
          </w:tcPr>
          <w:p>
            <w:pPr>
              <w:spacing w:after="0"/>
              <w:rPr>
                <w:sz w:val="19"/>
                <w:szCs w:val="19"/>
                <w:color w:val="auto"/>
              </w:rPr>
            </w:pPr>
          </w:p>
        </w:tc>
      </w:tr>
      <w:tr>
        <w:trPr>
          <w:trHeight w:val="223"/>
        </w:trPr>
        <w:tc>
          <w:tcPr>
            <w:tcW w:w="37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Marketable securities total</w:t>
            </w:r>
          </w:p>
        </w:tc>
        <w:tc>
          <w:tcPr>
            <w:tcW w:w="10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2,996,324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2,996,324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2,996,324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7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85"/>
        </w:trPr>
        <w:tc>
          <w:tcPr>
            <w:tcW w:w="37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0"/>
              </w:rPr>
              <w:t>December 31, 2019</w:t>
            </w: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6"/>
        </w:trPr>
        <w:tc>
          <w:tcPr>
            <w:tcW w:w="37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center"/>
              <w:ind w:right="97"/>
              <w:spacing w:after="0" w:line="147" w:lineRule="exact"/>
              <w:rPr>
                <w:sz w:val="20"/>
                <w:szCs w:val="20"/>
                <w:color w:val="auto"/>
              </w:rPr>
            </w:pPr>
            <w:r>
              <w:rPr>
                <w:rFonts w:ascii="Arial" w:cs="Arial" w:eastAsia="Arial" w:hAnsi="Arial"/>
                <w:sz w:val="14"/>
                <w:szCs w:val="14"/>
                <w:b w:val="1"/>
                <w:bCs w:val="1"/>
                <w:color w:val="auto"/>
                <w:w w:val="96"/>
              </w:rPr>
              <w:t>Amortized</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ind w:left="80"/>
              <w:spacing w:after="0" w:line="147" w:lineRule="exact"/>
              <w:rPr>
                <w:sz w:val="20"/>
                <w:szCs w:val="20"/>
                <w:color w:val="auto"/>
              </w:rPr>
            </w:pPr>
            <w:r>
              <w:rPr>
                <w:rFonts w:ascii="Arial" w:cs="Arial" w:eastAsia="Arial" w:hAnsi="Arial"/>
                <w:sz w:val="14"/>
                <w:szCs w:val="14"/>
                <w:b w:val="1"/>
                <w:bCs w:val="1"/>
                <w:color w:val="auto"/>
              </w:rPr>
              <w:t>Aggregate</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57"/>
              <w:spacing w:after="0" w:line="147" w:lineRule="exact"/>
              <w:rPr>
                <w:sz w:val="20"/>
                <w:szCs w:val="20"/>
                <w:color w:val="auto"/>
              </w:rPr>
            </w:pPr>
            <w:r>
              <w:rPr>
                <w:rFonts w:ascii="Arial" w:cs="Arial" w:eastAsia="Arial" w:hAnsi="Arial"/>
                <w:sz w:val="14"/>
                <w:szCs w:val="14"/>
                <w:b w:val="1"/>
                <w:bCs w:val="1"/>
                <w:color w:val="auto"/>
                <w:w w:val="93"/>
              </w:rPr>
              <w:t>Unrealized</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380"/>
              <w:spacing w:after="0" w:line="147" w:lineRule="exact"/>
              <w:rPr>
                <w:sz w:val="20"/>
                <w:szCs w:val="20"/>
                <w:color w:val="auto"/>
              </w:rPr>
            </w:pPr>
            <w:r>
              <w:rPr>
                <w:rFonts w:ascii="Arial" w:cs="Arial" w:eastAsia="Arial" w:hAnsi="Arial"/>
                <w:sz w:val="14"/>
                <w:szCs w:val="14"/>
                <w:b w:val="1"/>
                <w:bCs w:val="1"/>
                <w:color w:val="auto"/>
                <w:w w:val="93"/>
              </w:rPr>
              <w:t>Unrealized</w:t>
            </w:r>
          </w:p>
        </w:tc>
        <w:tc>
          <w:tcPr>
            <w:tcW w:w="100" w:type="dxa"/>
            <w:vAlign w:val="bottom"/>
          </w:tcPr>
          <w:p>
            <w:pPr>
              <w:spacing w:after="0"/>
              <w:rPr>
                <w:sz w:val="12"/>
                <w:szCs w:val="12"/>
                <w:color w:val="auto"/>
              </w:rPr>
            </w:pPr>
          </w:p>
        </w:tc>
        <w:tc>
          <w:tcPr>
            <w:tcW w:w="920" w:type="dxa"/>
            <w:vAlign w:val="bottom"/>
          </w:tcPr>
          <w:p>
            <w:pPr>
              <w:jc w:val="center"/>
              <w:ind w:right="17"/>
              <w:spacing w:after="0" w:line="147" w:lineRule="exact"/>
              <w:rPr>
                <w:sz w:val="20"/>
                <w:szCs w:val="20"/>
                <w:color w:val="auto"/>
              </w:rPr>
            </w:pPr>
            <w:r>
              <w:rPr>
                <w:rFonts w:ascii="Arial" w:cs="Arial" w:eastAsia="Arial" w:hAnsi="Arial"/>
                <w:sz w:val="14"/>
                <w:szCs w:val="14"/>
                <w:b w:val="1"/>
                <w:bCs w:val="1"/>
                <w:color w:val="auto"/>
                <w:w w:val="97"/>
              </w:rPr>
              <w:t>Net Carrying</w:t>
            </w:r>
          </w:p>
        </w:tc>
        <w:tc>
          <w:tcPr>
            <w:tcW w:w="120" w:type="dxa"/>
            <w:vAlign w:val="bottom"/>
          </w:tcPr>
          <w:p>
            <w:pPr>
              <w:spacing w:after="0"/>
              <w:rPr>
                <w:sz w:val="12"/>
                <w:szCs w:val="12"/>
                <w:color w:val="auto"/>
              </w:rPr>
            </w:pPr>
          </w:p>
        </w:tc>
      </w:tr>
      <w:tr>
        <w:trPr>
          <w:trHeight w:val="171"/>
        </w:trPr>
        <w:tc>
          <w:tcPr>
            <w:tcW w:w="37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center"/>
              <w:ind w:right="117"/>
              <w:spacing w:after="0"/>
              <w:rPr>
                <w:sz w:val="20"/>
                <w:szCs w:val="20"/>
                <w:color w:val="auto"/>
              </w:rPr>
            </w:pPr>
            <w:r>
              <w:rPr>
                <w:rFonts w:ascii="Arial" w:cs="Arial" w:eastAsia="Arial" w:hAnsi="Arial"/>
                <w:sz w:val="14"/>
                <w:szCs w:val="14"/>
                <w:b w:val="1"/>
                <w:bCs w:val="1"/>
                <w:color w:val="auto"/>
                <w:w w:val="89"/>
              </w:rPr>
              <w:t>Cost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ind w:left="80"/>
              <w:spacing w:after="0"/>
              <w:rPr>
                <w:sz w:val="20"/>
                <w:szCs w:val="20"/>
                <w:color w:val="auto"/>
              </w:rPr>
            </w:pPr>
            <w:r>
              <w:rPr>
                <w:rFonts w:ascii="Arial" w:cs="Arial" w:eastAsia="Arial" w:hAnsi="Arial"/>
                <w:sz w:val="14"/>
                <w:szCs w:val="14"/>
                <w:b w:val="1"/>
                <w:bCs w:val="1"/>
                <w:color w:val="auto"/>
              </w:rPr>
              <w:t>Fair Value</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center"/>
              <w:ind w:right="37"/>
              <w:spacing w:after="0"/>
              <w:rPr>
                <w:sz w:val="20"/>
                <w:szCs w:val="20"/>
                <w:color w:val="auto"/>
              </w:rPr>
            </w:pPr>
            <w:r>
              <w:rPr>
                <w:rFonts w:ascii="Arial" w:cs="Arial" w:eastAsia="Arial" w:hAnsi="Arial"/>
                <w:sz w:val="14"/>
                <w:szCs w:val="14"/>
                <w:b w:val="1"/>
                <w:bCs w:val="1"/>
                <w:color w:val="auto"/>
                <w:w w:val="92"/>
              </w:rPr>
              <w:t>Gains</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Value</w:t>
            </w:r>
          </w:p>
        </w:tc>
      </w:tr>
      <w:tr>
        <w:trPr>
          <w:trHeight w:val="223"/>
        </w:trPr>
        <w:tc>
          <w:tcPr>
            <w:tcW w:w="3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Marketable securities:</w:t>
            </w:r>
          </w:p>
        </w:tc>
        <w:tc>
          <w:tcPr>
            <w:tcW w:w="10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3760" w:type="dxa"/>
            <w:vAlign w:val="bottom"/>
          </w:tcPr>
          <w:p>
            <w:pPr>
              <w:ind w:left="260"/>
              <w:spacing w:after="0"/>
              <w:rPr>
                <w:sz w:val="20"/>
                <w:szCs w:val="20"/>
                <w:color w:val="auto"/>
              </w:rPr>
            </w:pPr>
            <w:r>
              <w:rPr>
                <w:rFonts w:ascii="Arial" w:cs="Arial" w:eastAsia="Arial" w:hAnsi="Arial"/>
                <w:sz w:val="18"/>
                <w:szCs w:val="18"/>
                <w:color w:val="auto"/>
              </w:rPr>
              <w:t>Corporate bonds/notes</w:t>
            </w:r>
          </w:p>
        </w:tc>
        <w:tc>
          <w:tcPr>
            <w:tcW w:w="11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2,701,114</w:t>
            </w:r>
          </w:p>
        </w:tc>
        <w:tc>
          <w:tcPr>
            <w:tcW w:w="42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2,700,678</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436</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2,701,114</w:t>
            </w:r>
          </w:p>
        </w:tc>
        <w:tc>
          <w:tcPr>
            <w:tcW w:w="120" w:type="dxa"/>
            <w:vAlign w:val="bottom"/>
          </w:tcPr>
          <w:p>
            <w:pPr>
              <w:spacing w:after="0"/>
              <w:rPr>
                <w:sz w:val="19"/>
                <w:szCs w:val="19"/>
                <w:color w:val="auto"/>
              </w:rPr>
            </w:pPr>
          </w:p>
        </w:tc>
      </w:tr>
      <w:tr>
        <w:trPr>
          <w:trHeight w:val="230"/>
        </w:trPr>
        <w:tc>
          <w:tcPr>
            <w:tcW w:w="3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paper</w:t>
            </w: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19,245,921</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19,245,921</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19,245,921</w:t>
            </w:r>
          </w:p>
        </w:tc>
        <w:tc>
          <w:tcPr>
            <w:tcW w:w="120" w:type="dxa"/>
            <w:vAlign w:val="bottom"/>
            <w:shd w:val="clear" w:color="auto" w:fill="CFF0FC"/>
          </w:tcPr>
          <w:p>
            <w:pPr>
              <w:spacing w:after="0"/>
              <w:rPr>
                <w:sz w:val="19"/>
                <w:szCs w:val="19"/>
                <w:color w:val="auto"/>
              </w:rPr>
            </w:pPr>
          </w:p>
        </w:tc>
      </w:tr>
      <w:tr>
        <w:trPr>
          <w:trHeight w:val="229"/>
        </w:trPr>
        <w:tc>
          <w:tcPr>
            <w:tcW w:w="3760" w:type="dxa"/>
            <w:vAlign w:val="bottom"/>
          </w:tcPr>
          <w:p>
            <w:pPr>
              <w:ind w:left="260"/>
              <w:spacing w:after="0"/>
              <w:rPr>
                <w:sz w:val="20"/>
                <w:szCs w:val="20"/>
                <w:color w:val="auto"/>
              </w:rPr>
            </w:pPr>
            <w:r>
              <w:rPr>
                <w:rFonts w:ascii="Arial" w:cs="Arial" w:eastAsia="Arial" w:hAnsi="Arial"/>
                <w:sz w:val="18"/>
                <w:szCs w:val="18"/>
                <w:color w:val="auto"/>
              </w:rPr>
              <w:t>U.S. government agency securities</w:t>
            </w: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2,494,485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2,495,675</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(1,190)</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2,494,485</w:t>
            </w:r>
          </w:p>
        </w:tc>
        <w:tc>
          <w:tcPr>
            <w:tcW w:w="120" w:type="dxa"/>
            <w:vAlign w:val="bottom"/>
          </w:tcPr>
          <w:p>
            <w:pPr>
              <w:spacing w:after="0"/>
              <w:rPr>
                <w:sz w:val="19"/>
                <w:szCs w:val="19"/>
                <w:color w:val="auto"/>
              </w:rPr>
            </w:pPr>
          </w:p>
        </w:tc>
      </w:tr>
      <w:tr>
        <w:trPr>
          <w:trHeight w:val="223"/>
        </w:trPr>
        <w:tc>
          <w:tcPr>
            <w:tcW w:w="37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Marketable securities total</w:t>
            </w:r>
          </w:p>
        </w:tc>
        <w:tc>
          <w:tcPr>
            <w:tcW w:w="10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24,441,520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24,442,274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436</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24,441,520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7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Costs incurred in connection with research and development activities are expensed as incurred. These costs include licensing fees to use certain technology in the Company’s research and development projects as well as fees paid to consultants and various entities that perform certain research and testing on behalf of the Company and costs related to salaries, benefits, bonuses and stock-based compensation granted to employees in research and development functions. The Company determines expenses related to clinical studies based on estimates of the services received and efforts expended pursuant to contracts with multiple research institutions and contract research organizations (“CROs”) that conduct and manage clinical studies on its behalf. The financial terms of these agreements are subject to negotiation, vary from contract to contract and may result in uneven payment flows. Payments under some of these contracts depend on factors such as the successful enrollment of patients and the completion of clinical trial milestones. In accruing service fees, the Company estimates the time period over which services will be performed and the level of effort to be expended in each period. If the actual timing of the performance of services or the level of effort varies from the estimate, the accrual is adjusted accordingly. The expenses for some trials may be recognized on a straight-line basis if the anticipated costs are expected to be incurred ratably during the period. Payments for these activities are based on the terms of the individual arrangements, which may differ from the pattern of costs incurred, and are reflected in the consolidated financial statements as prepaid or accrued expenses.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0" w:name="page11"/>
    <w:bookmarkEnd w:id="10"/>
    <w:p>
      <w:pPr>
        <w:ind w:left="260"/>
        <w:spacing w:after="0"/>
        <w:rPr>
          <w:sz w:val="20"/>
          <w:szCs w:val="20"/>
          <w:color w:val="auto"/>
        </w:rPr>
      </w:pPr>
      <w:r>
        <w:rPr>
          <w:rFonts w:ascii="Arial" w:cs="Arial" w:eastAsia="Arial" w:hAnsi="Arial"/>
          <w:sz w:val="18"/>
          <w:szCs w:val="18"/>
          <w:b w:val="1"/>
          <w:bCs w:val="1"/>
          <w:i w:val="1"/>
          <w:iCs w:val="1"/>
          <w:color w:val="auto"/>
        </w:rPr>
        <w:t>In-process research and development</w:t>
      </w:r>
    </w:p>
    <w:p>
      <w:pPr>
        <w:spacing w:after="0" w:line="225"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In-process research and development (“IPR&amp;D”) assets represent capitalized incomplete research projects that the Company acquired through business combinations. Such assets are initially measured at their acquisition date fair values. The initial fair value of the research projects are recorded as intangible assets on the balance sheet, rather than expensed, regardless of whether these assets have an alternative future use.</w:t>
      </w:r>
    </w:p>
    <w:p>
      <w:pPr>
        <w:spacing w:after="0" w:line="165"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The amounts capitalized are being accounted for as indefinite-lived intangible assets, subject to impairment testing, until completion or abandonment of research and development efforts associated with the project. An IPR&amp;D asset is considered abandoned when it ceases to be used (that is, research and development efforts associated with the asset have ceased, and there are no plans to sell or license the asset or derive defensive value from the asset). At that point, the asset is considered to be disposed of and is written off. Upon successful completion of each project, the Company will make a determination about the then remaining useful life of the intangible asset and begin amortization. The Company tests its indefinite-lived intangibles, IPR&amp;D assets, for impairment annually on November 30 and more frequently if events or changes in circumstances indicate that it is more likely than not that the asset is impaired. When testing indefinite-lived intangibles for impairment, the Company may assess qualitative factors for its indefinite-lived intangibles to determine whether it is more likely than not (that is, a likelihood of more than 50 percent) that the asset is impaired. Alternatively, the Company may bypass this qualitative assessment for some or all of its indefinite-lived intangibles and perform the quantitative impairment test that compares the fair value of the indefinite-lived intangible asset with the asset’s carrying amount. There was no impairment of IPR&amp;D for the three and six months ended June 30, 2020 or 2019.</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MIN-117 In-process Research and Development Asset.</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 a result of the Company’s Phase 2b trial of MIN-117 in adult patients suffering from moderate to severe MDD not meeting its primary and key secondary endpoints and the Company’s decision not to further the clinical development of MIN-117 in MDD, the Company determined that the MIN-117 IPR&amp;D is fully impaired and recognized a $19.0 million expense, which was included as a component of research and development expense, during the year ended December 31, 2019.</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 recognizes compensation cost relating to stock-based payment transactions using a fair-value measurement method, which requires all stock-based payments to employees, including grants of employee stock options, to be recognized in operating results as compensation expense based on fair value over the requisite service period of the awards. The Company determines the fair value of stock-based awards using the Black-Scholes option-pricing model which uses both historical and current market data to estimate fair value. The method incorporates various assumptions such as the risk-free interest rate, expected volatility, expected dividend yield, and expected life of the options. Forfeitures are recorded as they occur instead of estimating forfeitures that are expected to occur. The fair value of restricted stock units (“RSUs”) is equal to the closing price of the Company’s common stock on the date of grant.</w:t>
      </w:r>
    </w:p>
    <w:p>
      <w:pPr>
        <w:spacing w:after="0" w:line="19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 xml:space="preserve">An accounting policy change was made by the Company related to the accounting for non-employee awards on January 1, 2019 as a result of the adoption of ASU No. 2018-07, </w:t>
      </w:r>
      <w:r>
        <w:rPr>
          <w:rFonts w:ascii="Arial" w:cs="Arial" w:eastAsia="Arial" w:hAnsi="Arial"/>
          <w:sz w:val="18"/>
          <w:szCs w:val="18"/>
          <w:i w:val="1"/>
          <w:iCs w:val="1"/>
          <w:color w:val="auto"/>
        </w:rPr>
        <w:t>Stock Compensation (Topic 718): Improvements to Nonemployee Share-Based Payment Accounting</w:t>
      </w:r>
      <w:r>
        <w:rPr>
          <w:rFonts w:ascii="Arial" w:cs="Arial" w:eastAsia="Arial" w:hAnsi="Arial"/>
          <w:sz w:val="18"/>
          <w:szCs w:val="18"/>
          <w:color w:val="auto"/>
        </w:rPr>
        <w:t xml:space="preserve"> for which the Company now accounts for non-employee awards in the same manner as employee awards.</w:t>
      </w:r>
    </w:p>
    <w:p>
      <w:pPr>
        <w:spacing w:after="0" w:line="184"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The date of expense recognition for grants to non-employees is the earlier of the date at which a commitment for performance by the counterparty to earn the equity instrument is reached or the date at which the counterparty’s performance is complete. The Company determines the fair value of stock-based awards granted to non-employees similar to the way fair value of awards are determined for employees except that certain assumptions used in the Black-Scholes option-pricing model, such as expected life of the option, may be different.</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Foreign currency transactions</w:t>
      </w:r>
    </w:p>
    <w:p>
      <w:pPr>
        <w:spacing w:after="0" w:line="225" w:lineRule="exact"/>
        <w:rPr>
          <w:sz w:val="20"/>
          <w:szCs w:val="20"/>
          <w:color w:val="auto"/>
        </w:rPr>
      </w:pPr>
    </w:p>
    <w:p>
      <w:pPr>
        <w:jc w:val="both"/>
        <w:ind w:right="480"/>
        <w:spacing w:after="0" w:line="263" w:lineRule="auto"/>
        <w:rPr>
          <w:sz w:val="20"/>
          <w:szCs w:val="20"/>
          <w:color w:val="auto"/>
        </w:rPr>
      </w:pPr>
      <w:r>
        <w:rPr>
          <w:rFonts w:ascii="Arial" w:cs="Arial" w:eastAsia="Arial" w:hAnsi="Arial"/>
          <w:sz w:val="18"/>
          <w:szCs w:val="18"/>
          <w:color w:val="auto"/>
        </w:rPr>
        <w:t>The Company’s functional currency is the U.S. Dollar. The Company pays certain vendor invoices in the respective foreign currency. The Company records an expense in U.S. Dollars at the time the liability is incurred. Changes in the applicable foreign currency rate between the date an expense is recorded and the payment date is recorded as a foreign currency gain or loss.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1" w:name="page12"/>
    <w:bookmarkEnd w:id="11"/>
    <w:p>
      <w:pPr>
        <w:ind w:left="260"/>
        <w:spacing w:after="0"/>
        <w:rPr>
          <w:sz w:val="20"/>
          <w:szCs w:val="20"/>
          <w:color w:val="auto"/>
        </w:rPr>
      </w:pPr>
      <w:r>
        <w:rPr>
          <w:rFonts w:ascii="Arial" w:cs="Arial" w:eastAsia="Arial" w:hAnsi="Arial"/>
          <w:sz w:val="18"/>
          <w:szCs w:val="18"/>
          <w:b w:val="1"/>
          <w:bCs w:val="1"/>
          <w:i w:val="1"/>
          <w:iCs w:val="1"/>
          <w:color w:val="auto"/>
        </w:rPr>
        <w:t>Income (loss) per share</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Basic income (loss) per share is computed by dividing net income (loss) by the weighted-average number of shares of common stock outstanding for the period. Diluted income (loss) per share reflects the potential dilution that could occur if securities or other contracts to issue common stock were exercised or converted into common stock or resulted in the issuance of common stock that shared in the earnings of the entity. The treasury stock method is used to determine the dilutive effect of the Company’s stock options and warrants.</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Financial instruments that potentially subject the Company to concentrations of credit risk are primarily cash, cash equivalents and marketable securities. The Company maintains its cash and cash equivalent balances in the form of business checking accounts and money market accounts, the balances of which, at times, may exceed federally insured limits. Exposure to cash and cash equivalents credit risk is reduced by placing such deposits with major financial institutions and monitoring their credit ratings. Marketable securities consist primarily of corporate bonds, with fixed interest rates. Exposure to credit risk of marketable securities is reduced by maintaining a diverse portfolio and monitoring their credit ratings.</w:t>
      </w:r>
    </w:p>
    <w:p>
      <w:pPr>
        <w:spacing w:after="0" w:line="17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Equipment</w:t>
      </w:r>
    </w:p>
    <w:p>
      <w:pPr>
        <w:spacing w:after="0" w:line="22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Equipment is stated at cost less accumulated depreciation. Equipment is depreciated on the straight-line basis over their estimated useful lives of three years. Expenditures for maintenance and repairs are charged to expense as incurred.</w:t>
      </w:r>
    </w:p>
    <w:p>
      <w:pPr>
        <w:spacing w:after="0" w:line="211"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Leases</w:t>
      </w:r>
    </w:p>
    <w:p>
      <w:pPr>
        <w:spacing w:after="0" w:line="25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 xml:space="preserve">Effective January 1, 2019, the Company adopted Financial Accounting Standards Board (“FASB”) Accounting Standards Codification (“ASC”) Topic 842, </w:t>
      </w:r>
      <w:r>
        <w:rPr>
          <w:rFonts w:ascii="Arial" w:cs="Arial" w:eastAsia="Arial" w:hAnsi="Arial"/>
          <w:sz w:val="18"/>
          <w:szCs w:val="18"/>
          <w:i w:val="1"/>
          <w:iCs w:val="1"/>
          <w:color w:val="auto"/>
        </w:rPr>
        <w:t xml:space="preserve">Leases </w:t>
      </w:r>
      <w:r>
        <w:rPr>
          <w:rFonts w:ascii="Arial" w:cs="Arial" w:eastAsia="Arial" w:hAnsi="Arial"/>
          <w:sz w:val="18"/>
          <w:szCs w:val="18"/>
          <w:color w:val="auto"/>
        </w:rPr>
        <w:t>(“ASC 842”), using the required modified retrospective approach and utilizing the effective date as its date of initial application, for which prior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periods are presented in accordance with the previous guidance in ASC 840,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(“ASC 840”).</w:t>
      </w:r>
    </w:p>
    <w:p>
      <w:pPr>
        <w:spacing w:after="0" w:line="22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At the inception of an arrangement, the Company determines whether the arrangement is or contains a lease based on the unique facts and circumstances present in the arrangement. Most leases with a term greater than one year are recognized on the balance sheet as right-of-use assets and short-term and long-term lease liabilities, as applicable. The Company has elected not to recognize on the balance sheet leases with terms of 12 months or less. The Company typically only includes an initial lease term in its assessment of a lease arrangement. Options to renew a lease are not included in the Company’s assessment unless there is reasonable certainty that the Company will renew. The Company monitors its plans to renew its material leases on a quarterly basis.</w:t>
      </w:r>
    </w:p>
    <w:p>
      <w:pPr>
        <w:spacing w:after="0" w:line="233"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Operating lease liabilities and their corresponding right-of-use assets are recorded based on the present value of lease payments over the expected remaining lease term. Certain adjustments to the right-of-use asset may be required for items such as incentives received. The interest rate implicit in the Company’s leases is typically not readily determinable. As a result, the Company utilizes its incremental borrowing rate, which reflects the fixed rate at which the Company could borrow on a collateralized basis the amount of the lease payments in the same currency, for a similar term and in a similar economic environment. In transition to ASC 842, the Company utilized the remaining lease term of its leases in determining the appropriate incremental borrowing rates.</w:t>
      </w:r>
    </w:p>
    <w:p>
      <w:pPr>
        <w:spacing w:after="0" w:line="219" w:lineRule="exact"/>
        <w:rPr>
          <w:sz w:val="20"/>
          <w:szCs w:val="20"/>
          <w:color w:val="auto"/>
        </w:rPr>
      </w:pPr>
    </w:p>
    <w:p>
      <w:pPr>
        <w:jc w:val="both"/>
        <w:ind w:right="140"/>
        <w:spacing w:after="0" w:line="311" w:lineRule="auto"/>
        <w:rPr>
          <w:sz w:val="20"/>
          <w:szCs w:val="20"/>
          <w:color w:val="auto"/>
        </w:rPr>
      </w:pPr>
      <w:r>
        <w:rPr>
          <w:rFonts w:ascii="Arial" w:cs="Arial" w:eastAsia="Arial" w:hAnsi="Arial"/>
          <w:sz w:val="16"/>
          <w:szCs w:val="16"/>
          <w:color w:val="auto"/>
        </w:rPr>
        <w:t>In accordance with ASC 842, components of a lease should be allocated between lease components (e.g., land, building, etc.) and non-lease components (e.g., common area maintenance, consumables, etc.). The fixed and in-substance fixed contract consideration (including any consideration related to non-components) must be allocated based on the respective relative fair values to the lease components and non-lease components.</w:t>
      </w:r>
    </w:p>
    <w:p>
      <w:pPr>
        <w:spacing w:after="0" w:line="189"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Although separation of lease and non-lease components is required, certain expedients are available. Entities may elect the practical expedient to not separate lease and non-lease components by class of underlying asset where entities would account for each lease component and the related non-lease component together as a single component. For new and amended leases beginning in 2019 and after, the Company has elected to account for the lease and non-lease components for leases for classes of all underlying assets and allocate all of the contract consideration to the lease component only.</w:t>
      </w:r>
    </w:p>
    <w:p>
      <w:pPr>
        <w:spacing w:after="0" w:line="1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12" w:name="page13"/>
    <w:bookmarkEnd w:id="12"/>
    <w:p>
      <w:pPr>
        <w:ind w:left="260"/>
        <w:spacing w:after="0"/>
        <w:rPr>
          <w:sz w:val="20"/>
          <w:szCs w:val="20"/>
          <w:color w:val="auto"/>
        </w:rPr>
      </w:pPr>
      <w:r>
        <w:rPr>
          <w:rFonts w:ascii="Arial" w:cs="Arial" w:eastAsia="Arial" w:hAnsi="Arial"/>
          <w:sz w:val="18"/>
          <w:szCs w:val="18"/>
          <w:b w:val="1"/>
          <w:bCs w:val="1"/>
          <w:i w:val="1"/>
          <w:iCs w:val="1"/>
          <w:color w:val="auto"/>
        </w:rPr>
        <w:t>Long-lived assets</w:t>
      </w:r>
    </w:p>
    <w:p>
      <w:pPr>
        <w:spacing w:after="0" w:line="225"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The Company reviews the recoverability of all long-lived assets, including the related useful lives, whenever events or changes in circumstances indicate that the carrying amount of a long-lived asset might not be recoverable. If required, the Company compares the estimated undiscounted future net cash flows to the related asset’s carrying value to determine whether there has been an impairment. If an asset is considered impaired, the asset is written down to fair value, which is based either on discounted cash flows or appraised values in the period the impairment becomes known. The Company believes that all long-lived assets are recoverable, and no impairment was deemed necessary at June 30, 2020 and 2019.</w:t>
      </w:r>
    </w:p>
    <w:p>
      <w:pPr>
        <w:spacing w:after="0" w:line="17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Company tests its goodwill for impairment annually, or whenever events or changes in circumstances indicate an impairment may have occurred, by comparing its reporting unit’s carrying value to its fair value. Impairment may result from, among other things, deterioration in the performance of the acquired business, adverse market conditions, adverse changes in applicable laws or regulations and a variety of other circumstances. If the Company determines that an impairment has occurred, it is required to record a write-down of the carrying value and charge the impairment as an operating expense in the period the determination is made. In evaluating the recoverability of the carrying value of goodwill, the Company must make assumptions regarding estimated future cash flows and other factors to determine the fair value of the acquired assets. Changes in strategy or market conditions could significantly impact those judgments in the future and require an adjustment to the recorded balances. The Company tests its goodwill for impairment as of November 30. There was no impairment of goodwill for the six months ended June 30, 2020 and 2019.</w:t>
      </w:r>
    </w:p>
    <w:p>
      <w:pPr>
        <w:spacing w:after="0" w:line="16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 xml:space="preserve">The Company applies the revenue recognition guidance in accordance with ASC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Revenue is recognized when persuasive evidence of an arrangement exists, delivery has occurred and title has passed, the price is fixed or determinable, and collectability is reasonably assured. The Company is a development stage company and has had no revenues from product sales to date.</w:t>
      </w:r>
    </w:p>
    <w:p>
      <w:pPr>
        <w:spacing w:after="0" w:line="16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 xml:space="preserve">When the Company enters into an arrangement that meets the definition of a collaboration under ASC 808, </w:t>
      </w:r>
      <w:r>
        <w:rPr>
          <w:rFonts w:ascii="Arial" w:cs="Arial" w:eastAsia="Arial" w:hAnsi="Arial"/>
          <w:sz w:val="17"/>
          <w:szCs w:val="17"/>
          <w:i w:val="1"/>
          <w:iCs w:val="1"/>
          <w:color w:val="auto"/>
        </w:rPr>
        <w:t>Collaborative Arrangements</w:t>
      </w:r>
      <w:r>
        <w:rPr>
          <w:rFonts w:ascii="Arial" w:cs="Arial" w:eastAsia="Arial" w:hAnsi="Arial"/>
          <w:sz w:val="17"/>
          <w:szCs w:val="17"/>
          <w:color w:val="auto"/>
        </w:rPr>
        <w:t>, the Company recognizes revenue as research and development is performed and its respective share of the expenses are incurred. The Company assesses whether the arrangement contains multiple elements or deliverables, which may include (1) licenses to the Company's technology, (2) research and development activities performed for the collaboration partner, and (3) participation on Joint Steering Committees. Payments may include non-refundable, upfront payments, milestone payments upon achieving significant development events, and royalties on future sales. Each required deliverable is evaluated to determine whether it qualifies as a separate unit of accounting based on whether the deliverable has “stand-alone value” to the customer. The arrangement’s consideration is then allocated to each separate unit of accounting based on the relative selling price of each deliverable. The estimated selling price of each deliverable is determined using the following hierarchy of values: (i) vendor-specific objective evidence of fair value, (ii) third-party evidence of selling price, and (iii) best estimate of selling price. The best estimate of selling price reflects the Company’s best estimate of what the selling price would be if the deliverable was regularly sold by the Company on a stand-alone basis. The consideration allocated to each unit of accounting is then recognized as the related goods or services are delivered, limited to the consideration that is not contingent upon future deliverables. Supply or service transactions may involve the charge of a nonrefundable initial fee with subsequent periodic payments for future products or services. The up-front fees, even if nonrefundable, are recognized as revenue as the products and/or services are delivered and performed over the term of the arrangement. During the three and six months ended June 30, 2020, the Company recognized $41.2 million in collaborative revenue as a result of opting out of its agreement with Janssen (see Note 5).</w:t>
      </w:r>
    </w:p>
    <w:p>
      <w:pPr>
        <w:spacing w:after="0" w:line="18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Deferred revenue</w:t>
      </w:r>
    </w:p>
    <w:p>
      <w:pPr>
        <w:spacing w:after="0" w:line="225" w:lineRule="exact"/>
        <w:rPr>
          <w:sz w:val="20"/>
          <w:szCs w:val="20"/>
          <w:color w:val="auto"/>
        </w:rPr>
      </w:pPr>
    </w:p>
    <w:p>
      <w:pPr>
        <w:ind w:right="220"/>
        <w:spacing w:after="0" w:line="381" w:lineRule="auto"/>
        <w:rPr>
          <w:sz w:val="20"/>
          <w:szCs w:val="20"/>
          <w:color w:val="auto"/>
        </w:rPr>
      </w:pPr>
      <w:r>
        <w:rPr>
          <w:rFonts w:ascii="Arial" w:cs="Arial" w:eastAsia="Arial" w:hAnsi="Arial"/>
          <w:sz w:val="15"/>
          <w:szCs w:val="15"/>
          <w:color w:val="auto"/>
        </w:rPr>
        <w:t>The Company applies the revenue recognition guidance in accordance with ASC 606. Using ASC 606, revenue that is unearned is deferred. Deferred revenue that is expected to be recognized as revenue more than one year subsequent to the balance sheet date is classified as long-term deferred revenue.</w:t>
      </w:r>
    </w:p>
    <w:p>
      <w:pPr>
        <w:spacing w:after="0" w:line="10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225" w:lineRule="exact"/>
        <w:rPr>
          <w:sz w:val="20"/>
          <w:szCs w:val="20"/>
          <w:color w:val="auto"/>
        </w:rPr>
      </w:pPr>
    </w:p>
    <w:p>
      <w:pPr>
        <w:ind w:right="220"/>
        <w:spacing w:after="0" w:line="301" w:lineRule="auto"/>
        <w:rPr>
          <w:sz w:val="20"/>
          <w:szCs w:val="20"/>
          <w:color w:val="auto"/>
        </w:rPr>
      </w:pPr>
      <w:r>
        <w:rPr>
          <w:rFonts w:ascii="Arial" w:cs="Arial" w:eastAsia="Arial" w:hAnsi="Arial"/>
          <w:sz w:val="16"/>
          <w:szCs w:val="16"/>
          <w:color w:val="auto"/>
        </w:rPr>
        <w:t>Operating segments are defined as components of an enterprise (business activity from which it earns revenue and incurs expenses) about which discrete financial information is available and regularly reviewed by the chief operating decision maker in deciding how to allocate resources and in assessing performance. The Company’s chief decision maker, who is the Chief Executive Officer, reviews operating results to make decisions about allocating resources and assessing performance for the entire Company. The Company views its operations and manages its business as one operating segment.</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3" w:name="page14"/>
    <w:bookmarkEnd w:id="13"/>
    <w:p>
      <w:pPr>
        <w:ind w:left="260"/>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no items of comprehensive loss other than its net loss for each period presented.</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From time to time, new accounting pronouncements are issued by the FASB and are adopted by the Company as of the specified effective date.</w:t>
      </w:r>
    </w:p>
    <w:p>
      <w:pPr>
        <w:spacing w:after="0" w:line="27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22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 xml:space="preserve">In November 2018, the FASB issued ASU 2018-18, </w:t>
      </w:r>
      <w:r>
        <w:rPr>
          <w:rFonts w:ascii="Arial" w:cs="Arial" w:eastAsia="Arial" w:hAnsi="Arial"/>
          <w:sz w:val="18"/>
          <w:szCs w:val="18"/>
          <w:i w:val="1"/>
          <w:iCs w:val="1"/>
          <w:color w:val="auto"/>
        </w:rPr>
        <w:t>Collaborative Arrangements (Topic 808): Clarifying the Interaction between Topic 808 and Topic 606</w:t>
      </w:r>
      <w:r>
        <w:rPr>
          <w:rFonts w:ascii="Arial" w:cs="Arial" w:eastAsia="Arial" w:hAnsi="Arial"/>
          <w:sz w:val="18"/>
          <w:szCs w:val="18"/>
          <w:color w:val="auto"/>
        </w:rPr>
        <w:t>. This update is intended to clarify that certain transactions between collaborative arrangement participants should be accounted for as revenue under Topic 606. The Company adopted the new standard on January 1, 2020.</w:t>
      </w:r>
    </w:p>
    <w:p>
      <w:pPr>
        <w:spacing w:after="0" w:line="18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 xml:space="preserve">In January 2017, the FASB issued ASU No. 2017-04, </w:t>
      </w:r>
      <w:r>
        <w:rPr>
          <w:rFonts w:ascii="Arial" w:cs="Arial" w:eastAsia="Arial" w:hAnsi="Arial"/>
          <w:sz w:val="18"/>
          <w:szCs w:val="18"/>
          <w:i w:val="1"/>
          <w:iCs w:val="1"/>
          <w:color w:val="auto"/>
        </w:rPr>
        <w:t>Intangibles — Goodwill and Other (Topic 350).</w:t>
      </w:r>
      <w:r>
        <w:rPr>
          <w:rFonts w:ascii="Arial" w:cs="Arial" w:eastAsia="Arial" w:hAnsi="Arial"/>
          <w:sz w:val="18"/>
          <w:szCs w:val="18"/>
          <w:color w:val="auto"/>
        </w:rPr>
        <w:t xml:space="preserve"> The new standard simplifies the test for goodwill impairment. The Company adopted the new standard on January 1, 2020.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ACCRUED EXPENSES AND OTHER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liabilities consist of the following:</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5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 2020</w:t>
            </w:r>
          </w:p>
        </w:tc>
        <w:tc>
          <w:tcPr>
            <w:tcW w:w="20" w:type="dxa"/>
            <w:vAlign w:val="bottom"/>
          </w:tcPr>
          <w:p>
            <w:pPr>
              <w:spacing w:after="0"/>
              <w:rPr>
                <w:sz w:val="14"/>
                <w:szCs w:val="14"/>
                <w:color w:val="auto"/>
              </w:rPr>
            </w:pPr>
          </w:p>
        </w:tc>
        <w:tc>
          <w:tcPr>
            <w:tcW w:w="134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 2019</w:t>
            </w:r>
          </w:p>
        </w:tc>
      </w:tr>
      <w:tr>
        <w:trPr>
          <w:trHeight w:val="223"/>
        </w:trPr>
        <w:tc>
          <w:tcPr>
            <w:tcW w:w="5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Research and development costs and other accrued expenses</w:t>
            </w:r>
          </w:p>
        </w:tc>
        <w:tc>
          <w:tcPr>
            <w:tcW w:w="8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2,089,634</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3,824,950</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5220" w:type="dxa"/>
            <w:vAlign w:val="bottom"/>
          </w:tcPr>
          <w:p>
            <w:pPr>
              <w:spacing w:after="0"/>
              <w:rPr>
                <w:sz w:val="20"/>
                <w:szCs w:val="20"/>
                <w:color w:val="auto"/>
              </w:rPr>
            </w:pPr>
            <w:r>
              <w:rPr>
                <w:rFonts w:ascii="Arial" w:cs="Arial" w:eastAsia="Arial" w:hAnsi="Arial"/>
                <w:sz w:val="18"/>
                <w:szCs w:val="18"/>
                <w:color w:val="auto"/>
              </w:rPr>
              <w:t>Accrued Severance</w:t>
            </w: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788,923</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Accrued bonus</w:t>
            </w:r>
          </w:p>
        </w:tc>
        <w:tc>
          <w:tcPr>
            <w:tcW w:w="8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832,148</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29"/>
        </w:trPr>
        <w:tc>
          <w:tcPr>
            <w:tcW w:w="5220" w:type="dxa"/>
            <w:vAlign w:val="bottom"/>
          </w:tcPr>
          <w:p>
            <w:pPr>
              <w:spacing w:after="0"/>
              <w:rPr>
                <w:sz w:val="20"/>
                <w:szCs w:val="20"/>
                <w:color w:val="auto"/>
              </w:rPr>
            </w:pPr>
            <w:r>
              <w:rPr>
                <w:rFonts w:ascii="Arial" w:cs="Arial" w:eastAsia="Arial" w:hAnsi="Arial"/>
                <w:sz w:val="18"/>
                <w:szCs w:val="18"/>
                <w:color w:val="auto"/>
              </w:rPr>
              <w:t>Professional fees</w:t>
            </w: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253,466</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314,213</w:t>
            </w:r>
          </w:p>
        </w:tc>
        <w:tc>
          <w:tcPr>
            <w:tcW w:w="80" w:type="dxa"/>
            <w:vAlign w:val="bottom"/>
          </w:tcPr>
          <w:p>
            <w:pPr>
              <w:spacing w:after="0"/>
              <w:rPr>
                <w:sz w:val="19"/>
                <w:szCs w:val="19"/>
                <w:color w:val="auto"/>
              </w:rPr>
            </w:pPr>
          </w:p>
        </w:tc>
      </w:tr>
      <w:tr>
        <w:trPr>
          <w:trHeight w:val="229"/>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Vacation pay</w:t>
            </w:r>
          </w:p>
        </w:tc>
        <w:tc>
          <w:tcPr>
            <w:tcW w:w="8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115,478</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5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4,079,649</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4,139,163</w:t>
            </w:r>
          </w:p>
        </w:tc>
        <w:tc>
          <w:tcPr>
            <w:tcW w:w="80" w:type="dxa"/>
            <w:vAlign w:val="bottom"/>
          </w:tcPr>
          <w:p>
            <w:pPr>
              <w:spacing w:after="0"/>
              <w:rPr>
                <w:sz w:val="19"/>
                <w:szCs w:val="19"/>
                <w:color w:val="auto"/>
              </w:rPr>
            </w:pPr>
          </w:p>
        </w:tc>
      </w:tr>
      <w:tr>
        <w:trPr>
          <w:trHeight w:val="20"/>
        </w:trPr>
        <w:tc>
          <w:tcPr>
            <w:tcW w:w="5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NET INCOME (LOSS) PER SHARE OF COMMON STOCK</w:t>
      </w:r>
    </w:p>
    <w:p>
      <w:pPr>
        <w:spacing w:after="0" w:line="229" w:lineRule="exact"/>
        <w:rPr>
          <w:sz w:val="20"/>
          <w:szCs w:val="20"/>
          <w:color w:val="auto"/>
        </w:rPr>
      </w:pPr>
    </w:p>
    <w:p>
      <w:pPr>
        <w:ind w:right="200"/>
        <w:spacing w:after="0" w:line="301" w:lineRule="auto"/>
        <w:rPr>
          <w:sz w:val="20"/>
          <w:szCs w:val="20"/>
          <w:color w:val="auto"/>
        </w:rPr>
      </w:pPr>
      <w:r>
        <w:rPr>
          <w:rFonts w:ascii="Arial" w:cs="Arial" w:eastAsia="Arial" w:hAnsi="Arial"/>
          <w:sz w:val="16"/>
          <w:szCs w:val="16"/>
          <w:color w:val="auto"/>
        </w:rPr>
        <w:t>Basic income (loss) per share is calculated by dividing the net income (loss) by the weighted average number of shares of common stock outstanding. Diluted income per share is computed by dividing the net income by the weighted average number of shares of common stock outstanding, plus potential outstanding common stock for the period. Potential outstanding common stock includes stock options and shares underlying RSUs, but only to the extent that their inclusion is dilutive. The following table sets forth the computation of basic and diluted loss per share for common stockholders: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w w:val="94"/>
              </w:rPr>
              <w:t>Three Months Ended June 30,</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0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97"/>
              </w:rPr>
              <w:t>Six Months Ended June 30,</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3760" w:type="dxa"/>
            <w:vAlign w:val="bottom"/>
            <w:tcBorders>
              <w:bottom w:val="single" w:sz="8" w:color="CFF0FC"/>
            </w:tcBorders>
          </w:tcPr>
          <w:p>
            <w:pPr>
              <w:spacing w:after="0"/>
              <w:rPr>
                <w:sz w:val="13"/>
                <w:szCs w:val="13"/>
                <w:color w:val="auto"/>
              </w:rPr>
            </w:pPr>
          </w:p>
        </w:tc>
        <w:tc>
          <w:tcPr>
            <w:tcW w:w="70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235"/>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73"/>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255"/>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73"/>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20" w:type="dxa"/>
            <w:vAlign w:val="bottom"/>
          </w:tcPr>
          <w:p>
            <w:pPr>
              <w:spacing w:after="0"/>
              <w:rPr>
                <w:sz w:val="19"/>
                <w:szCs w:val="19"/>
                <w:color w:val="auto"/>
              </w:rPr>
            </w:pPr>
          </w:p>
        </w:tc>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700" w:type="dxa"/>
            <w:vAlign w:val="bottom"/>
            <w:shd w:val="clear" w:color="auto" w:fill="CFF0FC"/>
          </w:tcPr>
          <w:p>
            <w:pPr>
              <w:spacing w:after="0"/>
              <w:rPr>
                <w:sz w:val="19"/>
                <w:szCs w:val="19"/>
                <w:color w:val="auto"/>
              </w:rPr>
            </w:pPr>
          </w:p>
        </w:tc>
        <w:tc>
          <w:tcPr>
            <w:tcW w:w="1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29,529,376</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(12,476,471)</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17,378,211</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(28,303,671)</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20" w:type="dxa"/>
            <w:vAlign w:val="bottom"/>
            <w:vMerge w:val="restart"/>
          </w:tcPr>
          <w:p>
            <w:pPr>
              <w:spacing w:after="0"/>
              <w:rPr>
                <w:sz w:val="19"/>
                <w:szCs w:val="19"/>
                <w:color w:val="auto"/>
              </w:rPr>
            </w:pPr>
          </w:p>
        </w:tc>
        <w:tc>
          <w:tcPr>
            <w:tcW w:w="3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120" w:type="dxa"/>
            <w:vAlign w:val="bottom"/>
            <w:vMerge w:val="continue"/>
          </w:tcPr>
          <w:p>
            <w:pPr>
              <w:spacing w:after="0"/>
              <w:rPr>
                <w:sz w:val="18"/>
                <w:szCs w:val="18"/>
                <w:color w:val="auto"/>
              </w:rPr>
            </w:pPr>
          </w:p>
        </w:tc>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shares of common stock</w:t>
            </w: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p>
        </w:tc>
        <w:tc>
          <w:tcPr>
            <w:tcW w:w="37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outstanding - basic</w:t>
            </w:r>
          </w:p>
        </w:tc>
        <w:tc>
          <w:tcPr>
            <w:tcW w:w="7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39,483,187</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39,025,471</w:t>
            </w:r>
          </w:p>
        </w:tc>
        <w:tc>
          <w:tcPr>
            <w:tcW w:w="1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39,330,389</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38,996,949</w:t>
            </w:r>
          </w:p>
        </w:tc>
        <w:tc>
          <w:tcPr>
            <w:tcW w:w="80" w:type="dxa"/>
            <w:vAlign w:val="bottom"/>
            <w:shd w:val="clear" w:color="auto" w:fill="CFF0FC"/>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120" w:type="dxa"/>
            <w:vAlign w:val="bottom"/>
          </w:tcPr>
          <w:p>
            <w:pPr>
              <w:spacing w:after="0"/>
              <w:rPr>
                <w:sz w:val="19"/>
                <w:szCs w:val="19"/>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Dilutive effect</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794,884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814,607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120" w:type="dxa"/>
            <w:vAlign w:val="bottom"/>
          </w:tcPr>
          <w:p>
            <w:pPr>
              <w:spacing w:after="0"/>
              <w:rPr>
                <w:sz w:val="18"/>
                <w:szCs w:val="18"/>
                <w:color w:val="auto"/>
              </w:rPr>
            </w:pPr>
          </w:p>
        </w:tc>
        <w:tc>
          <w:tcPr>
            <w:tcW w:w="3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 average shares of common stock</w:t>
            </w:r>
          </w:p>
        </w:tc>
        <w:tc>
          <w:tcPr>
            <w:tcW w:w="7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p>
        </w:tc>
        <w:tc>
          <w:tcPr>
            <w:tcW w:w="37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outstanding - diluted</w:t>
            </w:r>
          </w:p>
        </w:tc>
        <w:tc>
          <w:tcPr>
            <w:tcW w:w="70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40,278,071</w:t>
            </w:r>
          </w:p>
        </w:tc>
        <w:tc>
          <w:tcPr>
            <w:tcW w:w="20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39,025,471</w:t>
            </w:r>
          </w:p>
        </w:tc>
        <w:tc>
          <w:tcPr>
            <w:tcW w:w="1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40,144,996</w:t>
            </w:r>
          </w:p>
        </w:tc>
        <w:tc>
          <w:tcPr>
            <w:tcW w:w="18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38,996,949</w:t>
            </w:r>
          </w:p>
        </w:tc>
        <w:tc>
          <w:tcPr>
            <w:tcW w:w="80" w:type="dxa"/>
            <w:vAlign w:val="bottom"/>
            <w:shd w:val="clear" w:color="auto" w:fill="CFF0FC"/>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20" w:type="dxa"/>
            <w:vAlign w:val="bottom"/>
            <w:vMerge w:val="restart"/>
          </w:tcPr>
          <w:p>
            <w:pPr>
              <w:spacing w:after="0"/>
              <w:rPr>
                <w:sz w:val="19"/>
                <w:szCs w:val="19"/>
                <w:color w:val="auto"/>
              </w:rPr>
            </w:pPr>
          </w:p>
        </w:tc>
        <w:tc>
          <w:tcPr>
            <w:tcW w:w="3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20" w:type="dxa"/>
            <w:vAlign w:val="bottom"/>
            <w:vMerge w:val="continue"/>
          </w:tcPr>
          <w:p>
            <w:pPr>
              <w:spacing w:after="0"/>
              <w:rPr>
                <w:sz w:val="19"/>
                <w:szCs w:val="19"/>
                <w:color w:val="auto"/>
              </w:rPr>
            </w:pPr>
          </w:p>
        </w:tc>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 per ordinary share:</w:t>
            </w:r>
          </w:p>
        </w:tc>
        <w:tc>
          <w:tcPr>
            <w:tcW w:w="7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20" w:type="dxa"/>
            <w:vAlign w:val="bottom"/>
          </w:tcPr>
          <w:p>
            <w:pPr>
              <w:spacing w:after="0"/>
              <w:rPr>
                <w:sz w:val="19"/>
                <w:szCs w:val="19"/>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Basic</w:t>
            </w:r>
          </w:p>
        </w:tc>
        <w:tc>
          <w:tcPr>
            <w:tcW w:w="800" w:type="dxa"/>
            <w:vAlign w:val="bottom"/>
            <w:gridSpan w:val="2"/>
          </w:tcPr>
          <w:p>
            <w:pPr>
              <w:jc w:val="center"/>
              <w:ind w:left="6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0.75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(0.32)</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0.44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(0.73)</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20" w:type="dxa"/>
            <w:vAlign w:val="bottom"/>
          </w:tcPr>
          <w:p>
            <w:pPr>
              <w:spacing w:after="0"/>
              <w:rPr>
                <w:sz w:val="19"/>
                <w:szCs w:val="19"/>
                <w:color w:val="auto"/>
              </w:rPr>
            </w:pPr>
          </w:p>
        </w:tc>
        <w:tc>
          <w:tcPr>
            <w:tcW w:w="37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Diluted</w:t>
            </w:r>
          </w:p>
        </w:tc>
        <w:tc>
          <w:tcPr>
            <w:tcW w:w="7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0.73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0.43</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(0.73)</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11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640" w:type="dxa"/>
            <w:vAlign w:val="bottom"/>
            <w:gridSpan w:val="3"/>
          </w:tcPr>
          <w:p>
            <w:pPr>
              <w:jc w:val="center"/>
              <w:ind w:right="55"/>
              <w:spacing w:after="0"/>
              <w:rPr>
                <w:sz w:val="20"/>
                <w:szCs w:val="20"/>
                <w:color w:val="auto"/>
              </w:rPr>
            </w:pPr>
            <w:r>
              <w:rPr>
                <w:rFonts w:ascii="Arial" w:cs="Arial" w:eastAsia="Arial" w:hAnsi="Arial"/>
                <w:sz w:val="18"/>
                <w:szCs w:val="18"/>
                <w:color w:val="auto"/>
                <w:w w:val="89"/>
              </w:rPr>
              <w:t>14</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20" w:type="dxa"/>
            <w:vAlign w:val="bottom"/>
            <w:tcBorders>
              <w:bottom w:val="single" w:sz="8" w:color="9A9A9A"/>
            </w:tcBorders>
          </w:tcPr>
          <w:p>
            <w:pPr>
              <w:spacing w:after="0"/>
              <w:rPr>
                <w:sz w:val="10"/>
                <w:szCs w:val="10"/>
                <w:color w:val="auto"/>
              </w:rPr>
            </w:pPr>
          </w:p>
        </w:tc>
        <w:tc>
          <w:tcPr>
            <w:tcW w:w="376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4" w:name="page15"/>
    <w:bookmarkEnd w:id="14"/>
    <w:p>
      <w:pPr>
        <w:ind w:right="260"/>
        <w:spacing w:after="0" w:line="277" w:lineRule="auto"/>
        <w:rPr>
          <w:sz w:val="20"/>
          <w:szCs w:val="20"/>
          <w:color w:val="auto"/>
        </w:rPr>
      </w:pPr>
      <w:r>
        <w:rPr>
          <w:rFonts w:ascii="Arial" w:cs="Arial" w:eastAsia="Arial" w:hAnsi="Arial"/>
          <w:sz w:val="18"/>
          <w:szCs w:val="18"/>
          <w:color w:val="auto"/>
        </w:rPr>
        <w:t>The following securities outstanding at June 30, 2020 and 2019 have been excluded from the calculation of weighted average shares outstanding as their effect on the calculation of loss per share is antidilutive:</w:t>
      </w: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640" w:type="dxa"/>
            <w:vAlign w:val="bottom"/>
          </w:tcPr>
          <w:p>
            <w:pPr>
              <w:spacing w:after="0"/>
              <w:rPr>
                <w:sz w:val="14"/>
                <w:szCs w:val="14"/>
                <w:color w:val="auto"/>
              </w:rPr>
            </w:pPr>
          </w:p>
        </w:tc>
        <w:tc>
          <w:tcPr>
            <w:tcW w:w="220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 June 30,</w:t>
            </w:r>
          </w:p>
        </w:tc>
        <w:tc>
          <w:tcPr>
            <w:tcW w:w="2140" w:type="dxa"/>
            <w:vAlign w:val="bottom"/>
            <w:gridSpan w:val="4"/>
          </w:tcPr>
          <w:p>
            <w:pPr>
              <w:ind w:left="180"/>
              <w:spacing w:after="0"/>
              <w:rPr>
                <w:sz w:val="20"/>
                <w:szCs w:val="20"/>
                <w:color w:val="auto"/>
              </w:rPr>
            </w:pPr>
            <w:r>
              <w:rPr>
                <w:rFonts w:ascii="Arial" w:cs="Arial" w:eastAsia="Arial" w:hAnsi="Arial"/>
                <w:sz w:val="14"/>
                <w:szCs w:val="14"/>
                <w:b w:val="1"/>
                <w:bCs w:val="1"/>
                <w:color w:val="auto"/>
              </w:rPr>
              <w:t>Six Months Ended June 30,</w:t>
            </w:r>
          </w:p>
        </w:tc>
      </w:tr>
      <w:tr>
        <w:trPr>
          <w:trHeight w:val="156"/>
        </w:trPr>
        <w:tc>
          <w:tcPr>
            <w:tcW w:w="4640" w:type="dxa"/>
            <w:vAlign w:val="bottom"/>
            <w:tcBorders>
              <w:bottom w:val="single" w:sz="8" w:color="CFF0FC"/>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257"/>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CFF0FC"/>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255"/>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237"/>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CFF0FC"/>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255"/>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r>
      <w:tr>
        <w:trPr>
          <w:trHeight w:val="223"/>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Common stock options</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6,528,386</w:t>
            </w: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8,508,672</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6,528,386</w:t>
            </w: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8,508,672</w:t>
            </w:r>
          </w:p>
        </w:tc>
        <w:tc>
          <w:tcPr>
            <w:tcW w:w="100" w:type="dxa"/>
            <w:vAlign w:val="bottom"/>
            <w:shd w:val="clear" w:color="auto" w:fill="CFF0FC"/>
          </w:tcPr>
          <w:p>
            <w:pPr>
              <w:spacing w:after="0"/>
              <w:rPr>
                <w:sz w:val="19"/>
                <w:szCs w:val="19"/>
                <w:color w:val="auto"/>
              </w:rPr>
            </w:pPr>
          </w:p>
        </w:tc>
      </w:t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Restricted stock units</w:t>
            </w:r>
          </w:p>
        </w:tc>
        <w:tc>
          <w:tcPr>
            <w:tcW w:w="920" w:type="dxa"/>
            <w:vAlign w:val="bottom"/>
          </w:tcPr>
          <w:p>
            <w:pPr>
              <w:jc w:val="right"/>
              <w:spacing w:after="0"/>
              <w:rPr>
                <w:sz w:val="20"/>
                <w:szCs w:val="20"/>
                <w:color w:val="auto"/>
              </w:rPr>
            </w:pPr>
            <w:r>
              <w:rPr>
                <w:rFonts w:ascii="Arial" w:cs="Arial" w:eastAsia="Arial" w:hAnsi="Arial"/>
                <w:sz w:val="18"/>
                <w:szCs w:val="18"/>
                <w:color w:val="auto"/>
              </w:rPr>
              <w:t>48,650</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127,300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48,650</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127,300</w:t>
            </w:r>
          </w:p>
        </w:tc>
        <w:tc>
          <w:tcPr>
            <w:tcW w:w="100" w:type="dxa"/>
            <w:vAlign w:val="bottom"/>
          </w:tcPr>
          <w:p>
            <w:pPr>
              <w:spacing w:after="0"/>
              <w:rPr>
                <w:sz w:val="19"/>
                <w:szCs w:val="19"/>
                <w:color w:val="auto"/>
              </w:rPr>
            </w:pPr>
          </w:p>
        </w:tc>
      </w:tr>
      <w:tr>
        <w:trPr>
          <w:trHeight w:val="229"/>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Common stock warrants</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40,790</w:t>
            </w: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40,790</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40,790</w:t>
            </w: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40,790</w:t>
            </w:r>
          </w:p>
        </w:tc>
        <w:tc>
          <w:tcPr>
            <w:tcW w:w="100" w:type="dxa"/>
            <w:vAlign w:val="bottom"/>
            <w:shd w:val="clear" w:color="auto" w:fill="CFF0FC"/>
          </w:tcPr>
          <w:p>
            <w:pPr>
              <w:spacing w:after="0"/>
              <w:rPr>
                <w:sz w:val="19"/>
                <w:szCs w:val="19"/>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CO-DEVELOPMENT AND LICENSE AGREEMENT</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February 13, 2014, the Company signed a co-development and license agreement (the “Agreement”) with Janssen, which became effective upon completion of the Company’s initial public offering and provided for the payment of a $22.0 million license fee by the Company. Under the Agreement, Janssen, the licensor, granted the Company an exclusive license, with the right to sublicense, in the Minerva Territory, under (i) certain patent and patent applications to sell products containing any orexin 2 compound, controlled by the licensor and claimed in a licensor patent right as an active ingredient, and (ii) seltorexant for any use in humans.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Company has accounted for the Agreement as a joint risk-sharing collaboration in accordance with ASC 808, </w:t>
      </w:r>
      <w:r>
        <w:rPr>
          <w:rFonts w:ascii="Arial" w:cs="Arial" w:eastAsia="Arial" w:hAnsi="Arial"/>
          <w:sz w:val="17"/>
          <w:szCs w:val="17"/>
          <w:i w:val="1"/>
          <w:iCs w:val="1"/>
          <w:color w:val="auto"/>
        </w:rPr>
        <w:t>Collaborative Arrangements</w:t>
      </w:r>
      <w:r>
        <w:rPr>
          <w:rFonts w:ascii="Arial" w:cs="Arial" w:eastAsia="Arial" w:hAnsi="Arial"/>
          <w:sz w:val="17"/>
          <w:szCs w:val="17"/>
          <w:color w:val="auto"/>
        </w:rPr>
        <w:t>.</w:t>
      </w:r>
    </w:p>
    <w:p>
      <w:pPr>
        <w:spacing w:after="0" w:line="23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June 2017, the Company entered into an amendment (“the Amendment”) to the Agreement, which became effective on August 29, 2017. Under the Amendment, Janssen waived its right to royalties on seltorexant insomnia sales in the Minerva Territory and made an upfront payment to the Company of $30 million and agreed to waive development payments from the Company until completion of the Phase 2b development milestone, referred to as “Decision Point 4”.</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Top-line results have been reported from three Phase 2b trials and one Phase 1b trial with seltorexant.</w:t>
      </w:r>
    </w:p>
    <w:p>
      <w:pPr>
        <w:spacing w:after="0" w:line="22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On June 30, 2020, the Company exercised its right to opt out of the Agreement with Janssen pursuant to a Settlement Agreement with Janssen dated June 24, 2020 (the “Settlement Agreement”), which became effective upon exercise of the opt out, pursuant to which the Company and Janssen resolved certain disputes under the Agreement. Under the Settlement Agreement, the Company agreed not to assert that Decision Point 4 has not been reached, Janssen waived the requirement that opt-out occur after Decision Point 4 in order for the Company to receive a royalty on sales of seltorexant after opt-out, and the Company and Janssen agreed to waive any payments to the other with respect to development costs for seltorexant. As a result of the exercise of its right to opt out of the Agreement with Janssen, the Agreement is deemed to have been terminated effective as of October 2, 2019. The Company will now collect a royalty on worldwide sales of seltorexant in all indications in the mid-single digits, with no further financial obligations to Janssen.</w:t>
      </w:r>
    </w:p>
    <w:p>
      <w:pPr>
        <w:spacing w:after="0" w:line="16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As a result of opting out of the Agreement with Janssen, the Company recognized $41.2 million in collaborative revenue during the second quarter of 2020 which had previously been included on the balance sheet under deferred revenue. The $41.2 million in collaborative revenue represents the $30 million payment made by Janssen and $11.2 million in previously accrued collaborative expenses forgiven by Janssen upon the effective date of the Amendment. The Company does not have any future performance obligations under the agreement and will recognize any future royalty revenues in the periods of the sale of the related products.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At-the-Market Equity Offering Program</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August 10, 2018, the Company entered into an Open Market Sale Agreement (the “Sales Agreement”) with Jefferies, LLC, (“Jefferies”), pursuant to which the Company may offer and sell, from time to time, through Jefferies, up to $50.0 million in shares of the Company's common stock, by any method permitted by law deemed to be an “at-the-market” offering as defined in Rule 415 promulgated under the Securities Act of 1933, as amended. During June 2020, the Company issued and sold 1,361,956 shares of the Company's common stock under the Sales Agreement. The shares were sold at an average price of $3.802 per share for aggregate net proceeds to the Company of approximately $5.0 million, after deducting sales commissions and offering costs payable by the Company.</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5" w:name="page16"/>
    <w:bookmarkEnd w:id="15"/>
    <w:p>
      <w:pPr>
        <w:ind w:left="260"/>
        <w:spacing w:after="0"/>
        <w:rPr>
          <w:sz w:val="20"/>
          <w:szCs w:val="20"/>
          <w:color w:val="auto"/>
        </w:rPr>
      </w:pPr>
      <w:r>
        <w:rPr>
          <w:rFonts w:ascii="Arial" w:cs="Arial" w:eastAsia="Arial" w:hAnsi="Arial"/>
          <w:sz w:val="18"/>
          <w:szCs w:val="18"/>
          <w:b w:val="1"/>
          <w:bCs w:val="1"/>
          <w:i w:val="1"/>
          <w:iCs w:val="1"/>
          <w:color w:val="auto"/>
        </w:rPr>
        <w:t>Term Loan Warrants</w:t>
      </w:r>
    </w:p>
    <w:p>
      <w:pPr>
        <w:spacing w:after="0" w:line="225"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In connection with the Company’s former Loan and Security Agreement with Oxford Finance LLC and Silicon Valley Bank (the “Lenders”), which provided for term loans to the Company in an aggregate principal amount of up to $15 million in two tranches on January 15, 2016, the Company issued the Lenders warrants to purchase 40,790 shares of common stock at a per share exercise price of $5.516. The warrants are immediately exercisable upon issuance, and other than in connection with certain mergers or acquisitions, will expire on the ten-year anniversary of the date of issuance. The fair value of the warrants was estimated at $0.2 million using a Black-Scholes model and assuming: (i) expected volatility of 100.8%, (ii) risk free interest rate of</w:t>
      </w:r>
    </w:p>
    <w:p>
      <w:pPr>
        <w:spacing w:after="0" w:line="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1.83%, (iii) an expected life of 10 years and (iv) no dividend payments. The fair value of the warrants was included as a discount to the term loans drawn at such time and also as a component of additional paid-in capital and were amortized to interest expense over the term of the loan. Although the term loans were repaid in August 2018, all related warrants were outstanding and exercisable as of June 30, 2020.</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STOCK AWARD PLAN AND STOCK-BASED COMPENSATION</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December 2013, the Company adopted the 2013 Equity Incentive Plan (as subsequently amended and restated, the “Plan”), which provides for the issuance of options, stock appreciation rights, stock awards and stock units. Pursuant to Nasdaq listing rules, the Company issued inducement awards in December 2017 to the Company’s President outside of the Plan in the form of an option to purchase 775,000 shares of the Company’s common stock and a RSU award to purchase 40,000 shares of the Company’s common stock. In June 2020, the Company increased the aggregate number of shares of common stock authorized for issuance under the Plan by 2,000,000 shares. Stock option activity for employees and non-employees for the six months ended June 30, 2020 is as follows:</w:t>
      </w:r>
    </w:p>
    <w:p>
      <w:pPr>
        <w:spacing w:after="0" w:line="18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3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8"/>
              </w:rPr>
              <w:t>Shares Issuable</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Weighted-</w:t>
            </w: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3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Pursuant to</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40" w:type="dxa"/>
            <w:vAlign w:val="bottom"/>
          </w:tcPr>
          <w:p>
            <w:pPr>
              <w:spacing w:after="0"/>
              <w:rPr>
                <w:sz w:val="12"/>
                <w:szCs w:val="12"/>
                <w:color w:val="auto"/>
              </w:rPr>
            </w:pPr>
          </w:p>
        </w:tc>
        <w:tc>
          <w:tcPr>
            <w:tcW w:w="11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Intrinsic 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3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Stock Options</w:t>
            </w:r>
          </w:p>
        </w:tc>
        <w:tc>
          <w:tcPr>
            <w:tcW w:w="40" w:type="dxa"/>
            <w:vAlign w:val="bottom"/>
          </w:tcPr>
          <w:p>
            <w:pPr>
              <w:spacing w:after="0"/>
              <w:rPr>
                <w:sz w:val="14"/>
                <w:szCs w:val="14"/>
                <w:color w:val="auto"/>
              </w:rPr>
            </w:pPr>
          </w:p>
        </w:tc>
        <w:tc>
          <w:tcPr>
            <w:tcW w:w="11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1"/>
              </w:rPr>
              <w:t>Exercise Price</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1"/>
              </w:rPr>
              <w:t>Terms (years)</w:t>
            </w:r>
          </w:p>
        </w:tc>
        <w:tc>
          <w:tcPr>
            <w:tcW w:w="140" w:type="dxa"/>
            <w:vAlign w:val="bottom"/>
          </w:tcPr>
          <w:p>
            <w:pPr>
              <w:spacing w:after="0"/>
              <w:rPr>
                <w:sz w:val="14"/>
                <w:szCs w:val="14"/>
                <w:color w:val="auto"/>
              </w:rPr>
            </w:pPr>
          </w:p>
        </w:tc>
        <w:tc>
          <w:tcPr>
            <w:tcW w:w="11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9"/>
              </w:rPr>
              <w:t>(in thousands)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January 1, 2020</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9,040,328</w:t>
            </w:r>
          </w:p>
        </w:tc>
        <w:tc>
          <w:tcPr>
            <w:tcW w:w="1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6.98</w:t>
            </w:r>
          </w:p>
        </w:tc>
        <w:tc>
          <w:tcPr>
            <w:tcW w:w="14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1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8"/>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7,420</w:t>
            </w: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39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Granted</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2,108,344</w:t>
            </w:r>
          </w:p>
        </w:tc>
        <w:tc>
          <w:tcPr>
            <w:tcW w:w="10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6.86</w:t>
            </w: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Exercised</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(198,762)</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5.75</w:t>
            </w: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Forfeited</w:t>
            </w: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(534,687)</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7.85</w:t>
            </w: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Expired</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(105,356)</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9.63</w:t>
            </w: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June 30, 2020</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10,309,867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6.90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2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360" w:type="dxa"/>
            <w:vAlign w:val="bottom"/>
            <w:tcBorders>
              <w:top w:val="single" w:sz="8" w:color="CFF0FC"/>
              <w:bottom w:val="single" w:sz="8" w:color="CFF0FC"/>
            </w:tcBorders>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60" w:type="dxa"/>
            <w:vAlign w:val="bottom"/>
            <w:gridSpan w:val="2"/>
            <w:vMerge w:val="restart"/>
          </w:tcPr>
          <w:p>
            <w:pPr>
              <w:spacing w:after="0"/>
              <w:rPr>
                <w:sz w:val="20"/>
                <w:szCs w:val="20"/>
                <w:color w:val="auto"/>
              </w:rPr>
            </w:pPr>
            <w:r>
              <w:rPr>
                <w:rFonts w:ascii="Arial" w:cs="Arial" w:eastAsia="Arial" w:hAnsi="Arial"/>
                <w:sz w:val="18"/>
                <w:szCs w:val="18"/>
                <w:color w:val="auto"/>
              </w:rPr>
              <w:t>Exercisable June 30, 2020</w:t>
            </w: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6.74</w:t>
            </w:r>
          </w:p>
        </w:tc>
        <w:tc>
          <w:tcPr>
            <w:tcW w:w="140" w:type="dxa"/>
            <w:vAlign w:val="bottom"/>
          </w:tcPr>
          <w:p>
            <w:pPr>
              <w:spacing w:after="0" w:line="20" w:lineRule="exact"/>
              <w:rPr>
                <w:sz w:val="1"/>
                <w:szCs w:val="1"/>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6.3</w:t>
            </w:r>
          </w:p>
        </w:tc>
        <w:tc>
          <w:tcPr>
            <w:tcW w:w="360" w:type="dxa"/>
            <w:vAlign w:val="bottom"/>
            <w:gridSpan w:val="2"/>
            <w:vMerge w:val="restart"/>
          </w:tcPr>
          <w:p>
            <w:pPr>
              <w:jc w:val="right"/>
              <w:ind w:right="68"/>
              <w:spacing w:after="0"/>
              <w:rPr>
                <w:sz w:val="20"/>
                <w:szCs w:val="20"/>
                <w:color w:val="auto"/>
              </w:rPr>
            </w:pPr>
            <w:r>
              <w:rPr>
                <w:rFonts w:ascii="Arial" w:cs="Arial" w:eastAsia="Arial" w:hAnsi="Arial"/>
                <w:sz w:val="18"/>
                <w:szCs w:val="18"/>
                <w:color w:val="auto"/>
              </w:rPr>
              <w:t>$</w:t>
            </w:r>
          </w:p>
        </w:tc>
        <w:tc>
          <w:tcPr>
            <w:tcW w:w="90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250"/>
        </w:trPr>
        <w:tc>
          <w:tcPr>
            <w:tcW w:w="3960" w:type="dxa"/>
            <w:vAlign w:val="bottom"/>
            <w:gridSpan w:val="2"/>
            <w:vMerge w:val="continue"/>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6,259,560</w:t>
            </w:r>
          </w:p>
        </w:tc>
        <w:tc>
          <w:tcPr>
            <w:tcW w:w="100" w:type="dxa"/>
            <w:vAlign w:val="bottom"/>
          </w:tcPr>
          <w:p>
            <w:pPr>
              <w:spacing w:after="0"/>
              <w:rPr>
                <w:sz w:val="21"/>
                <w:szCs w:val="21"/>
                <w:color w:val="auto"/>
              </w:rPr>
            </w:pPr>
          </w:p>
        </w:tc>
        <w:tc>
          <w:tcPr>
            <w:tcW w:w="160" w:type="dxa"/>
            <w:vAlign w:val="bottom"/>
            <w:gridSpan w:val="2"/>
            <w:vMerge w:val="continue"/>
          </w:tcPr>
          <w:p>
            <w:pPr>
              <w:spacing w:after="0"/>
              <w:rPr>
                <w:sz w:val="21"/>
                <w:szCs w:val="21"/>
                <w:color w:val="auto"/>
              </w:rPr>
            </w:pPr>
          </w:p>
        </w:tc>
        <w:tc>
          <w:tcPr>
            <w:tcW w:w="86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vMerge w:val="continue"/>
          </w:tcPr>
          <w:p>
            <w:pPr>
              <w:spacing w:after="0"/>
              <w:rPr>
                <w:sz w:val="21"/>
                <w:szCs w:val="21"/>
                <w:color w:val="auto"/>
              </w:rPr>
            </w:pPr>
          </w:p>
        </w:tc>
        <w:tc>
          <w:tcPr>
            <w:tcW w:w="360" w:type="dxa"/>
            <w:vAlign w:val="bottom"/>
            <w:gridSpan w:val="2"/>
            <w:vMerge w:val="continue"/>
          </w:tcPr>
          <w:p>
            <w:pPr>
              <w:spacing w:after="0"/>
              <w:rPr>
                <w:sz w:val="21"/>
                <w:szCs w:val="21"/>
                <w:color w:val="auto"/>
              </w:rPr>
            </w:pPr>
          </w:p>
        </w:tc>
        <w:tc>
          <w:tcPr>
            <w:tcW w:w="90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Available for future grant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574,822</w:t>
            </w:r>
          </w:p>
        </w:tc>
        <w:tc>
          <w:tcPr>
            <w:tcW w:w="10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2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4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weighted average grant-date fair value of stock options outstanding on June 30, 2020 was $4.36 per share. Total unrecognized compensation costs related to non-vested stock options at June 30, 2020 were approximately $13.6 million and are expected to be recognized within future operating results over a weighted-average period of 2.37 years. The total intrinsic value of the options exercised during the six months ended June 30, 2020, and 2019 was approximately $0.9 million and $0.2 million, respectively.</w:t>
      </w:r>
    </w:p>
    <w:p>
      <w:pPr>
        <w:spacing w:after="0" w:line="214"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 xml:space="preserve">The expected term of the employee-related options was estimated using the “simplified” method as defined by the SEC’s Staff Accounting Bulletin No. 107, </w:t>
      </w:r>
      <w:r>
        <w:rPr>
          <w:rFonts w:ascii="Arial" w:cs="Arial" w:eastAsia="Arial" w:hAnsi="Arial"/>
          <w:sz w:val="16"/>
          <w:szCs w:val="16"/>
          <w:i w:val="1"/>
          <w:iCs w:val="1"/>
          <w:color w:val="auto"/>
        </w:rPr>
        <w:t>Share-Based Payment</w:t>
      </w:r>
      <w:r>
        <w:rPr>
          <w:rFonts w:ascii="Arial" w:cs="Arial" w:eastAsia="Arial" w:hAnsi="Arial"/>
          <w:sz w:val="16"/>
          <w:szCs w:val="16"/>
          <w:color w:val="auto"/>
        </w:rPr>
        <w:t>. The volatility assumption was determined by examining the historical volatilities for industry peer companies, as the Company did not have sufficient trading history for its common stock. The risk-free interest rate assumption is based on the U.S. Treasury instruments, the term of which was consistent with the expected term of the options. The dividend assumption is based on the Company’s history and expectation of dividend payouts. The Company has never paid dividends on its common stock and does not anticipate paying dividends on its common stock in the foreseeable future. Accordingly, the Company has assumed no dividend yield for purposes of estimating the fair value of the options.</w:t>
      </w: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6" w:name="page17"/>
    <w:bookmarkEnd w:id="16"/>
    <w:p>
      <w:pPr>
        <w:spacing w:after="0" w:line="277" w:lineRule="auto"/>
        <w:rPr>
          <w:sz w:val="20"/>
          <w:szCs w:val="20"/>
          <w:color w:val="auto"/>
        </w:rPr>
      </w:pPr>
      <w:r>
        <w:rPr>
          <w:rFonts w:ascii="Arial" w:cs="Arial" w:eastAsia="Arial" w:hAnsi="Arial"/>
          <w:sz w:val="18"/>
          <w:szCs w:val="18"/>
          <w:color w:val="auto"/>
        </w:rPr>
        <w:t>The Company uses the Black-Scholes model to estimate the fair value of stock options granted. For stock options granted during the six months ended June 30, 2020 and 2019, the Company utilized the following assumptions: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20" w:type="dxa"/>
            <w:vAlign w:val="bottom"/>
            <w:gridSpan w:val="7"/>
          </w:tcPr>
          <w:p>
            <w:pPr>
              <w:ind w:left="400"/>
              <w:spacing w:after="0"/>
              <w:rPr>
                <w:sz w:val="20"/>
                <w:szCs w:val="20"/>
                <w:color w:val="auto"/>
              </w:rPr>
            </w:pPr>
            <w:r>
              <w:rPr>
                <w:rFonts w:ascii="Arial" w:cs="Arial" w:eastAsia="Arial" w:hAnsi="Arial"/>
                <w:sz w:val="14"/>
                <w:szCs w:val="14"/>
                <w:b w:val="1"/>
                <w:bCs w:val="1"/>
                <w:color w:val="auto"/>
              </w:rPr>
              <w:t>Six Months Ended June 30,</w:t>
            </w:r>
          </w:p>
        </w:tc>
      </w:tr>
      <w:tr>
        <w:trPr>
          <w:trHeight w:val="156"/>
        </w:trPr>
        <w:tc>
          <w:tcPr>
            <w:tcW w:w="1140" w:type="dxa"/>
            <w:vAlign w:val="bottom"/>
          </w:tcPr>
          <w:p>
            <w:pPr>
              <w:spacing w:after="0"/>
              <w:rPr>
                <w:sz w:val="13"/>
                <w:szCs w:val="13"/>
                <w:color w:val="auto"/>
              </w:rPr>
            </w:pPr>
          </w:p>
        </w:tc>
        <w:tc>
          <w:tcPr>
            <w:tcW w:w="5460" w:type="dxa"/>
            <w:vAlign w:val="bottom"/>
            <w:tcBorders>
              <w:bottom w:val="single" w:sz="8" w:color="CFF0FC"/>
            </w:tcBorders>
          </w:tcPr>
          <w:p>
            <w:pPr>
              <w:spacing w:after="0"/>
              <w:rPr>
                <w:sz w:val="13"/>
                <w:szCs w:val="13"/>
                <w:color w:val="auto"/>
              </w:rPr>
            </w:pPr>
          </w:p>
        </w:tc>
        <w:tc>
          <w:tcPr>
            <w:tcW w:w="700" w:type="dxa"/>
            <w:vAlign w:val="bottom"/>
            <w:tcBorders>
              <w:bottom w:val="single" w:sz="8" w:color="CFF0FC"/>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center"/>
              <w:ind w:right="34"/>
              <w:spacing w:after="0" w:line="155" w:lineRule="exact"/>
              <w:rPr>
                <w:sz w:val="20"/>
                <w:szCs w:val="20"/>
                <w:color w:val="auto"/>
              </w:rPr>
            </w:pPr>
            <w:r>
              <w:rPr>
                <w:rFonts w:ascii="Arial" w:cs="Arial" w:eastAsia="Arial" w:hAnsi="Arial"/>
                <w:sz w:val="14"/>
                <w:szCs w:val="14"/>
                <w:b w:val="1"/>
                <w:bCs w:val="1"/>
                <w:color w:val="auto"/>
                <w:w w:val="96"/>
              </w:rPr>
              <w:t>2020</w:t>
            </w:r>
          </w:p>
        </w:tc>
        <w:tc>
          <w:tcPr>
            <w:tcW w:w="2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center"/>
              <w:ind w:right="76"/>
              <w:spacing w:after="0" w:line="155" w:lineRule="exact"/>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CFF0FC"/>
            </w:tcBorders>
          </w:tcPr>
          <w:p>
            <w:pPr>
              <w:spacing w:after="0"/>
              <w:rPr>
                <w:sz w:val="13"/>
                <w:szCs w:val="13"/>
                <w:color w:val="auto"/>
              </w:rPr>
            </w:pPr>
          </w:p>
        </w:tc>
      </w:tr>
      <w:tr>
        <w:trPr>
          <w:trHeight w:val="223"/>
        </w:trPr>
        <w:tc>
          <w:tcPr>
            <w:tcW w:w="1140" w:type="dxa"/>
            <w:vAlign w:val="bottom"/>
          </w:tcPr>
          <w:p>
            <w:pPr>
              <w:spacing w:after="0"/>
              <w:rPr>
                <w:sz w:val="19"/>
                <w:szCs w:val="19"/>
                <w:color w:val="auto"/>
              </w:rPr>
            </w:pPr>
          </w:p>
        </w:tc>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Expected term (years)</w:t>
            </w:r>
          </w:p>
        </w:tc>
        <w:tc>
          <w:tcPr>
            <w:tcW w:w="7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40" w:type="dxa"/>
            <w:vAlign w:val="bottom"/>
            <w:shd w:val="clear" w:color="auto" w:fill="CFF0FC"/>
          </w:tcPr>
          <w:p>
            <w:pPr>
              <w:jc w:val="center"/>
              <w:ind w:right="34"/>
              <w:spacing w:after="0"/>
              <w:rPr>
                <w:sz w:val="20"/>
                <w:szCs w:val="20"/>
                <w:color w:val="auto"/>
              </w:rPr>
            </w:pPr>
            <w:r>
              <w:rPr>
                <w:rFonts w:ascii="Arial" w:cs="Arial" w:eastAsia="Arial" w:hAnsi="Arial"/>
                <w:sz w:val="18"/>
                <w:szCs w:val="18"/>
                <w:color w:val="auto"/>
                <w:w w:val="91"/>
              </w:rPr>
              <w:t>5.50-5.88</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jc w:val="center"/>
              <w:ind w:right="56"/>
              <w:spacing w:after="0"/>
              <w:rPr>
                <w:sz w:val="20"/>
                <w:szCs w:val="20"/>
                <w:color w:val="auto"/>
              </w:rPr>
            </w:pPr>
            <w:r>
              <w:rPr>
                <w:rFonts w:ascii="Arial" w:cs="Arial" w:eastAsia="Arial" w:hAnsi="Arial"/>
                <w:sz w:val="18"/>
                <w:szCs w:val="18"/>
                <w:color w:val="auto"/>
                <w:w w:val="87"/>
              </w:rPr>
              <w:t>5.5</w:t>
            </w:r>
          </w:p>
        </w:tc>
        <w:tc>
          <w:tcPr>
            <w:tcW w:w="100" w:type="dxa"/>
            <w:vAlign w:val="bottom"/>
            <w:shd w:val="clear" w:color="auto" w:fill="CFF0FC"/>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Risk free interest rate</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jc w:val="center"/>
              <w:ind w:right="34"/>
              <w:spacing w:after="0"/>
              <w:rPr>
                <w:sz w:val="20"/>
                <w:szCs w:val="20"/>
                <w:color w:val="auto"/>
              </w:rPr>
            </w:pPr>
            <w:r>
              <w:rPr>
                <w:rFonts w:ascii="Arial" w:cs="Arial" w:eastAsia="Arial" w:hAnsi="Arial"/>
                <w:sz w:val="18"/>
                <w:szCs w:val="18"/>
                <w:color w:val="auto"/>
                <w:w w:val="90"/>
              </w:rPr>
              <w:t>0.37%-0.42%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center"/>
              <w:ind w:right="76"/>
              <w:spacing w:after="0"/>
              <w:rPr>
                <w:sz w:val="20"/>
                <w:szCs w:val="20"/>
                <w:color w:val="auto"/>
              </w:rPr>
            </w:pPr>
            <w:r>
              <w:rPr>
                <w:rFonts w:ascii="Arial" w:cs="Arial" w:eastAsia="Arial" w:hAnsi="Arial"/>
                <w:sz w:val="18"/>
                <w:szCs w:val="18"/>
                <w:color w:val="auto"/>
                <w:w w:val="91"/>
              </w:rPr>
              <w:t>1.91-1.96%</w:t>
            </w:r>
          </w:p>
        </w:tc>
        <w:tc>
          <w:tcPr>
            <w:tcW w:w="100" w:type="dxa"/>
            <w:vAlign w:val="bottom"/>
          </w:tcPr>
          <w:p>
            <w:pPr>
              <w:spacing w:after="0"/>
              <w:rPr>
                <w:sz w:val="19"/>
                <w:szCs w:val="19"/>
                <w:color w:val="auto"/>
              </w:rPr>
            </w:pPr>
          </w:p>
        </w:tc>
      </w:tr>
      <w:tr>
        <w:trPr>
          <w:trHeight w:val="229"/>
        </w:trPr>
        <w:tc>
          <w:tcPr>
            <w:tcW w:w="1140" w:type="dxa"/>
            <w:vAlign w:val="bottom"/>
          </w:tcPr>
          <w:p>
            <w:pPr>
              <w:spacing w:after="0"/>
              <w:rPr>
                <w:sz w:val="19"/>
                <w:szCs w:val="19"/>
                <w:color w:val="auto"/>
              </w:rPr>
            </w:pPr>
          </w:p>
        </w:tc>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Volatility</w:t>
            </w:r>
          </w:p>
        </w:tc>
        <w:tc>
          <w:tcPr>
            <w:tcW w:w="7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40" w:type="dxa"/>
            <w:vAlign w:val="bottom"/>
            <w:shd w:val="clear" w:color="auto" w:fill="CFF0FC"/>
          </w:tcPr>
          <w:p>
            <w:pPr>
              <w:jc w:val="center"/>
              <w:ind w:right="14"/>
              <w:spacing w:after="0"/>
              <w:rPr>
                <w:sz w:val="20"/>
                <w:szCs w:val="20"/>
                <w:color w:val="auto"/>
              </w:rPr>
            </w:pPr>
            <w:r>
              <w:rPr>
                <w:rFonts w:ascii="Arial" w:cs="Arial" w:eastAsia="Arial" w:hAnsi="Arial"/>
                <w:sz w:val="18"/>
                <w:szCs w:val="18"/>
                <w:color w:val="auto"/>
                <w:w w:val="92"/>
              </w:rPr>
              <w:t>68%-69%</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jc w:val="center"/>
              <w:ind w:right="76"/>
              <w:spacing w:after="0"/>
              <w:rPr>
                <w:sz w:val="20"/>
                <w:szCs w:val="20"/>
                <w:color w:val="auto"/>
              </w:rPr>
            </w:pPr>
            <w:r>
              <w:rPr>
                <w:rFonts w:ascii="Arial" w:cs="Arial" w:eastAsia="Arial" w:hAnsi="Arial"/>
                <w:sz w:val="18"/>
                <w:szCs w:val="18"/>
                <w:color w:val="auto"/>
                <w:w w:val="90"/>
              </w:rPr>
              <w:t>74-77%</w:t>
            </w:r>
          </w:p>
        </w:tc>
        <w:tc>
          <w:tcPr>
            <w:tcW w:w="100" w:type="dxa"/>
            <w:vAlign w:val="bottom"/>
            <w:shd w:val="clear" w:color="auto" w:fill="CFF0FC"/>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Dividend yield</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jc w:val="center"/>
              <w:ind w:right="14"/>
              <w:spacing w:after="0"/>
              <w:rPr>
                <w:sz w:val="20"/>
                <w:szCs w:val="20"/>
                <w:color w:val="auto"/>
              </w:rPr>
            </w:pPr>
            <w:r>
              <w:rPr>
                <w:rFonts w:ascii="Arial" w:cs="Arial" w:eastAsia="Arial" w:hAnsi="Arial"/>
                <w:sz w:val="18"/>
                <w:szCs w:val="18"/>
                <w:color w:val="auto"/>
                <w:w w:val="92"/>
              </w:rPr>
              <w:t>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center"/>
              <w:ind w:right="76"/>
              <w:spacing w:after="0"/>
              <w:rPr>
                <w:sz w:val="20"/>
                <w:szCs w:val="20"/>
                <w:color w:val="auto"/>
              </w:rPr>
            </w:pPr>
            <w:r>
              <w:rPr>
                <w:rFonts w:ascii="Arial" w:cs="Arial" w:eastAsia="Arial" w:hAnsi="Arial"/>
                <w:sz w:val="18"/>
                <w:szCs w:val="18"/>
                <w:color w:val="auto"/>
                <w:w w:val="92"/>
              </w:rPr>
              <w:t>0%</w:t>
            </w:r>
          </w:p>
        </w:tc>
        <w:tc>
          <w:tcPr>
            <w:tcW w:w="100" w:type="dxa"/>
            <w:vAlign w:val="bottom"/>
          </w:tcPr>
          <w:p>
            <w:pPr>
              <w:spacing w:after="0"/>
              <w:rPr>
                <w:sz w:val="19"/>
                <w:szCs w:val="19"/>
                <w:color w:val="auto"/>
              </w:rPr>
            </w:pPr>
          </w:p>
        </w:tc>
      </w:tr>
      <w:tr>
        <w:trPr>
          <w:trHeight w:val="215"/>
        </w:trPr>
        <w:tc>
          <w:tcPr>
            <w:tcW w:w="1140" w:type="dxa"/>
            <w:vAlign w:val="bottom"/>
          </w:tcPr>
          <w:p>
            <w:pPr>
              <w:spacing w:after="0"/>
              <w:rPr>
                <w:sz w:val="18"/>
                <w:szCs w:val="18"/>
                <w:color w:val="auto"/>
              </w:rPr>
            </w:pPr>
          </w:p>
        </w:tc>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grant date fair value per share of</w:t>
            </w:r>
          </w:p>
        </w:tc>
        <w:tc>
          <w:tcPr>
            <w:tcW w:w="7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1140" w:type="dxa"/>
            <w:vAlign w:val="bottom"/>
          </w:tcPr>
          <w:p>
            <w:pPr>
              <w:spacing w:after="0"/>
              <w:rPr>
                <w:sz w:val="20"/>
                <w:szCs w:val="20"/>
                <w:color w:val="auto"/>
              </w:rPr>
            </w:pPr>
          </w:p>
        </w:tc>
        <w:tc>
          <w:tcPr>
            <w:tcW w:w="54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common stock</w:t>
            </w:r>
          </w:p>
        </w:tc>
        <w:tc>
          <w:tcPr>
            <w:tcW w:w="8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ind w:left="400"/>
              <w:spacing w:after="0"/>
              <w:rPr>
                <w:sz w:val="20"/>
                <w:szCs w:val="20"/>
                <w:color w:val="auto"/>
              </w:rPr>
            </w:pPr>
            <w:r>
              <w:rPr>
                <w:rFonts w:ascii="Arial" w:cs="Arial" w:eastAsia="Arial" w:hAnsi="Arial"/>
                <w:sz w:val="18"/>
                <w:szCs w:val="18"/>
                <w:color w:val="auto"/>
              </w:rPr>
              <w:t>1.61</w:t>
            </w: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336"/>
              <w:spacing w:after="0"/>
              <w:rPr>
                <w:sz w:val="20"/>
                <w:szCs w:val="20"/>
                <w:color w:val="auto"/>
              </w:rPr>
            </w:pPr>
            <w:r>
              <w:rPr>
                <w:rFonts w:ascii="Arial" w:cs="Arial" w:eastAsia="Arial" w:hAnsi="Arial"/>
                <w:sz w:val="18"/>
                <w:szCs w:val="18"/>
                <w:color w:val="auto"/>
              </w:rPr>
              <w:t>3.26</w:t>
            </w:r>
          </w:p>
        </w:tc>
        <w:tc>
          <w:tcPr>
            <w:tcW w:w="100" w:type="dxa"/>
            <w:vAlign w:val="bottom"/>
            <w:shd w:val="clear" w:color="auto" w:fill="CFF0FC"/>
          </w:tcPr>
          <w:p>
            <w:pPr>
              <w:spacing w:after="0"/>
              <w:rPr>
                <w:sz w:val="20"/>
                <w:szCs w:val="20"/>
                <w:color w:val="auto"/>
              </w:rPr>
            </w:pPr>
          </w:p>
        </w:tc>
      </w:tr>
      <w:tr>
        <w:trPr>
          <w:trHeight w:val="432"/>
        </w:trPr>
        <w:tc>
          <w:tcPr>
            <w:tcW w:w="6600" w:type="dxa"/>
            <w:vAlign w:val="bottom"/>
            <w:gridSpan w:val="2"/>
          </w:tcPr>
          <w:p>
            <w:pPr>
              <w:spacing w:after="0"/>
              <w:rPr>
                <w:sz w:val="20"/>
                <w:szCs w:val="20"/>
                <w:color w:val="auto"/>
              </w:rPr>
            </w:pPr>
            <w:r>
              <w:rPr>
                <w:rFonts w:ascii="Arial" w:cs="Arial" w:eastAsia="Arial" w:hAnsi="Arial"/>
                <w:sz w:val="18"/>
                <w:szCs w:val="18"/>
                <w:color w:val="auto"/>
              </w:rPr>
              <w:t>RSU activity under the Plan for the six months ended June 30, 2020 is as follows:</w:t>
            </w: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5"/>
        </w:trPr>
        <w:tc>
          <w:tcPr>
            <w:tcW w:w="114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Weighted-</w:t>
            </w:r>
          </w:p>
        </w:tc>
      </w:tr>
      <w:tr>
        <w:trPr>
          <w:trHeight w:val="162"/>
        </w:trPr>
        <w:tc>
          <w:tcPr>
            <w:tcW w:w="114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Average</w:t>
            </w:r>
          </w:p>
        </w:tc>
      </w:tr>
      <w:tr>
        <w:trPr>
          <w:trHeight w:val="162"/>
        </w:trPr>
        <w:tc>
          <w:tcPr>
            <w:tcW w:w="114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Grant Date</w:t>
            </w:r>
          </w:p>
        </w:tc>
      </w:tr>
      <w:tr>
        <w:trPr>
          <w:trHeight w:val="171"/>
        </w:trPr>
        <w:tc>
          <w:tcPr>
            <w:tcW w:w="114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3"/>
          </w:tcPr>
          <w:p>
            <w:pPr>
              <w:ind w:left="340"/>
              <w:spacing w:after="0"/>
              <w:rPr>
                <w:sz w:val="20"/>
                <w:szCs w:val="20"/>
                <w:color w:val="auto"/>
              </w:rPr>
            </w:pPr>
            <w:r>
              <w:rPr>
                <w:rFonts w:ascii="Arial" w:cs="Arial" w:eastAsia="Arial" w:hAnsi="Arial"/>
                <w:sz w:val="14"/>
                <w:szCs w:val="14"/>
                <w:b w:val="1"/>
                <w:bCs w:val="1"/>
                <w:color w:val="auto"/>
              </w:rPr>
              <w:t>RSUs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Fair Value</w:t>
            </w:r>
          </w:p>
        </w:tc>
      </w:tr>
      <w:tr>
        <w:trPr>
          <w:trHeight w:val="223"/>
        </w:trPr>
        <w:tc>
          <w:tcPr>
            <w:tcW w:w="1140" w:type="dxa"/>
            <w:vAlign w:val="bottom"/>
          </w:tcPr>
          <w:p>
            <w:pPr>
              <w:spacing w:after="0"/>
              <w:rPr>
                <w:sz w:val="19"/>
                <w:szCs w:val="19"/>
                <w:color w:val="auto"/>
              </w:rPr>
            </w:pPr>
          </w:p>
        </w:tc>
        <w:tc>
          <w:tcPr>
            <w:tcW w:w="5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January 1, 2020</w:t>
            </w:r>
          </w:p>
        </w:tc>
        <w:tc>
          <w:tcPr>
            <w:tcW w:w="7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68,650</w:t>
            </w: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11.29</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114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Granted</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1140" w:type="dxa"/>
            <w:vAlign w:val="bottom"/>
          </w:tcPr>
          <w:p>
            <w:pPr>
              <w:spacing w:after="0"/>
              <w:rPr>
                <w:sz w:val="19"/>
                <w:szCs w:val="19"/>
                <w:color w:val="auto"/>
              </w:rPr>
            </w:pPr>
          </w:p>
        </w:tc>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7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8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(10,000)</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6.05</w:t>
            </w:r>
          </w:p>
        </w:tc>
        <w:tc>
          <w:tcPr>
            <w:tcW w:w="100" w:type="dxa"/>
            <w:vAlign w:val="bottom"/>
            <w:shd w:val="clear" w:color="auto" w:fill="CFF0FC"/>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Forfeited</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gridSpan w:val="3"/>
          </w:tcPr>
          <w:p>
            <w:pPr>
              <w:jc w:val="right"/>
              <w:ind w:right="80"/>
              <w:spacing w:after="0"/>
              <w:rPr>
                <w:sz w:val="20"/>
                <w:szCs w:val="20"/>
                <w:color w:val="auto"/>
              </w:rPr>
            </w:pPr>
            <w:r>
              <w:rPr>
                <w:rFonts w:ascii="Arial" w:cs="Arial" w:eastAsia="Arial" w:hAnsi="Arial"/>
                <w:sz w:val="18"/>
                <w:szCs w:val="18"/>
                <w:color w:val="auto"/>
              </w:rPr>
              <w:t>(10,000)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6.05</w:t>
            </w:r>
          </w:p>
        </w:tc>
        <w:tc>
          <w:tcPr>
            <w:tcW w:w="100" w:type="dxa"/>
            <w:vAlign w:val="bottom"/>
          </w:tcPr>
          <w:p>
            <w:pPr>
              <w:spacing w:after="0"/>
              <w:rPr>
                <w:sz w:val="19"/>
                <w:szCs w:val="19"/>
                <w:color w:val="auto"/>
              </w:rPr>
            </w:pPr>
          </w:p>
        </w:tc>
      </w:tr>
      <w:tr>
        <w:trPr>
          <w:trHeight w:val="223"/>
        </w:trPr>
        <w:tc>
          <w:tcPr>
            <w:tcW w:w="1140" w:type="dxa"/>
            <w:vAlign w:val="bottom"/>
          </w:tcPr>
          <w:p>
            <w:pPr>
              <w:spacing w:after="0"/>
              <w:rPr>
                <w:sz w:val="19"/>
                <w:szCs w:val="19"/>
                <w:color w:val="auto"/>
              </w:rPr>
            </w:pPr>
          </w:p>
        </w:tc>
        <w:tc>
          <w:tcPr>
            <w:tcW w:w="54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June 30, 2020</w:t>
            </w:r>
          </w:p>
        </w:tc>
        <w:tc>
          <w:tcPr>
            <w:tcW w:w="7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48,650</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13.45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114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RSUs awarded to employees generally vest one-fourth per year over four years from the anniversary of the date of grant, provided the employee remains continuously employed with the Company. Shares of the Company’s stock are delivered to the employee upon vesting, subject to payment of applicable withholding taxes. The fair value of RSUs is equal to the closing price of the Company’s common stock on the date of grant. Total unrecognized compensation costs related to non-vested RSUs at June 30, 2020 was approximately $0.3 million and is expected to be recognized within future operating results over a period of 0.5 years. The total fair value of shares vested during the six months ended June 30, 2020 and 2019 was approximately $61 thousand and zero, respectively. The following table presents stock-based compensation expense included in the Company’s consolidated statements of operations:</w:t>
      </w:r>
    </w:p>
    <w:p>
      <w:pPr>
        <w:spacing w:after="0" w:line="267"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00" w:type="dxa"/>
            <w:vAlign w:val="bottom"/>
            <w:gridSpan w:val="4"/>
          </w:tcPr>
          <w:p>
            <w:pPr>
              <w:jc w:val="right"/>
              <w:ind w:right="115"/>
              <w:spacing w:after="0"/>
              <w:rPr>
                <w:sz w:val="20"/>
                <w:szCs w:val="20"/>
                <w:color w:val="auto"/>
              </w:rPr>
            </w:pPr>
            <w:r>
              <w:rPr>
                <w:rFonts w:ascii="Arial" w:cs="Arial" w:eastAsia="Arial" w:hAnsi="Arial"/>
                <w:sz w:val="14"/>
                <w:szCs w:val="14"/>
                <w:b w:val="1"/>
                <w:bCs w:val="1"/>
                <w:color w:val="auto"/>
                <w:w w:val="94"/>
              </w:rPr>
              <w:t>Three Months Ended June 30,</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5"/>
          </w:tcPr>
          <w:p>
            <w:pPr>
              <w:ind w:left="40"/>
              <w:spacing w:after="0"/>
              <w:rPr>
                <w:sz w:val="20"/>
                <w:szCs w:val="20"/>
                <w:color w:val="auto"/>
              </w:rPr>
            </w:pPr>
            <w:r>
              <w:rPr>
                <w:rFonts w:ascii="Arial" w:cs="Arial" w:eastAsia="Arial" w:hAnsi="Arial"/>
                <w:sz w:val="14"/>
                <w:szCs w:val="14"/>
                <w:b w:val="1"/>
                <w:bCs w:val="1"/>
                <w:color w:val="auto"/>
              </w:rPr>
              <w:t>Six Months Ended June 30,</w:t>
            </w:r>
          </w:p>
        </w:tc>
      </w:tr>
      <w:tr>
        <w:trPr>
          <w:trHeight w:val="155"/>
        </w:trPr>
        <w:tc>
          <w:tcPr>
            <w:tcW w:w="452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37"/>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55"/>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57"/>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55"/>
              <w:spacing w:after="0" w:line="155" w:lineRule="exact"/>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FF0FC"/>
            </w:tcBorders>
          </w:tcPr>
          <w:p>
            <w:pPr>
              <w:spacing w:after="0"/>
              <w:rPr>
                <w:sz w:val="13"/>
                <w:szCs w:val="13"/>
                <w:color w:val="auto"/>
              </w:rPr>
            </w:pPr>
          </w:p>
        </w:tc>
      </w:tr>
      <w:tr>
        <w:trPr>
          <w:trHeight w:val="223"/>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694,540</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653,718</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1,376,153</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1,353,981</w:t>
            </w:r>
          </w:p>
        </w:tc>
        <w:tc>
          <w:tcPr>
            <w:tcW w:w="60" w:type="dxa"/>
            <w:vAlign w:val="bottom"/>
            <w:shd w:val="clear" w:color="auto" w:fill="CFF0FC"/>
          </w:tcPr>
          <w:p>
            <w:pPr>
              <w:spacing w:after="0"/>
              <w:rPr>
                <w:sz w:val="19"/>
                <w:szCs w:val="19"/>
                <w:color w:val="auto"/>
              </w:rPr>
            </w:pPr>
          </w:p>
        </w:tc>
      </w:tr>
      <w:tr>
        <w:trPr>
          <w:trHeight w:val="230"/>
        </w:trPr>
        <w:tc>
          <w:tcPr>
            <w:tcW w:w="4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2,790,942</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1,666,674</w:t>
            </w:r>
          </w:p>
        </w:tc>
        <w:tc>
          <w:tcPr>
            <w:tcW w:w="1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4,307,516</w:t>
            </w:r>
          </w:p>
        </w:tc>
        <w:tc>
          <w:tcPr>
            <w:tcW w:w="1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3,428,110</w:t>
            </w:r>
          </w:p>
        </w:tc>
        <w:tc>
          <w:tcPr>
            <w:tcW w:w="60" w:type="dxa"/>
            <w:vAlign w:val="bottom"/>
            <w:tcBorders>
              <w:bottom w:val="single" w:sz="8" w:color="CFF0FC"/>
            </w:tcBorders>
          </w:tcPr>
          <w:p>
            <w:pPr>
              <w:spacing w:after="0"/>
              <w:rPr>
                <w:sz w:val="19"/>
                <w:szCs w:val="19"/>
                <w:color w:val="auto"/>
              </w:rPr>
            </w:pPr>
          </w:p>
        </w:tc>
      </w:tr>
      <w:tr>
        <w:trPr>
          <w:trHeight w:val="223"/>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3,485,482</w:t>
            </w:r>
          </w:p>
        </w:tc>
        <w:tc>
          <w:tcPr>
            <w:tcW w:w="1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2,320,392</w:t>
            </w:r>
          </w:p>
        </w:tc>
        <w:tc>
          <w:tcPr>
            <w:tcW w:w="1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5,683,669</w:t>
            </w:r>
          </w:p>
        </w:tc>
        <w:tc>
          <w:tcPr>
            <w:tcW w:w="1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4,782,091</w:t>
            </w:r>
          </w:p>
        </w:tc>
        <w:tc>
          <w:tcPr>
            <w:tcW w:w="60" w:type="dxa"/>
            <w:vAlign w:val="bottom"/>
            <w:shd w:val="clear" w:color="auto" w:fill="CFF0FC"/>
          </w:tcPr>
          <w:p>
            <w:pPr>
              <w:spacing w:after="0"/>
              <w:rPr>
                <w:sz w:val="19"/>
                <w:szCs w:val="19"/>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COMMITMENTS AND CONTINGENCIES</w:t>
      </w:r>
    </w:p>
    <w:p>
      <w:pPr>
        <w:spacing w:after="0" w:line="229"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From time to time, the Company may be subject to various legal proceedings and claims that arise in the ordinary course of the Company’s business activities. While the outcome of these claims cannot be predicted with certainty, management does not believe that the outcome of any of these other legal matters will have a material adverse effect on the Company’s consolidated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Refer to Note 9 – Leases, for the Company’s current lease commitments.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LEASES</w:t>
      </w:r>
    </w:p>
    <w:p>
      <w:pPr>
        <w:spacing w:after="0" w:line="25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66"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On October 2, 2017, the Company entered into an office sublease agreement (the “Sublease”) with Profitect, Inc. (the “Sublandlord”) to sublease approximately 5,923 rentable square feet of office space located at 1601 Trapelo Road, Waltham, MA 02451 (the “Premises”). The term of the Sublease began on November 1, 2017 and will expire on July 31, 2021 (the “Term”), with a monthly rental rate starting at $14,808 and escalating to a maximum monthly rental rate of $16,288 in the final 12 months of the Term. The Sublandlord provided the Premises to the Company free of charge for the first two months of the Term. The Company will recognize the remaining expense in accordance with ASC 842.</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82" w:right="359" w:bottom="1440" w:gutter="0" w:footer="0" w:header="0"/>
        </w:sectPr>
      </w:pPr>
    </w:p>
    <w:bookmarkStart w:id="17" w:name="page18"/>
    <w:bookmarkEnd w:id="17"/>
    <w:p>
      <w:pPr>
        <w:ind w:right="240"/>
        <w:spacing w:after="0" w:line="286" w:lineRule="auto"/>
        <w:rPr>
          <w:sz w:val="20"/>
          <w:szCs w:val="20"/>
          <w:color w:val="auto"/>
        </w:rPr>
      </w:pPr>
      <w:r>
        <w:rPr>
          <w:rFonts w:ascii="Arial" w:cs="Arial" w:eastAsia="Arial" w:hAnsi="Arial"/>
          <w:sz w:val="17"/>
          <w:szCs w:val="17"/>
          <w:color w:val="auto"/>
        </w:rPr>
        <w:t>Throughout the Term, the Company is responsible for paying certain costs and expenses, in addition to the rent, as specified in the Sublease, including a proportionate share of applicable taxes, operating expenses and utilities. In applying the ASC 842 transition guidance, the Company retained the classification of this Sublease as operating and recorded a lease liability and a right-of-use asset on the ASC 842 effective date.</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contains a summary of the Sublease costs recognized under ASC 842 and other information pertaining to the Company’s operating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Sublease for the six months ended June 30, 2020:</w:t>
      </w:r>
    </w:p>
    <w:p>
      <w:pPr>
        <w:spacing w:after="0" w:line="203"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June 30, 2020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Sublease cost</w:t>
            </w:r>
          </w:p>
        </w:tc>
        <w:tc>
          <w:tcPr>
            <w:tcW w:w="12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60" w:type="dxa"/>
            <w:vAlign w:val="bottom"/>
          </w:tcPr>
          <w:p>
            <w:pPr>
              <w:ind w:left="220"/>
              <w:spacing w:after="0"/>
              <w:rPr>
                <w:sz w:val="20"/>
                <w:szCs w:val="20"/>
                <w:color w:val="auto"/>
              </w:rPr>
            </w:pPr>
            <w:r>
              <w:rPr>
                <w:rFonts w:ascii="Arial" w:cs="Arial" w:eastAsia="Arial" w:hAnsi="Arial"/>
                <w:sz w:val="18"/>
                <w:szCs w:val="18"/>
                <w:color w:val="auto"/>
              </w:rPr>
              <w:t>Operating Sublease cost</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89,635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Sublease cost</w:t>
            </w:r>
          </w:p>
        </w:tc>
        <w:tc>
          <w:tcPr>
            <w:tcW w:w="12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89,635</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50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Other information</w:t>
            </w:r>
          </w:p>
        </w:tc>
        <w:tc>
          <w:tcPr>
            <w:tcW w:w="1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60" w:type="dxa"/>
            <w:vAlign w:val="bottom"/>
          </w:tcPr>
          <w:p>
            <w:pPr>
              <w:ind w:left="220"/>
              <w:spacing w:after="0"/>
              <w:rPr>
                <w:sz w:val="20"/>
                <w:szCs w:val="20"/>
                <w:color w:val="auto"/>
              </w:rPr>
            </w:pPr>
            <w:r>
              <w:rPr>
                <w:rFonts w:ascii="Arial" w:cs="Arial" w:eastAsia="Arial" w:hAnsi="Arial"/>
                <w:sz w:val="18"/>
                <w:szCs w:val="18"/>
                <w:color w:val="auto"/>
              </w:rPr>
              <w:t>Operating cash flows used for operating Sublease</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94,768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Weighted average remaining Sublease term</w:t>
            </w:r>
          </w:p>
        </w:tc>
        <w:tc>
          <w:tcPr>
            <w:tcW w:w="1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ind w:left="640"/>
              <w:spacing w:after="0"/>
              <w:rPr>
                <w:sz w:val="20"/>
                <w:szCs w:val="20"/>
                <w:color w:val="auto"/>
              </w:rPr>
            </w:pPr>
            <w:r>
              <w:rPr>
                <w:rFonts w:ascii="Arial" w:cs="Arial" w:eastAsia="Arial" w:hAnsi="Arial"/>
                <w:sz w:val="18"/>
                <w:szCs w:val="18"/>
                <w:color w:val="auto"/>
                <w:w w:val="97"/>
              </w:rPr>
              <w:t>1.1 years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60" w:type="dxa"/>
            <w:vAlign w:val="bottom"/>
          </w:tcPr>
          <w:p>
            <w:pPr>
              <w:ind w:left="220"/>
              <w:spacing w:after="0"/>
              <w:rPr>
                <w:sz w:val="20"/>
                <w:szCs w:val="20"/>
                <w:color w:val="auto"/>
              </w:rPr>
            </w:pPr>
            <w:r>
              <w:rPr>
                <w:rFonts w:ascii="Arial" w:cs="Arial" w:eastAsia="Arial" w:hAnsi="Arial"/>
                <w:sz w:val="18"/>
                <w:szCs w:val="18"/>
                <w:color w:val="auto"/>
              </w:rPr>
              <w:t>Weighted average discount rate</w:t>
            </w: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Future minimum Sublease payments under the Company’s non-cancelable operating Sublease as of June 30, 2020 and December 31, 2019 are as follows:</w:t>
      </w:r>
    </w:p>
    <w:p>
      <w:pPr>
        <w:spacing w:after="0" w:line="241"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6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Future Operating Sublease Payments</w:t>
            </w:r>
          </w:p>
        </w:tc>
        <w:tc>
          <w:tcPr>
            <w:tcW w:w="100" w:type="dxa"/>
            <w:vAlign w:val="bottom"/>
          </w:tcPr>
          <w:p>
            <w:pPr>
              <w:spacing w:after="0"/>
              <w:rPr>
                <w:sz w:val="14"/>
                <w:szCs w:val="14"/>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71"/>
        </w:trPr>
        <w:tc>
          <w:tcPr>
            <w:tcW w:w="63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June 30, 2020</w:t>
            </w:r>
          </w:p>
        </w:tc>
        <w:tc>
          <w:tcPr>
            <w:tcW w:w="0" w:type="dxa"/>
            <w:vAlign w:val="bottom"/>
          </w:tcPr>
          <w:p>
            <w:pPr>
              <w:spacing w:after="0"/>
              <w:rPr>
                <w:sz w:val="1"/>
                <w:szCs w:val="1"/>
                <w:color w:val="auto"/>
              </w:rPr>
            </w:pPr>
          </w:p>
        </w:tc>
      </w:tr>
      <w:tr>
        <w:trPr>
          <w:trHeight w:val="223"/>
        </w:trPr>
        <w:tc>
          <w:tcPr>
            <w:tcW w:w="6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2020 (excluding the six months ended June 30, 2020)</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97,235</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00" w:type="dxa"/>
            <w:vAlign w:val="bottom"/>
          </w:tcPr>
          <w:p>
            <w:pPr>
              <w:spacing w:after="0"/>
              <w:rPr>
                <w:sz w:val="20"/>
                <w:szCs w:val="20"/>
                <w:color w:val="auto"/>
              </w:rPr>
            </w:pPr>
            <w:r>
              <w:rPr>
                <w:rFonts w:ascii="Arial" w:cs="Arial" w:eastAsia="Arial" w:hAnsi="Arial"/>
                <w:sz w:val="18"/>
                <w:szCs w:val="18"/>
                <w:color w:val="auto"/>
              </w:rPr>
              <w:t>2021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114,018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Thereafter</w:t>
            </w:r>
          </w:p>
        </w:tc>
        <w:tc>
          <w:tcPr>
            <w:tcW w:w="10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360" w:type="dxa"/>
            <w:vAlign w:val="bottom"/>
            <w:gridSpan w:val="2"/>
          </w:tcPr>
          <w:p>
            <w:pPr>
              <w:spacing w:after="0"/>
              <w:rPr>
                <w:sz w:val="20"/>
                <w:szCs w:val="20"/>
                <w:color w:val="auto"/>
              </w:rPr>
            </w:pPr>
            <w:r>
              <w:rPr>
                <w:rFonts w:ascii="Arial" w:cs="Arial" w:eastAsia="Arial" w:hAnsi="Arial"/>
                <w:sz w:val="18"/>
                <w:szCs w:val="18"/>
                <w:color w:val="auto"/>
              </w:rPr>
              <w:t>Total Sublease payments</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211,253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Less: imputed interest</w:t>
            </w:r>
          </w:p>
        </w:tc>
        <w:tc>
          <w:tcPr>
            <w:tcW w:w="10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(10,188)</w:t>
            </w:r>
          </w:p>
        </w:tc>
        <w:tc>
          <w:tcPr>
            <w:tcW w:w="0" w:type="dxa"/>
            <w:vAlign w:val="bottom"/>
          </w:tcPr>
          <w:p>
            <w:pPr>
              <w:spacing w:after="0"/>
              <w:rPr>
                <w:sz w:val="1"/>
                <w:szCs w:val="1"/>
                <w:color w:val="auto"/>
              </w:rPr>
            </w:pPr>
          </w:p>
        </w:tc>
      </w:tr>
      <w:tr>
        <w:trPr>
          <w:trHeight w:val="230"/>
        </w:trPr>
        <w:tc>
          <w:tcPr>
            <w:tcW w:w="6360" w:type="dxa"/>
            <w:vAlign w:val="bottom"/>
            <w:gridSpan w:val="2"/>
          </w:tcPr>
          <w:p>
            <w:pPr>
              <w:spacing w:after="0"/>
              <w:rPr>
                <w:sz w:val="20"/>
                <w:szCs w:val="20"/>
                <w:color w:val="auto"/>
              </w:rPr>
            </w:pPr>
            <w:r>
              <w:rPr>
                <w:rFonts w:ascii="Arial" w:cs="Arial" w:eastAsia="Arial" w:hAnsi="Arial"/>
                <w:sz w:val="18"/>
                <w:szCs w:val="18"/>
                <w:color w:val="auto"/>
              </w:rPr>
              <w:t>Total operating Sublease liabilities at June 30, 2020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201,065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4"/>
        </w:trPr>
        <w:tc>
          <w:tcPr>
            <w:tcW w:w="6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Future Operating Sublease Payments</w:t>
            </w:r>
          </w:p>
        </w:tc>
        <w:tc>
          <w:tcPr>
            <w:tcW w:w="100" w:type="dxa"/>
            <w:vAlign w:val="bottom"/>
          </w:tcPr>
          <w:p>
            <w:pPr>
              <w:spacing w:after="0"/>
              <w:rPr>
                <w:sz w:val="24"/>
                <w:szCs w:val="24"/>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71"/>
        </w:trPr>
        <w:tc>
          <w:tcPr>
            <w:tcW w:w="63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December 31, 2019</w:t>
            </w:r>
          </w:p>
        </w:tc>
        <w:tc>
          <w:tcPr>
            <w:tcW w:w="0" w:type="dxa"/>
            <w:vAlign w:val="bottom"/>
          </w:tcPr>
          <w:p>
            <w:pPr>
              <w:spacing w:after="0"/>
              <w:rPr>
                <w:sz w:val="1"/>
                <w:szCs w:val="1"/>
                <w:color w:val="auto"/>
              </w:rPr>
            </w:pPr>
          </w:p>
        </w:tc>
      </w:tr>
      <w:tr>
        <w:trPr>
          <w:trHeight w:val="223"/>
        </w:trPr>
        <w:tc>
          <w:tcPr>
            <w:tcW w:w="6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2020</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192,004</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2021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114,018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Thereafter</w:t>
            </w:r>
          </w:p>
        </w:tc>
        <w:tc>
          <w:tcPr>
            <w:tcW w:w="10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360" w:type="dxa"/>
            <w:vAlign w:val="bottom"/>
            <w:gridSpan w:val="2"/>
          </w:tcPr>
          <w:p>
            <w:pPr>
              <w:spacing w:after="0"/>
              <w:rPr>
                <w:sz w:val="20"/>
                <w:szCs w:val="20"/>
                <w:color w:val="auto"/>
              </w:rPr>
            </w:pPr>
            <w:r>
              <w:rPr>
                <w:rFonts w:ascii="Arial" w:cs="Arial" w:eastAsia="Arial" w:hAnsi="Arial"/>
                <w:sz w:val="18"/>
                <w:szCs w:val="18"/>
                <w:color w:val="auto"/>
              </w:rPr>
              <w:t>Total Sublease payments</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306,022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Less: imputed interest</w:t>
            </w:r>
          </w:p>
        </w:tc>
        <w:tc>
          <w:tcPr>
            <w:tcW w:w="10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(21,892)</w:t>
            </w:r>
          </w:p>
        </w:tc>
        <w:tc>
          <w:tcPr>
            <w:tcW w:w="0" w:type="dxa"/>
            <w:vAlign w:val="bottom"/>
          </w:tcPr>
          <w:p>
            <w:pPr>
              <w:spacing w:after="0"/>
              <w:rPr>
                <w:sz w:val="1"/>
                <w:szCs w:val="1"/>
                <w:color w:val="auto"/>
              </w:rPr>
            </w:pPr>
          </w:p>
        </w:tc>
      </w:tr>
      <w:tr>
        <w:trPr>
          <w:trHeight w:val="230"/>
        </w:trPr>
        <w:tc>
          <w:tcPr>
            <w:tcW w:w="6360" w:type="dxa"/>
            <w:vAlign w:val="bottom"/>
            <w:gridSpan w:val="2"/>
          </w:tcPr>
          <w:p>
            <w:pPr>
              <w:spacing w:after="0"/>
              <w:rPr>
                <w:sz w:val="20"/>
                <w:szCs w:val="20"/>
                <w:color w:val="auto"/>
              </w:rPr>
            </w:pPr>
            <w:r>
              <w:rPr>
                <w:rFonts w:ascii="Arial" w:cs="Arial" w:eastAsia="Arial" w:hAnsi="Arial"/>
                <w:sz w:val="18"/>
                <w:szCs w:val="18"/>
                <w:color w:val="auto"/>
              </w:rPr>
              <w:t>Total operating Sublease liabilities at December 31, 2019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284,130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RELATED PARTY TRANSACTIONS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January 2016, the Company entered into a services agreement with V-Watch SA (“V-Watch”), for approximately $105 thousand for the use of V-Watch’s SomnoArt device for monitoring sleep in the roluperidone Phase 2b and MIN-117 Phase 2a trials. The Company’s Chief Executive Officer is the chairman of the board of directors of V-Watch. Funds affiliated with Index Ventures, a stockholder of the Company, hold greater than 10% of the outstanding capital stock of V-Watch.</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Also refer to Note 5 – Co-Development and License Agreement for additional related party transactions.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SUBSEQUENT EVENTS</w:t>
      </w:r>
    </w:p>
    <w:p>
      <w:pPr>
        <w:spacing w:after="0" w:line="229"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During the period from July 1, 2020 through July 29, 2020, the Company issued and sold 678,434 shares of the Company's common stock under the Sales Agreement. The shares were sold at an average price of $3.6168 per share for aggregate net proceeds to the Company of approximately $2.4 million, after deducting sales commissions and offering costs payable by the Company.</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82" w:right="37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You should read the following discussion of our financial condition and results of operations in conjunction with our condensed consolidated financial statements and the notes thereto included elsewhere in this Quarterly Report on Form 10-Q and with our annual audited consolidated financial statements included in our Annual Report on Form 10-K for the year ended December 31, 2019 as filed with the Securities and Exchange Commission on March 9, 2020.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are a clinical-stage biopharmaceutical company focused on the development and commercialization of a portfolio of product candidates to treat patients suffering from central nervous system (“CNS”) diseases. Leveraging our scientific insights and clinical experience, we have acquired or in-licensed three proprietary compounds that are currently in development. We believe these compounds have innovative mechanisms of action and therapeutic profiles that potentially address the unmet needs of patients with these diseases.</w:t>
      </w:r>
    </w:p>
    <w:p>
      <w:pPr>
        <w:spacing w:after="0" w:line="187"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Our product portfolio and potential indications include: roluperidone (also known as MIN-101) for the treatment of negative symptoms in patients with schizophrenia, and MIN-301 for the treatment of Parkinson’s disease. We believe our product candidates have significant potential to improve the lives of a large number of affected patients and their families who are currently not well-served by available therapies.</w:t>
      </w:r>
    </w:p>
    <w:p>
      <w:pPr>
        <w:spacing w:after="0" w:line="16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In addition, the Company possesses a potential royalty stream from seltorexant (also known as MIN-202 or JNJ-42847922), a compound that is being developed by Janssen for the treatment of insomnia disorder and MDD.</w:t>
      </w:r>
    </w:p>
    <w:p>
      <w:pPr>
        <w:spacing w:after="0" w:line="17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On June 30, 2020, we exercised our right to opt out of the co-development and license agreement as amended with Janssen Pharmaceutica, N.V, or Janssen, as contemplated by that certain settlement agreement with Janssen dated June 24, 2020, which became effective upon exercise of the opt out. Under the settlement agreement, we resolved certain disputes with Janssen under the co-development and license agreement related to the development of seltorexant (also known as MIN-202 or JNJ-42847922), a drug intended for the treatment of insomnia disorder and adjunctive treatment of MDD. As a result of the exercise of our opt-out right, the co-development and license agreement was deemed to have been terminated effective as of October 2, 2019, and we are eligible to collect a royalty on worldwide sales of seltorexant, if any, in all indications in the mid-single digits, with no financial obligations to Janssen. As a result of the opt-out, during the second quarter of 2020 we recognized approximately $41.2 million in collaborative revenue, which we had previously included on our balance sheet under deferred revenue.</w:t>
      </w:r>
    </w:p>
    <w:p>
      <w:pPr>
        <w:spacing w:after="0" w:line="17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have not received regulatory approvals to commercialize any of our product candidates, and we have not generated any revenue from the sales or license of our product candidates. We have incurred significant operating losses every year since inception. We expect to incur net losses and negative cash flow from operating activities for the foreseeable future in connection with the clinical development and the potential regulatory approval, infrastructure development and commercialization of our product candidates.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Updates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Roluperidone (MIN-101)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3 Clinical Trial</w:t>
      </w:r>
    </w:p>
    <w:p>
      <w:pPr>
        <w:spacing w:after="0" w:line="22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On May 29, 2020, we announced that the Phase 3 trial of roluperidone to treat negative symptoms in schizophrenia did not meet its primary (reduction in PANSS Marder Negative Symptoms Factor Score, or NSFS) and key secondary (improvement in the Personal and Social Performance Scale Total Score, or PSP) endpoints.</w:t>
      </w:r>
    </w:p>
    <w:p>
      <w:pPr>
        <w:spacing w:after="0" w:line="184"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In total, 515 patients were enrolled into the trial, and 513 patients received treatment and were included in the safety and Intent-To-Treat population. The trial was conducted in the United States, Europe and Israel. There were 172 patients who received placebo, 172 patients who received roluperidone 32 mg, and 171 patients who received roluperidone 64 mg. Demographic and baseline disease characteristics were comparable across all treatment arms.</w:t>
      </w:r>
    </w:p>
    <w:p>
      <w:pPr>
        <w:spacing w:after="0" w:line="14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results for both roluperidone doses versus placebo across both the primary and the key secondary endpoints to Week 12 were corrected for multiplicity using the truncated Hochberg procedure.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9" w:name="page20"/>
    <w:bookmarkEnd w:id="19"/>
    <w:p>
      <w:pPr>
        <w:ind w:right="100"/>
        <w:spacing w:after="0" w:line="311" w:lineRule="auto"/>
        <w:rPr>
          <w:sz w:val="20"/>
          <w:szCs w:val="20"/>
          <w:color w:val="auto"/>
        </w:rPr>
      </w:pPr>
      <w:r>
        <w:rPr>
          <w:rFonts w:ascii="Arial" w:cs="Arial" w:eastAsia="Arial" w:hAnsi="Arial"/>
          <w:sz w:val="16"/>
          <w:szCs w:val="16"/>
          <w:color w:val="auto"/>
        </w:rPr>
        <w:t>The primary objective of the trial was to evaluate the change from baseline to Week 12 of NSFS with 32 mg and 64 mg doses of roluperidone compared to placebo in patients diagnosed with schizophrenia presenting with moderate to severe negative symptoms. Neither the 32 mg nor 64 mg dose of roluperidone showed a statistically significant separation from placebo at Week 12 (32 mg: p ≤0.256, effect size [ES]=0.1; 64 mg: p ≤0.064, ES=0.2).</w:t>
      </w:r>
    </w:p>
    <w:p>
      <w:pPr>
        <w:spacing w:after="0" w:line="14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Furthermore, neither dose showed a statistically significant separation from placebo on the key secondary endpoint, the change from baseline at Week 12 in PSP (32 mg: p ≤0.542, ES=0.1; 64 mg: nominal p ≤0.021, ES=0.3).</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Although limited inferences can be drawn from this data, unadjusted statistically significant separations from placebo were observed in NSFS at Week 4 for both doses (32 mg: nominal p ≤0.036, ES=0.2; 64 mg: nominal p ≤0.007, ES=0.3), and at Week 8 for the 64 mg dose (nominal p ≤0.027, ES=0.3), and the 64 mg dose was statistically significantly different from placebo as measured by change in PSP at all other assessment timepoints (Week 4, nominal p ≤0.005, ES=0.3; Week 8: nominal p ≤0.018, ES=0.3).</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Overall, subgroup analyses by region (United States and rest of the world) and by age groups were similar.</w:t>
      </w:r>
    </w:p>
    <w:p>
      <w:pPr>
        <w:spacing w:after="0" w:line="225" w:lineRule="exact"/>
        <w:rPr>
          <w:sz w:val="20"/>
          <w:szCs w:val="20"/>
          <w:color w:val="auto"/>
        </w:rPr>
      </w:pPr>
    </w:p>
    <w:p>
      <w:pPr>
        <w:ind w:right="40"/>
        <w:spacing w:after="0" w:line="220" w:lineRule="exact"/>
        <w:rPr>
          <w:sz w:val="20"/>
          <w:szCs w:val="20"/>
          <w:color w:val="auto"/>
        </w:rPr>
      </w:pPr>
      <w:r>
        <w:rPr>
          <w:rFonts w:ascii="Arial" w:cs="Arial" w:eastAsia="Arial" w:hAnsi="Arial"/>
          <w:sz w:val="18"/>
          <w:szCs w:val="18"/>
          <w:color w:val="auto"/>
        </w:rPr>
        <w:t>Roluperidone was generally well tolerated, and the incidences of patients who reported treatment</w:t>
      </w:r>
      <w:r>
        <w:rPr>
          <w:rFonts w:ascii="MS PGothic" w:cs="MS PGothic" w:eastAsia="MS PGothic" w:hAnsi="MS PGothic"/>
          <w:sz w:val="18"/>
          <w:szCs w:val="18"/>
          <w:color w:val="auto"/>
        </w:rPr>
        <w:t>‑</w:t>
      </w:r>
      <w:r>
        <w:rPr>
          <w:rFonts w:ascii="Arial" w:cs="Arial" w:eastAsia="Arial" w:hAnsi="Arial"/>
          <w:sz w:val="18"/>
          <w:szCs w:val="18"/>
          <w:color w:val="auto"/>
        </w:rPr>
        <w:t>emergent adverse events over the duration of 12 weeks of treatment were 37% for the 64 mg group, 42% for the 32 mg group, and 33% for placebo. Only 42 patients discontinued from the study due to adverse events, 16 (9%) in 64 mg arm, 18 (10%) in 32 mg arm, and 8 (5%) in placebo arm. Two treatment-unrelated deaths were reported in the 32 mg treatment arm.</w:t>
      </w:r>
    </w:p>
    <w:p>
      <w:pPr>
        <w:spacing w:after="0" w:line="204" w:lineRule="exact"/>
        <w:rPr>
          <w:sz w:val="20"/>
          <w:szCs w:val="20"/>
          <w:color w:val="auto"/>
        </w:rPr>
      </w:pPr>
    </w:p>
    <w:p>
      <w:pPr>
        <w:jc w:val="both"/>
        <w:ind w:right="100"/>
        <w:spacing w:after="0" w:line="273" w:lineRule="auto"/>
        <w:rPr>
          <w:sz w:val="20"/>
          <w:szCs w:val="20"/>
          <w:color w:val="auto"/>
        </w:rPr>
      </w:pPr>
      <w:r>
        <w:rPr>
          <w:rFonts w:ascii="Arial" w:cs="Arial" w:eastAsia="Arial" w:hAnsi="Arial"/>
          <w:sz w:val="17"/>
          <w:szCs w:val="17"/>
          <w:color w:val="auto"/>
        </w:rPr>
        <w:t>Patients admitted into the trial had a documented diagnosis of schizophrenia for at least one year and been symptomatically stable for at least six months with moderate to severe negative symptoms (&gt;20 on the PANSS negative symptom subscore) and stable positive symptoms. Patients without moderate to severe symptoms of excitement/hyperactivity, suspiciousness/persecution, hostility, uncooperativeness, or poor impulse control were recruited. We believe these eligibility criteria represent the real-world patient population who may benefit when the drug is used in clinical practice. In addition, patients treated with psychotropic agents needed to undergo a wash-out period of a few days before receiving study drug. These parameters were applied in screening the population enrolled in the Phase 2b trial.</w:t>
      </w:r>
    </w:p>
    <w:p>
      <w:pPr>
        <w:spacing w:after="0" w:line="178"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We believe the results obtained in the Phase 3 study expand upon the outcome of the Phase 2b study that showed improvements in the primary endpoint and in multiple secondary endpoints. We believe the Phase 3 study’s inability to achieve statistically significant (adjusted for multiplicity) improvement at Week 12 on its primary and secondary endpoints may be primarily due to a larger than expected placebo effect. Results obtained with the 64 mg dose included an early onset of effect and functional improvement as measured by PSP and suggest that roluperidone merits continued investigation for the treatment of negative symptoms in patients with schizophrenia. We are completing additional detailed analyses of data from this trial, following which we plan to request a meeting with the U.S. FDA to consult about the potential next steps in the development of roluperidone.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Seltorexant (MIN-202)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Opt-out of Phase 3 development</w:t>
      </w:r>
    </w:p>
    <w:p>
      <w:pPr>
        <w:spacing w:after="0" w:line="22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On June 30, 2020, we exercised our right to opt out of our agreement with Janssen for the future Phase 3 development and commercialization of seltorexant (MIN-202). As a result, we are now eligible to collect a royalty on worldwide sales of seltorexant in all indications in the mid-single digits, with no financial obligations to Janssen.</w:t>
      </w:r>
    </w:p>
    <w:p>
      <w:pPr>
        <w:spacing w:after="0" w:line="184" w:lineRule="exact"/>
        <w:rPr>
          <w:sz w:val="20"/>
          <w:szCs w:val="20"/>
          <w:color w:val="auto"/>
        </w:rPr>
      </w:pPr>
    </w:p>
    <w:p>
      <w:pPr>
        <w:ind w:right="440"/>
        <w:spacing w:after="0" w:line="301" w:lineRule="auto"/>
        <w:rPr>
          <w:sz w:val="20"/>
          <w:szCs w:val="20"/>
          <w:color w:val="auto"/>
        </w:rPr>
      </w:pPr>
      <w:r>
        <w:rPr>
          <w:rFonts w:ascii="Arial" w:cs="Arial" w:eastAsia="Arial" w:hAnsi="Arial"/>
          <w:sz w:val="16"/>
          <w:szCs w:val="16"/>
          <w:color w:val="auto"/>
        </w:rPr>
        <w:t>We believe that this will enable us to retain a meaningful financial interest in the future revenue stream of a compound that may have significant commercial potential, while eliminating the financial obligations related to a substantial Phase 3 clinical program encompassing MDD and insomnia. Furthermore, this decision, coupled with a reduction in headcount supporting commercialization preparations, will help align our financial and human resources with our focus on establishing a path to approval for our lead compound, roluperidone, which is in Phase 3 development.</w:t>
      </w:r>
    </w:p>
    <w:p>
      <w:pPr>
        <w:spacing w:after="0" w:line="157"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Our opt-out also eliminates our obligation to pay previous invoices from Janssen relating to our 40% share of Phase 3 development costs in all indications. Upon opt-out, we recognized in full approximately $41.2 million of deferred revenue as collaborative revenue as we do not have any future performance obligations under the agreement.</w:t>
      </w:r>
    </w:p>
    <w:p>
      <w:pPr>
        <w:spacing w:after="0" w:line="184"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Janssen has proposed a Phase 3 development program for seltorexant with a target indication of “adjunctive treatment of MDD (aMDD) in patients with insomnia symptoms” and clinical trials to support that target indication. Because the Phase 3 development program for seltorexant is in its preliminary stage, the potential effect of the COVID-19 pandemic on this program is uncertain and difficult to predict.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Financial Overview</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None of our product candidates have been approved for commercialization and we have not recognized any revenue in connection with the sale or</w:t>
      </w:r>
      <w:r>
        <w:rPr>
          <w:rFonts w:ascii="Arial" w:cs="Arial" w:eastAsia="Arial" w:hAnsi="Arial"/>
          <w:sz w:val="18"/>
          <w:szCs w:val="18"/>
          <w:i w:val="1"/>
          <w:iCs w:val="1"/>
          <w:color w:val="auto"/>
        </w:rPr>
        <w:t xml:space="preserve"> </w:t>
      </w:r>
      <w:r>
        <w:rPr>
          <w:rFonts w:ascii="Arial" w:cs="Arial" w:eastAsia="Arial" w:hAnsi="Arial"/>
          <w:sz w:val="18"/>
          <w:szCs w:val="18"/>
          <w:color w:val="auto"/>
        </w:rPr>
        <w:t>license of our product candidates.</w:t>
      </w:r>
    </w:p>
    <w:p>
      <w:pPr>
        <w:spacing w:after="0" w:line="17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i w:val="1"/>
          <w:iCs w:val="1"/>
          <w:color w:val="auto"/>
        </w:rPr>
        <w:t xml:space="preserve">Collaborative Revenue. </w:t>
      </w:r>
      <w:r>
        <w:rPr>
          <w:rFonts w:ascii="Arial" w:cs="Arial" w:eastAsia="Arial" w:hAnsi="Arial"/>
          <w:sz w:val="18"/>
          <w:szCs w:val="18"/>
          <w:color w:val="auto"/>
        </w:rPr>
        <w:t>As a result of opting out of our co-development and license agreement with Janssen, we recognized the deferred revenue on our</w:t>
      </w:r>
      <w:r>
        <w:rPr>
          <w:rFonts w:ascii="Arial" w:cs="Arial" w:eastAsia="Arial" w:hAnsi="Arial"/>
          <w:sz w:val="18"/>
          <w:szCs w:val="18"/>
          <w:i w:val="1"/>
          <w:iCs w:val="1"/>
          <w:color w:val="auto"/>
        </w:rPr>
        <w:t xml:space="preserve"> </w:t>
      </w:r>
      <w:r>
        <w:rPr>
          <w:rFonts w:ascii="Arial" w:cs="Arial" w:eastAsia="Arial" w:hAnsi="Arial"/>
          <w:sz w:val="18"/>
          <w:szCs w:val="18"/>
          <w:color w:val="auto"/>
        </w:rPr>
        <w:t>balance sheet as we do not have any future performance obligations under the agreement.</w:t>
      </w:r>
    </w:p>
    <w:p>
      <w:pPr>
        <w:spacing w:after="0" w:line="170"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i w:val="1"/>
          <w:iCs w:val="1"/>
          <w:color w:val="auto"/>
        </w:rPr>
        <w:t xml:space="preserve">Research and Development Expenses. </w:t>
      </w:r>
      <w:r>
        <w:rPr>
          <w:rFonts w:ascii="Arial" w:cs="Arial" w:eastAsia="Arial" w:hAnsi="Arial"/>
          <w:sz w:val="17"/>
          <w:szCs w:val="17"/>
          <w:color w:val="auto"/>
        </w:rPr>
        <w:t>Research and development expenses consists of costs incurred in connection with the development of our product</w:t>
      </w:r>
      <w:r>
        <w:rPr>
          <w:rFonts w:ascii="Arial" w:cs="Arial" w:eastAsia="Arial" w:hAnsi="Arial"/>
          <w:sz w:val="17"/>
          <w:szCs w:val="17"/>
          <w:i w:val="1"/>
          <w:iCs w:val="1"/>
          <w:color w:val="auto"/>
        </w:rPr>
        <w:t xml:space="preserve"> </w:t>
      </w:r>
      <w:r>
        <w:rPr>
          <w:rFonts w:ascii="Arial" w:cs="Arial" w:eastAsia="Arial" w:hAnsi="Arial"/>
          <w:sz w:val="17"/>
          <w:szCs w:val="17"/>
          <w:color w:val="auto"/>
        </w:rPr>
        <w:t>candidates, including: fees paid to consultants and CROs including in connection with our non-clinical and clinical trials, and other related clinical trial fees, such as for investigator grants, patient screening, laboratory work, clinical trial database management, clinical trial material management and statistical compilation and analysis; licensing fees; costs related to acquiring clinical trial materials; costs related to compliance with regulatory requirements; and costs related to salaries, benefits, bonuses and stock-based compensation granted to employees in research and development functions. We expense research and development costs as they are incurred.</w:t>
      </w:r>
    </w:p>
    <w:p>
      <w:pPr>
        <w:spacing w:after="0" w:line="178"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Completion dates and completion costs can vary significantly for each product candidate and are difficult to predict. We anticipate we will make determinations as to which programs to pursue and how much funding to direct to each program on an ongoing basis in response to the scientific and clinical success or failure of each product candidate, the estimated costs to continue the development program relative to our available resources, as well as an ongoing assessment as to each product candidate’s commercial potential. We will need to raise additional capital or may seek additional product collaborations in the future in order to complete the development and commercialization of our product candidates.</w:t>
      </w:r>
    </w:p>
    <w:p>
      <w:pPr>
        <w:spacing w:after="0" w:line="17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General and administrative expenses consist principally of costs for functions in executive, finance, legal, auditing</w:t>
      </w:r>
      <w:r>
        <w:rPr>
          <w:rFonts w:ascii="Arial" w:cs="Arial" w:eastAsia="Arial" w:hAnsi="Arial"/>
          <w:sz w:val="18"/>
          <w:szCs w:val="18"/>
          <w:i w:val="1"/>
          <w:iCs w:val="1"/>
          <w:color w:val="auto"/>
        </w:rPr>
        <w:t xml:space="preserve"> </w:t>
      </w:r>
      <w:r>
        <w:rPr>
          <w:rFonts w:ascii="Arial" w:cs="Arial" w:eastAsia="Arial" w:hAnsi="Arial"/>
          <w:sz w:val="18"/>
          <w:szCs w:val="18"/>
          <w:color w:val="auto"/>
        </w:rPr>
        <w:t>and taxes. Our general and administrative expenses include salaries, bonuses, facility and information system costs and professional fees for auditing, accounting, consulting and legal services. General and administrative costs also include non-cash stock-based compensation expense as part of our compensation strategy to attract and retain qualified staff.</w:t>
      </w:r>
    </w:p>
    <w:p>
      <w:pPr>
        <w:spacing w:after="0" w:line="18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We expect to continue to incur general and administrative expenses, including increased audit and legal fees, costs of compliance with securities, corporate governance and other regulations, investor relations expenses and higher insurance premiums. In addition, we expect to incur additional costs as we hire personnel and enhance our infrastructure to support the anticipated growth of our business.</w:t>
      </w:r>
    </w:p>
    <w:p>
      <w:pPr>
        <w:spacing w:after="0" w:line="184"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i w:val="1"/>
          <w:iCs w:val="1"/>
          <w:color w:val="auto"/>
        </w:rPr>
        <w:t xml:space="preserve">Foreign Exchange (Losses) Gains. </w:t>
      </w:r>
      <w:r>
        <w:rPr>
          <w:rFonts w:ascii="Arial" w:cs="Arial" w:eastAsia="Arial" w:hAnsi="Arial"/>
          <w:sz w:val="18"/>
          <w:szCs w:val="18"/>
          <w:color w:val="auto"/>
        </w:rPr>
        <w:t>Foreign exchange (losses) gains are comprised primarily of losses and gains of foreign currency transactions related to</w:t>
      </w:r>
      <w:r>
        <w:rPr>
          <w:rFonts w:ascii="Arial" w:cs="Arial" w:eastAsia="Arial" w:hAnsi="Arial"/>
          <w:sz w:val="18"/>
          <w:szCs w:val="18"/>
          <w:i w:val="1"/>
          <w:iCs w:val="1"/>
          <w:color w:val="auto"/>
        </w:rPr>
        <w:t xml:space="preserve"> </w:t>
      </w:r>
      <w:r>
        <w:rPr>
          <w:rFonts w:ascii="Arial" w:cs="Arial" w:eastAsia="Arial" w:hAnsi="Arial"/>
          <w:sz w:val="18"/>
          <w:szCs w:val="18"/>
          <w:color w:val="auto"/>
        </w:rPr>
        <w:t>clinical trial expenses denominated in Euros. Because our current clinical trials are conducted in Europe, we incur certain expenses in Euros and record these expenses in U.S. Dollars at the time the liability is incurred. Changes in the applicable foreign currency rate between the date an expense is recorded and the payment date is recorded as a foreign currency loss or gain. We expect to continue to incur future expenses denominated in Euros as certain of our planned clinical trials are expected to be conducted in Europe.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Investment Income. </w:t>
      </w:r>
      <w:r>
        <w:rPr>
          <w:rFonts w:ascii="Arial" w:cs="Arial" w:eastAsia="Arial" w:hAnsi="Arial"/>
          <w:sz w:val="18"/>
          <w:szCs w:val="18"/>
          <w:color w:val="auto"/>
        </w:rPr>
        <w:t>Investment income consists of income earned on our cash equivalents and marketable securities.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Three Months Ended June 30, 2020 versus June 30,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Collaborative Revenue</w:t>
      </w:r>
    </w:p>
    <w:p>
      <w:pPr>
        <w:spacing w:after="0" w:line="225"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Collaborative Revenue was $41.2 million for the three months ended June 30, 2020 compared to zero for the same period in 2019, an increase of $41.2 million. The increase in collaborative revenue was the result of opting out of our co-development and license agreement with Janssen and we recognized the revenue as we do not have any future performance obligations under the agreement.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Total research and development expenses were $5.8 million for the three months ended June 30, 2020 compared to $8.3 million for the same period in 2019, a decrease of approximately $2.5 million. The decrease in research and development expenses primarily reflects lower development expenses for the Phase 3 clinical trial of roluperidone and the completion of the Phase 2b clinical trial of MIN-117 in December 2019. We expect research and development expenses to decrease during 2020 as compared to 2019 since we completed the MIN-117 clinical trial as well as the 12-week, double-blind portion of the Phase 3 clinical trial of roluperidone.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Total general and administrative expenses were $5.9 million for the three months ended June 30, 2020 compared to $4.6 million for the same period in 2019, an increase of approximately $1.3 million. The increase in general and administrative expenses was primarily due to an increase in non-cash stock-based compensation expenses and severance benefits.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Losses</w:t>
      </w:r>
    </w:p>
    <w:p>
      <w:pPr>
        <w:spacing w:after="0" w:line="22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Foreign exchange losses were $4 thousand for the three months ended June 30, 2020 compared to a loss of $7 thousand for the same period in 2019, a decreased loss of $3 thousand. The loss was primarily due to clinical activities denominated in Euros.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Income</w:t>
      </w:r>
    </w:p>
    <w:p>
      <w:pPr>
        <w:spacing w:after="0" w:line="225"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Investment income was $25 thousand for the three months ended June 30, 2020 compared to $434 thousand for the same period in 2019, a decrease of $409 thousand. The decrease was due to investment income on lower balances of cash equivalents and marketable securities.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Six Months Ended June 30, 2020 versus June 30,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Collaborative Revenue</w:t>
      </w:r>
    </w:p>
    <w:p>
      <w:pPr>
        <w:spacing w:after="0" w:line="225"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Collaborative Revenue was $41.2 million for the six months ended June 30, 2020 compared to zero for the same period in 2019, an increase of $41.2 million. The increase in collaborative revenue was the result of opting out of our co-development and license agreement with Janssen and we recognized the revenue as we do not have any future performance obligations under the agreement.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Total research and development expenses were $13.8 million for the six months ended June 30, 2020 compared to $19.9 million for the same period in 2019, a decrease of approximately $6.1 million. The decrease in research and development expenses primarily reflects lower development expenses for the Phase 3 clinical trial of roluperidone and the completion of the Phase 2b clinical trial of MIN-117 in December 2019. We expect research and development expenses to decrease during 2020 as compared to 2019 since we completed the MIN-117 clinical trial as well as the 12-week, double-blind portion of the Phase 3 clinical trial of roluperidone.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Total general and administrative expenses were $10.1 million for the six months ended June 30, 2020 compared to $9.3 million for the same period in 2019, an increase of approximately $0.8 million. The increase in general and administrative expenses was primarily due to an increase in non-cash stock-based compensation expenses and severance benefits.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Losses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Foreign exchange losses were $13 thousand for the six months ended June 30, 2020 and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Income</w:t>
      </w:r>
    </w:p>
    <w:p>
      <w:pPr>
        <w:spacing w:after="0" w:line="225"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Investment income was $0.2 million for the six months ended June 30, 2020 compared to $0.9 million for the same period in 2019, a decrease of $0.7 million. The decrease was due to investment income on lower balances of cash equivalents and marketable securities.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25"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As of June 30, 2020, we had an accumulated deficit of approximately $269.4 million. We anticipate that we will continue to incur net losses for the foreseeable future as we continue the development and potential commercialization of our product candidates and to support our operations as a public company. At June 30, 2020, we had approximately $35.3 million in cash, cash equivalents, restricted cash, and marketable securities. We believe that our existing cash, cash equivalents, restricted cash and marketable securities will be sufficient to meet our cash commitments for at least the next 12 months after the date that the interim condensed financial statements are issued. As a result of the roluperidone Phase 3 study not achieving a statistically significant improvement on its primary and secondary endpoints, we have significantly decreased our operating plan spending levels. We plan to maintain the lower level of spending while we are completing additional detailed analyses of data from this trial, following which we plan to request a meeting with the U.S. FDA to consult about the potential next steps in the development of roluperidone. Therefore, the year-to-date cash used</w:t>
      </w:r>
    </w:p>
    <w:p>
      <w:pPr>
        <w:spacing w:after="0" w:line="16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57" w:right="399" w:bottom="1440" w:gutter="0" w:footer="0" w:header="0"/>
        </w:sectPr>
      </w:pPr>
    </w:p>
    <w:bookmarkStart w:id="22" w:name="page23"/>
    <w:bookmarkEnd w:id="22"/>
    <w:p>
      <w:pPr>
        <w:spacing w:after="0" w:line="254" w:lineRule="auto"/>
        <w:rPr>
          <w:sz w:val="20"/>
          <w:szCs w:val="20"/>
          <w:color w:val="auto"/>
        </w:rPr>
      </w:pPr>
      <w:r>
        <w:rPr>
          <w:rFonts w:ascii="Arial" w:cs="Arial" w:eastAsia="Arial" w:hAnsi="Arial"/>
          <w:sz w:val="18"/>
          <w:szCs w:val="18"/>
          <w:color w:val="auto"/>
        </w:rPr>
        <w:t>is not representative of the future cash commitments and spending for the next 12 months after the date that the interim condensed financial statements are issued. The process of drug development can be costly and the timing and outcomes of clinical trials is uncertain. The assumptions upon which we have based our estimates are routinely evaluated and may be subject to change. The actual amount of our expenditures will vary depending upon a number of factors including but not limited to the design, timing and duration of future clinical trials, the progress of our research and development programs, the infrastructure to support a commercial enterprise, the cost of a commercial product launch and the level of financial resources available. We have the ability to adjust our operating plan spending levels based on the timing of future clinical trials which will be predicated upon adequate funding to complete the trials.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Funds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At-the-Market Equity Offering Program</w:t>
      </w:r>
    </w:p>
    <w:p>
      <w:pPr>
        <w:spacing w:after="0" w:line="225"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On August 10, 2018, we entered into an Open Market Sale Agreement (the “Sales Agreement”) with Jefferies, LLC, (“Jefferies”), pursuant to which we may offer and sell, from time to time, through Jefferies, up to $50.0 million in shares of our common stock, by any method permitted by law deemed to be an “at-the-market” offering as defined in Rule 415 promulgated under the Securities Act of 1933, as amended. During June 2020, we issued and sold 1,361,956 shares of our common stock under the Sales Agreement. The shares were sold at an average price of $3.802 per share for aggregate net proceeds to us of approximately $5.0 million, after deducting sales commissions and offering costs payable by us.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to Co-Development and License Agreement with Janssen</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On August 29, 2017, the European Commission approved the Amendment to our Co-Development and License Agreement with Janssen under which Janssen made an upfront payment to us of $30 million in August 2017 and agreed to make a $20 million payment at the start of a Phase 3 insomnia trial for seltorexant and a $20 million payment when 50% of the patients are enrolled in this trial. Janssen further agreed to waive the remaining payments due from us until the completion of certain Phase 2b trials, including $11.2 million in previously accrued collaborative expenses. In connection with the Amendment, we also repurchased all of the approximately 3.9 million shares of our stock previously owned by Johnson &amp; Johnson Innovation-JJDC Inc. at a per share price of $0.0001, for an aggregate purchase price of approximately $389.</w:t>
      </w:r>
    </w:p>
    <w:p>
      <w:pPr>
        <w:spacing w:after="0" w:line="178"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On June 30, 2020, the Company exercised its right to opt out of the Agreement with Janssen pursuant to a Settlement Agreement with Janssen dated June 24, 2020 (the “Settlement Agreement”), which became effective upon exercise of the opt out, pursuant to which the Company and Janssen resolved certain disputes under Agreement. Under the Settlement Agreement, the Company agreed not to assert that Decision Point 4 has not been reached, Janssen waived the requirement that opt-out occur after Decision Point 4 in order for the Company to receive a royalty on sales of seltorexant after opt-out, and the Company and Janssen agreed to waive any payments to the other with respect to development costs for seltorexant. As a result of the exercise of its right to opt out of the Agreement with Janssen, the Agreement is deemed to have been terminated effective as of October 2, 2019. The Company will now collect a royalty on worldwide sales of seltorexant in all indications in the mid-single digits, with no financial obligations to Janssen.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Uses of Funds</w:t>
      </w:r>
    </w:p>
    <w:p>
      <w:pPr>
        <w:spacing w:after="0" w:line="22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To date, we have not generated any revenue from sales of products and have only generated collaborative revenue due to opting out of our license and co-development agreement with Janssen. We do not know when, or if, we will generate any revenue from sales of our products or when, or if, we will receive any royalty payments from Janssen on future sales of seltorexant. We do not expect to generate significant revenue from product sales unless and until we obtain regulatory approval of and commercialize any of our product candidates. At the same time, we expect our expenses to increase in connection with our ongoing development activities, particularly as we continue the research, development and clinical trials of, and seek regulatory approval for, our product candidates. We also expect to continue to incur costs associated with operating as a public company. In addition, subject to obtaining regulatory approval of any of our product candidates, we expect to incur significant commercialization expenses for product sales, marketing, manufacturing and distribution.</w:t>
      </w:r>
    </w:p>
    <w:p>
      <w:pPr>
        <w:spacing w:after="0" w:line="192" w:lineRule="exact"/>
        <w:rPr>
          <w:sz w:val="20"/>
          <w:szCs w:val="20"/>
          <w:color w:val="auto"/>
        </w:rPr>
      </w:pPr>
    </w:p>
    <w:p>
      <w:pPr>
        <w:ind w:right="100"/>
        <w:spacing w:after="0" w:line="218" w:lineRule="exact"/>
        <w:rPr>
          <w:sz w:val="20"/>
          <w:szCs w:val="20"/>
          <w:color w:val="auto"/>
        </w:rPr>
      </w:pPr>
      <w:r>
        <w:rPr>
          <w:rFonts w:ascii="Arial" w:cs="Arial" w:eastAsia="Arial" w:hAnsi="Arial"/>
          <w:sz w:val="16"/>
          <w:szCs w:val="16"/>
          <w:color w:val="auto"/>
        </w:rPr>
        <w:t>Until such time, if ever, as we can generate substantial revenue from product sales, we expect to finance our cash needs through a combination of equity offerings, debt financings, government or other third</w:t>
      </w:r>
      <w:r>
        <w:rPr>
          <w:rFonts w:ascii="MS PGothic" w:cs="MS PGothic" w:eastAsia="MS PGothic" w:hAnsi="MS PGothic"/>
          <w:sz w:val="16"/>
          <w:szCs w:val="16"/>
          <w:color w:val="auto"/>
        </w:rPr>
        <w:t>‑</w:t>
      </w:r>
      <w:r>
        <w:rPr>
          <w:rFonts w:ascii="Arial" w:cs="Arial" w:eastAsia="Arial" w:hAnsi="Arial"/>
          <w:sz w:val="16"/>
          <w:szCs w:val="16"/>
          <w:color w:val="auto"/>
        </w:rPr>
        <w:t>party funding, commercialization, marketing and distribution arrangements and other collaborations, strategic alliances and licensing arrangements. To the extent that we raise additional capital through the sale of equity or convertible debt securities, the ownership interests of our common stockholders will be diluted, and the terms of these securities may include liquidation or other preferences that adversely affect the rights of our common stockholders. Additional debt financing, if available, may involve agreements that include covenants limiting or restricting our ability to take specific actions, such as incurring additional debt, making capital expenditures or declaring dividends. If we raise additional funds through government or other third</w:t>
      </w:r>
      <w:r>
        <w:rPr>
          <w:rFonts w:ascii="MS PGothic" w:cs="MS PGothic" w:eastAsia="MS PGothic" w:hAnsi="MS PGothic"/>
          <w:sz w:val="16"/>
          <w:szCs w:val="16"/>
          <w:color w:val="auto"/>
        </w:rPr>
        <w:t>‑</w:t>
      </w:r>
      <w:r>
        <w:rPr>
          <w:rFonts w:ascii="Arial" w:cs="Arial" w:eastAsia="Arial" w:hAnsi="Arial"/>
          <w:sz w:val="16"/>
          <w:szCs w:val="16"/>
          <w:color w:val="auto"/>
        </w:rPr>
        <w:t>party funding, commercialization, marketing and distribution arrangements or other collaborations, strategic alliances or licensing arrangements with third parties, we may have to relinquish valuable rights to our</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23" w:name="page24"/>
    <w:bookmarkEnd w:id="23"/>
    <w:p>
      <w:pPr>
        <w:spacing w:after="0" w:line="272" w:lineRule="auto"/>
        <w:rPr>
          <w:sz w:val="20"/>
          <w:szCs w:val="20"/>
          <w:color w:val="auto"/>
        </w:rPr>
      </w:pPr>
      <w:r>
        <w:rPr>
          <w:rFonts w:ascii="Arial" w:cs="Arial" w:eastAsia="Arial" w:hAnsi="Arial"/>
          <w:sz w:val="17"/>
          <w:szCs w:val="17"/>
          <w:color w:val="auto"/>
        </w:rPr>
        <w:t>technologies, future revenue streams, research programs or product candidates or to grant licenses on terms that may not be favorable to us. There can be no assurance that such additional funding, if available, can be obtained on terms acceptable to us, and the uncertainty and volatility in the capital markets caused by the COVID-19 pandemic may negatively impact the availability and cost of capital. If we are unable to obtain additional financing, future operations would need to be scaled back or discontinued. We believe that our existing cash, cash equivalents, restricted cash, and marketable securities will be sufficient to meet our cash commitments for at least the next 12 months after the date that the interim condensed financial statements are issued. The timing of future capital requirements depends upon many factors including the size and timing of future clinical trials, the timing and scope of any strategic partnering activity and the progress of other research and development activities.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tables below set forth our significant sources and uses of cash for the periods.</w:t>
      </w:r>
    </w:p>
    <w:p>
      <w:pPr>
        <w:spacing w:after="0" w:line="230"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5360" w:type="dxa"/>
            <w:vAlign w:val="bottom"/>
          </w:tcPr>
          <w:p>
            <w:pPr>
              <w:spacing w:after="0"/>
              <w:rPr>
                <w:sz w:val="14"/>
                <w:szCs w:val="14"/>
                <w:color w:val="auto"/>
              </w:rPr>
            </w:pPr>
          </w:p>
        </w:tc>
        <w:tc>
          <w:tcPr>
            <w:tcW w:w="2500" w:type="dxa"/>
            <w:vAlign w:val="bottom"/>
            <w:gridSpan w:val="7"/>
          </w:tcPr>
          <w:p>
            <w:pPr>
              <w:jc w:val="right"/>
              <w:ind w:right="460"/>
              <w:spacing w:after="0"/>
              <w:rPr>
                <w:sz w:val="20"/>
                <w:szCs w:val="20"/>
                <w:color w:val="auto"/>
              </w:rPr>
            </w:pPr>
            <w:r>
              <w:rPr>
                <w:rFonts w:ascii="Arial" w:cs="Arial" w:eastAsia="Arial" w:hAnsi="Arial"/>
                <w:sz w:val="14"/>
                <w:szCs w:val="14"/>
                <w:b w:val="1"/>
                <w:bCs w:val="1"/>
                <w:color w:val="auto"/>
              </w:rPr>
              <w:t>Six Months Ended June 30,</w:t>
            </w:r>
          </w:p>
        </w:tc>
      </w:tr>
      <w:tr>
        <w:trPr>
          <w:trHeight w:val="155"/>
        </w:trPr>
        <w:tc>
          <w:tcPr>
            <w:tcW w:w="5360" w:type="dxa"/>
            <w:vAlign w:val="bottom"/>
          </w:tcPr>
          <w:p>
            <w:pPr>
              <w:spacing w:after="0"/>
              <w:rPr>
                <w:sz w:val="13"/>
                <w:szCs w:val="13"/>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40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420" w:type="dxa"/>
            <w:vAlign w:val="bottom"/>
            <w:tcBorders>
              <w:top w:val="single" w:sz="8" w:color="auto"/>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5360" w:type="dxa"/>
            <w:vAlign w:val="bottom"/>
          </w:tcPr>
          <w:p>
            <w:pPr>
              <w:spacing w:after="0"/>
              <w:rPr>
                <w:sz w:val="13"/>
                <w:szCs w:val="13"/>
                <w:color w:val="auto"/>
              </w:rPr>
            </w:pPr>
          </w:p>
        </w:tc>
        <w:tc>
          <w:tcPr>
            <w:tcW w:w="2000" w:type="dxa"/>
            <w:vAlign w:val="bottom"/>
            <w:gridSpan w:val="5"/>
          </w:tcPr>
          <w:p>
            <w:pPr>
              <w:jc w:val="right"/>
              <w:ind w:right="110"/>
              <w:spacing w:after="0" w:line="155" w:lineRule="exact"/>
              <w:rPr>
                <w:sz w:val="20"/>
                <w:szCs w:val="20"/>
                <w:color w:val="auto"/>
              </w:rPr>
            </w:pPr>
            <w:r>
              <w:rPr>
                <w:rFonts w:ascii="Arial" w:cs="Arial" w:eastAsia="Arial" w:hAnsi="Arial"/>
                <w:sz w:val="14"/>
                <w:szCs w:val="14"/>
                <w:b w:val="1"/>
                <w:bCs w:val="1"/>
                <w:color w:val="auto"/>
              </w:rPr>
              <w:t>(dollars in millions)</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29"/>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(used in):</w:t>
            </w:r>
          </w:p>
        </w:tc>
        <w:tc>
          <w:tcPr>
            <w:tcW w:w="7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Operating activities</w:t>
            </w:r>
          </w:p>
        </w:tc>
        <w:tc>
          <w:tcPr>
            <w:tcW w:w="700" w:type="dxa"/>
            <w:vAlign w:val="bottom"/>
          </w:tcPr>
          <w:p>
            <w:pPr>
              <w:jc w:val="right"/>
              <w:ind w:right="548"/>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(16.8)</w:t>
            </w:r>
          </w:p>
        </w:tc>
        <w:tc>
          <w:tcPr>
            <w:tcW w:w="760" w:type="dxa"/>
            <w:vAlign w:val="bottom"/>
            <w:gridSpan w:val="2"/>
          </w:tcPr>
          <w:p>
            <w:pPr>
              <w:jc w:val="right"/>
              <w:ind w:right="51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(19.7)</w:t>
            </w:r>
          </w:p>
        </w:tc>
      </w:tr>
      <w:tr>
        <w:trPr>
          <w:trHeight w:val="229"/>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Investing activities</w:t>
            </w:r>
          </w:p>
        </w:tc>
        <w:tc>
          <w:tcPr>
            <w:tcW w:w="70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(3.2)</w:t>
            </w:r>
          </w:p>
        </w:tc>
      </w:tr>
      <w:tr>
        <w:trPr>
          <w:trHeight w:val="229"/>
        </w:trPr>
        <w:tc>
          <w:tcPr>
            <w:tcW w:w="5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Financing activities</w:t>
            </w:r>
          </w:p>
        </w:tc>
        <w:tc>
          <w:tcPr>
            <w:tcW w:w="7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80" w:type="dxa"/>
            <w:vAlign w:val="bottom"/>
            <w:tcBorders>
              <w:bottom w:val="single" w:sz="8" w:color="CFF0FC"/>
            </w:tcBorders>
          </w:tcPr>
          <w:p>
            <w:pPr>
              <w:spacing w:after="0"/>
              <w:rPr>
                <w:sz w:val="19"/>
                <w:szCs w:val="19"/>
                <w:color w:val="auto"/>
              </w:rPr>
            </w:pP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Net increase (decrease) in cash</w:t>
            </w:r>
          </w:p>
        </w:tc>
        <w:tc>
          <w:tcPr>
            <w:tcW w:w="700" w:type="dxa"/>
            <w:vAlign w:val="bottom"/>
            <w:shd w:val="clear" w:color="auto" w:fill="CFF0FC"/>
          </w:tcPr>
          <w:p>
            <w:pPr>
              <w:jc w:val="right"/>
              <w:ind w:right="548"/>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510"/>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97"/>
              </w:rPr>
              <w:t>(22.4)</w:t>
            </w:r>
          </w:p>
        </w:tc>
      </w:tr>
      <w:tr>
        <w:trPr>
          <w:trHeight w:val="20"/>
        </w:trPr>
        <w:tc>
          <w:tcPr>
            <w:tcW w:w="536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Operating Activities</w:t>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Net cash used in operating activities of approximately $16.8 million during the six months ended June 30, 2020 was primarily due to our net income of $17.4 million, stock-based compensation expense of $5.7 million, a $0.9 increase in accounts payable, and a decrease in prepaid expense of $0.6 million, partially offset by a decrease in deferred revenue of $41.2 million, a $0.1 million decrease in accrued expenses, and amortization of investments of $0.1 million.</w:t>
      </w:r>
    </w:p>
    <w:p>
      <w:pPr>
        <w:spacing w:after="0" w:line="187"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Net cash used in operating activities of approximately $19.7 million during the six months ended June 30, 2019 was primarily due to our net loss of $28.3 million and amortization of investments of $0.5 million, partially offset by stock-based compensation expense of $4.8 million, a $2.7 million increase in accrued expenses, a $1.1 million increase in accounts payable, and a decrease in prepaid expense of $0.5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(Used in) Investing Activities</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Net cash provided by investing activities of approximately $21.5 million during the six months ended June 30, 2020 was primarily due to the maturity and redemption of marketable securities of $25.4 million, partially offset by the purchase of marketable securities of $3.9 million.</w:t>
      </w:r>
    </w:p>
    <w:p>
      <w:pPr>
        <w:spacing w:after="0" w:line="170" w:lineRule="exact"/>
        <w:rPr>
          <w:sz w:val="20"/>
          <w:szCs w:val="20"/>
          <w:color w:val="auto"/>
        </w:rPr>
      </w:pPr>
    </w:p>
    <w:p>
      <w:pPr>
        <w:ind w:right="600"/>
        <w:spacing w:after="0" w:line="308" w:lineRule="auto"/>
        <w:rPr>
          <w:sz w:val="20"/>
          <w:szCs w:val="20"/>
          <w:color w:val="auto"/>
        </w:rPr>
      </w:pPr>
      <w:r>
        <w:rPr>
          <w:rFonts w:ascii="Arial" w:cs="Arial" w:eastAsia="Arial" w:hAnsi="Arial"/>
          <w:sz w:val="17"/>
          <w:szCs w:val="17"/>
          <w:color w:val="auto"/>
        </w:rPr>
        <w:t>Net cash used in investing activities of approximately $3.2 million during the six months ended June 30, 2019 was primarily due to the purchase of marketable securities of $33.2 million, partially offset by the maturity and redemption of marketable securities of $30.0 million.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Financing Activities</w:t>
      </w:r>
    </w:p>
    <w:p>
      <w:pPr>
        <w:spacing w:after="0" w:line="225"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Net cash provided by financing activities of $6.1 million during the six months ended June 30, 2020 was due to the gross proceeds from the June 2020 at the market stock offering of $5.2 million less costs of $0.2 million, and proceeds from the exercise of common stock options of $1.1 million.</w:t>
      </w:r>
    </w:p>
    <w:p>
      <w:pPr>
        <w:spacing w:after="0" w:line="14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Net cash provided by financing activities of $0.5 million during the six months ended June 30, 2019 was due to the proceeds from the exercise of common stock options of $0.5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We did not have during the periods presented, and we do not currently have, any off-balance sheet arrangements as defined under SEC rules.</w:t>
      </w: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our Annual Report on Form 10-K for the fiscal year ended December 31, 2019, our most critical accounting policies and estimates upon which our financial status depends were identified as those relating to stock-based compensation; research and development costs; in-process research and development; goodwill; income taxes; net operating losses and tax credit carryforwards; and impairment of long-lived assets. We reviewed our policies and determined that those policies remain our most critical accounting policies for the six months ended June 30, 2020.</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From time to time, new accounting pronouncements are issued by the Financial Accounting Standards Board, and are adopted by us as of the specified effective date. Our significant accounting policies are described in Note 2 to our condensed consolidated financial statements appearing elsewhere in this Form 10-Q. Except as described in Note 2, we believe that the impact of other recently issued accounting pronouncements will not have a material impact on consolidated financial position, results of operations, and cash flows, or do not apply to our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maintain “disclosure controls and procedures,” as defined in Rules 13a-15(e) and 15d-15(e) under the Securities Exchange Act of 1934, or the Exchange Act,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as appropriate to allow timely decisions regarding required disclosure.</w:t>
      </w:r>
    </w:p>
    <w:p>
      <w:pPr>
        <w:spacing w:after="0" w:line="17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Our management, with the participation of our Chief Executive Officer (principal executive officer) and Chief Financial Officer (principal financial officer), evaluated the effectiveness of our disclosure controls and procedures as of June 30, 2020. Based on the evaluation of our disclosure controls and procedures as of June 30, 2020, our Chief Executive Officer and Chief Financial Officer concluded that, as of such date, our disclosure controls and procedures were effective at a reasonable assurance level.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There were no changes in internal control over financial reporting during our latest fiscal quarter that have materially affected, or are reasonably likely to materially affect, our internal control over financial reporting.</w:t>
      </w:r>
    </w:p>
    <w:p>
      <w:pPr>
        <w:spacing w:after="0" w:line="3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553" w:right="419" w:bottom="1440" w:gutter="0" w:footer="0" w:header="0"/>
        </w:sectPr>
      </w:pPr>
    </w:p>
    <w:bookmarkStart w:id="25" w:name="page26"/>
    <w:bookmarkEnd w:id="25"/>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229"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From time to time, we may be subject to various legal proceedings and claims that arise in the ordinary course of our business activities. Although the results of litigation and claims cannot be predicted with certainty, as of the date of this Quarterly Report on Form 10-Q, we do not believe we are party to any claim or litigation, the outcome of which, if determined adversely to us, would individually or in the aggregate be reasonably expected to have a material adverse effect on our business. Regardless of the outcome, litigation can have an adverse impact on us because of defense and settlement costs, diversion of management resources and other factors.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9"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i w:val="1"/>
          <w:iCs w:val="1"/>
          <w:color w:val="auto"/>
        </w:rPr>
        <w:t>We operate in a rapidly changing environment that involves a number of risks which could materially affect our business, financial condition or future results, some of which are beyond our control. In addition to the other information set forth in this Quarterly Report on Form 10-Q, the risks and uncertainties that we believe are most important for you to consider are discussed in Part I-Item 1A under the heading “Risk Factors” in our Annual Report on Form 10-K for the year ended December 31, 2019, as filed with the SEC on March 9, 2020. The risk factors set forth below are risk factors containing changes, which may be material, from the risk factors previously disclosed in Item 1A of our Annual Report on Form 10-K for the fiscal year ended December 31, 2019, as filed with the SEC.</w:t>
      </w:r>
    </w:p>
    <w:p>
      <w:pPr>
        <w:spacing w:after="0" w:line="19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We have incurred significant losses since our inception. We expect to continue to incur losses over the next several years and may never achieve or maintain profitability.</w:t>
      </w:r>
    </w:p>
    <w:p>
      <w:pPr>
        <w:spacing w:after="0" w:line="17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are a clinical development-stage biopharmaceutical company. Investment in biopharmaceutical product development is highly speculative because it entails substantial upfront capital expenditures and significant risk that any potential product candidate will fail to demonstrate adequate effect or an acceptable safety profile, gain regulatory approval or become commercially viable. As an early stage company, we have limited experience and have not yet demonstrated an ability to successfully overcome many of the risks and uncertainties frequently encountered by companies in new and rapidly evolving fields, particularly the biopharmaceutical area. We have no products approved for commercial sale and have not generated any revenue from product sales to date, and we continue to incur significant research and development and other expenses related to our ongoing operations. Our recent collaborative revenue was due to the recognition of deferred revenue as a result of opting out of an agreement, and is not a recurring source of revenue.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2020, we had an accumulated deficit of $269.4 million.</w:t>
      </w:r>
    </w:p>
    <w:p>
      <w:pPr>
        <w:spacing w:after="0" w:line="225"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We expect to continue to incur significant losses for the foreseeable future, and we expect these losses to increase as we continue our research and development of, and seek regulatory approvals for, our product candidates. If any of our product candidates fail in clinical trials or do not gain regulatory approval, or if any of our product candidates, if approved, fail to achieve market acceptance, we may never generate revenue or become profitable. Even if we achieve profitability in the future, we may not be able to sustain profitability in subsequent periods. We may encounter unforeseen expenses, difficulties, complications, delays and other unknown factors that may adversely affect our business. The size of our future net losses will depend, in part, on the rate of future growth of our expenses and our ability to generate revenues. Our prior losses and expected future losses have had and will continue to have an adverse effect on our stockholders’ equity and working capital.</w:t>
      </w:r>
    </w:p>
    <w:p>
      <w:pPr>
        <w:spacing w:after="0" w:line="177"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b w:val="1"/>
          <w:bCs w:val="1"/>
          <w:i w:val="1"/>
          <w:iCs w:val="1"/>
          <w:color w:val="auto"/>
        </w:rPr>
        <w:t>We will require additional capital to finance our operations, which may not be available to us on acceptable terms, or at all. As a result, we may not complete the development and commercialization of our product candidates or develop new product candidates.</w:t>
      </w:r>
    </w:p>
    <w:p>
      <w:pPr>
        <w:spacing w:after="0" w:line="146"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Our operations have consumed substantial amounts of cash since inception. As of June 30, 2020, we had cash, cash equivalents, restricted cash, and marketable securities of $35.3 million. We believe that our existing cash, cash equivalents, restricted cash and marketable securities will be sufficient to meet our cash commitments for at least the next 12 months after the date that our interim condensed financial statements are issued. The process of drug development can be costly and the timing and outcomes of clinical trials is uncertain. The assumptions upon which we have based our estimates are routinely evaluated and may be subject to change. The actual amount of our expenditures will vary depending upon a number of factors including but not limited to the design, timing and duration of future clinical trials, the progress of our research and development programs, the infrastructure to support a commercial enterprise, the cost of a commercial product launch and the level of financial resources available.</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Our future funding requirements, both short and long-term, will depend on many factors, including:</w:t>
      </w:r>
    </w:p>
    <w:p>
      <w:pPr>
        <w:spacing w:after="0" w:line="117" w:lineRule="exact"/>
        <w:rPr>
          <w:sz w:val="20"/>
          <w:szCs w:val="20"/>
          <w:color w:val="auto"/>
        </w:rPr>
      </w:pPr>
    </w:p>
    <w:p>
      <w:pPr>
        <w:ind w:left="1000" w:right="560" w:hanging="493"/>
        <w:spacing w:after="0" w:line="258"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initiation, progress, timing, costs and results of pre-clinical studies and clinical trials for our product candidates and future product candidates we may develop;</w:t>
      </w:r>
    </w:p>
    <w:p>
      <w:pPr>
        <w:spacing w:after="0" w:line="1" w:lineRule="exact"/>
        <w:rPr>
          <w:rFonts w:ascii="Arial" w:cs="Arial" w:eastAsia="Arial" w:hAnsi="Arial"/>
          <w:sz w:val="18"/>
          <w:szCs w:val="18"/>
          <w:color w:val="auto"/>
        </w:rPr>
      </w:pPr>
    </w:p>
    <w:p>
      <w:pPr>
        <w:ind w:left="1000" w:right="640" w:hanging="493"/>
        <w:spacing w:after="0" w:line="281" w:lineRule="auto"/>
        <w:tabs>
          <w:tab w:leader="none" w:pos="10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outcome, timing and cost of seeking and obtaining regulatory approvals from the EMA, FDA, and comparable foreign regulatory authorities, including the potential for such authorities to require that we perform more studies than those that we currently expect;</w:t>
      </w:r>
    </w:p>
    <w:p>
      <w:pPr>
        <w:spacing w:after="0" w:line="1" w:lineRule="exact"/>
        <w:rPr>
          <w:rFonts w:ascii="Arial" w:cs="Arial" w:eastAsia="Arial" w:hAnsi="Arial"/>
          <w:sz w:val="16"/>
          <w:szCs w:val="16"/>
          <w:color w:val="auto"/>
        </w:rPr>
      </w:pPr>
    </w:p>
    <w:p>
      <w:pPr>
        <w:ind w:left="1000" w:right="320" w:hanging="493"/>
        <w:spacing w:after="0" w:line="250"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cost to establish, maintain, expand and defend the scope of our intellectual property portfolio, including the amount and timing of any payments we may be required to make, or that we may receive, in connection with licensing, preparing, filing, prosecution, defense and enforcement of any patents or other intellectual property rights;</w:t>
      </w:r>
    </w:p>
    <w:p>
      <w:pPr>
        <w:spacing w:after="0" w:line="1"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market acceptance of any approved product candidates;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costs of acquiring, licensing or investing in additional businesses, products, product candidates and technologies; and</w:t>
      </w:r>
    </w:p>
    <w:p>
      <w:pPr>
        <w:spacing w:after="0" w:line="9" w:lineRule="exact"/>
        <w:rPr>
          <w:rFonts w:ascii="Arial" w:cs="Arial" w:eastAsia="Arial" w:hAnsi="Arial"/>
          <w:sz w:val="18"/>
          <w:szCs w:val="18"/>
          <w:color w:val="auto"/>
        </w:rPr>
      </w:pPr>
    </w:p>
    <w:p>
      <w:pPr>
        <w:ind w:left="1000" w:hanging="493"/>
        <w:spacing w:after="0" w:line="260"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cost of establishing sales, marketing and distribution capabilities for our product candidates for which we may receive regulatory approval and that we determine to commercialize ourselves or in collaboration with our partners.</w:t>
      </w:r>
    </w:p>
    <w:p>
      <w:pPr>
        <w:spacing w:after="0" w:line="18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When we need to secure additional financing, such additional fundraising efforts may divert our management from our day-to-day activities, which may adversely affect our ability to develop and commercialize our product candidates. In addition, we cannot guarantee that future financing will be available in sufficient amounts or on terms acceptable to us, if at all. If we raise additional equity financing, our stockholders may experience significant dilution of their ownership interests, and the per-share value of our common stock could decline. If we engage in debt financing, we may be required to accept terms that restrict our ability to incur additional indebtedness and force us to maintain specified liquidity or other ratios. Further, the evolving and volatile global economic climate and global financial market conditions could limit our ability to raise funding and otherwise adversely impact our business or those of our collaborators and providers. If we are unable to raise additional capital in sufficient amounts or on terms acceptable to us we may have to significantly delay, scale back or discontinue the development or commercialization of one or more of our product candidates. Any of these events could significantly harm our business, financial condition and prospects.</w:t>
      </w:r>
    </w:p>
    <w:p>
      <w:pPr>
        <w:spacing w:after="0" w:line="18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are subject to risks and uncertainties as a result of the ongoing COVID-19 pandemic, and could be subject to risks from further health pandemics or epidemics, as well as uncertainty regarding returning to work and phased re-openings.</w:t>
      </w:r>
    </w:p>
    <w:p>
      <w:pPr>
        <w:spacing w:after="0" w:line="170"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Our business could be adversely affected by the effects of health pandemics or epidemics, including the ongoing COVID-19 pandemic, which continues to have a negative impact on the local, regional, national and global scale. In response to the pandemic, a number of jurisdictions in which we or our service providers operate implemented shelter-in-place or similar type restrictions, which limited on-site activity to certain service providers. Additionally, our headquarters are located in Massachusetts, which implemented such restrictions. In response, we implemented work-from-home policies for our employees, which continue to be in effect. While certain jurisdictions, including Massachusetts have begun a phased re-opening of businesses and governmental agencies, there remain limitations on the physical operations of businesses and prohibitions on certain non-essential gatherings, and it is unclear if such phased re-openings will continue or be rolled back, and there is uncertainty about when, if, or how our workforce may return. The effects of the state executive order, local shelter-in-place orders, government-imposed quarantines and our work-from-home policies, including the uncertainty about their duration, may negatively impact productivity, disrupt our business and delay our clinical programs and timelines. The magnitude of these negative effects will depend, in part, on the length and severity of the restrictions and other limitations on our ability to conduct our business in the ordinary course, and our ability to respond with minimal disruptions to the evolving restrictions, reopenings, and any future curtailment. These and similar, and perhaps more severe, disruptions in our operations in response to the ongoing COVID-19 pandemic and any future health pandemics or epidemics could negatively impact our business, operating results and financial condition.</w:t>
      </w:r>
    </w:p>
    <w:p>
      <w:pPr>
        <w:spacing w:after="0" w:line="17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addition, our clinical trials may be affected by the COVID-19 pandemic. We may face difficulties retaining patients in the open-label extension period of the MIN-101C07 study of roluperidone and may have difficultly enrolling or retaining patients in future clinical trials if patients are affected by the COVID-19 virus or are unable to travel to the clinical trial sites or obtain study medication. Our clinical trials may further be delayed due to prioritization of hospital resources toward the COVID-19 pandemic, and some patients may not be able to comply with clinical trial protocols if quarantines impede patient movement or interrupt healthcare services. Similarly, our ability to recruit and retain principal investigators and site staff who, as healthcare providers, may have heightened exposure to the COVID-19 virus, could be delayed or disrupted, which would adversely impact our clinical trial operations. As a result, we could experience delays in the completion of our trials, which could result in a material adverse impact on our clinical trial plans and timelines.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27" w:name="page28"/>
    <w:bookmarkEnd w:id="27"/>
    <w:p>
      <w:pPr>
        <w:spacing w:after="0" w:line="296" w:lineRule="auto"/>
        <w:rPr>
          <w:sz w:val="20"/>
          <w:szCs w:val="20"/>
          <w:color w:val="auto"/>
        </w:rPr>
      </w:pPr>
      <w:r>
        <w:rPr>
          <w:rFonts w:ascii="Arial" w:cs="Arial" w:eastAsia="Arial" w:hAnsi="Arial"/>
          <w:sz w:val="16"/>
          <w:szCs w:val="16"/>
          <w:color w:val="auto"/>
        </w:rPr>
        <w:t>Furthermore, the COVID-19 pandemic has caused a broad negative impact globally on capital markets and economies worldwide, which could have a negative impact on us economically. While the potential economic impact brought by, and the duration of, the COVID-19 pandemic, may be difficult to assess or predict, it is currently resulting in significant disruption of global financial markets. This disruption, if sustained or recurrent, could have a material adverse effect on our operating results, our ability to raise capital needed to develop and commercialize products and our overall financial condition. In addition, a recession or market correction resulting from the spread of the coronavirus could materially affect the value of our common stock.</w:t>
      </w:r>
    </w:p>
    <w:p>
      <w:pPr>
        <w:spacing w:after="0" w:line="16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extent of the impact of the COVID-19 pandemic on our business is uncertain and difficult to predict, as the pandemic continues to rapidly evolve. The ultimate impact of the COVID-19 pandemic or a similar health pandemic or epidemic is highly uncertain and subject to change. We do not yet know the extent of potential delays or impacts on our business, our clinical trials, healthcare systems or the global economy as a whole. These effects could have a material impact on our operations, and we will continue to monitor the COVID-19 pandemic closely.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did not sell any unregistered securities during the six months ended June 30, 2020.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did not repurchase any securities during the six months ended June 30, 2020.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557" w:right="41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560" w:type="dxa"/>
            <w:vAlign w:val="bottom"/>
            <w:gridSpan w:val="10"/>
          </w:tcPr>
          <w:p>
            <w:pPr>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432"/>
        </w:trPr>
        <w:tc>
          <w:tcPr>
            <w:tcW w:w="11240" w:type="dxa"/>
            <w:vAlign w:val="bottom"/>
            <w:gridSpan w:val="11"/>
          </w:tcPr>
          <w:p>
            <w:pPr>
              <w:spacing w:after="0"/>
              <w:rPr>
                <w:sz w:val="20"/>
                <w:szCs w:val="20"/>
                <w:color w:val="auto"/>
              </w:rPr>
            </w:pPr>
            <w:r>
              <w:rPr>
                <w:rFonts w:ascii="Arial" w:cs="Arial" w:eastAsia="Arial" w:hAnsi="Arial"/>
                <w:sz w:val="18"/>
                <w:szCs w:val="18"/>
                <w:color w:val="auto"/>
              </w:rPr>
              <w:t>The following exhibits are incorporated by reference or filed as part of this report.</w:t>
            </w:r>
          </w:p>
        </w:tc>
        <w:tc>
          <w:tcPr>
            <w:tcW w:w="0" w:type="dxa"/>
            <w:vAlign w:val="bottom"/>
          </w:tcPr>
          <w:p>
            <w:pPr>
              <w:spacing w:after="0"/>
              <w:rPr>
                <w:sz w:val="1"/>
                <w:szCs w:val="1"/>
                <w:color w:val="auto"/>
              </w:rPr>
            </w:pPr>
          </w:p>
        </w:tc>
      </w:tr>
      <w:tr>
        <w:trPr>
          <w:trHeight w:val="342"/>
        </w:trPr>
        <w:tc>
          <w:tcPr>
            <w:tcW w:w="68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160" w:type="dxa"/>
            <w:vAlign w:val="bottom"/>
            <w:gridSpan w:val="6"/>
            <w:vMerge w:val="restart"/>
          </w:tcPr>
          <w:p>
            <w:pPr>
              <w:ind w:left="7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6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3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6160" w:type="dxa"/>
            <w:vAlign w:val="bottom"/>
            <w:tcBorders>
              <w:bottom w:val="single" w:sz="8" w:color="auto"/>
            </w:tcBorders>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680" w:type="dxa"/>
            <w:vAlign w:val="bottom"/>
          </w:tcPr>
          <w:p>
            <w:pPr>
              <w:jc w:val="right"/>
              <w:ind w:right="172"/>
              <w:spacing w:after="0"/>
              <w:rPr>
                <w:sz w:val="20"/>
                <w:szCs w:val="20"/>
                <w:color w:val="auto"/>
              </w:rPr>
            </w:pPr>
            <w:r>
              <w:rPr>
                <w:rFonts w:ascii="Arial" w:cs="Arial" w:eastAsia="Arial" w:hAnsi="Arial"/>
                <w:sz w:val="18"/>
                <w:szCs w:val="18"/>
                <w:color w:val="auto"/>
              </w:rPr>
              <w:t>3.1</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80" w:type="dxa"/>
            <w:vAlign w:val="bottom"/>
            <w:gridSpan w:val="8"/>
          </w:tcPr>
          <w:p>
            <w:pPr>
              <w:spacing w:after="0"/>
              <w:rPr>
                <w:rFonts w:ascii="Arial" w:cs="Arial" w:eastAsia="Arial" w:hAnsi="Arial"/>
                <w:sz w:val="18"/>
                <w:szCs w:val="18"/>
                <w:color w:val="0000EE"/>
                <w:w w:val="98"/>
              </w:rPr>
            </w:pPr>
            <w:hyperlink r:id="rId47">
              <w:r>
                <w:rPr>
                  <w:rFonts w:ascii="Arial" w:cs="Arial" w:eastAsia="Arial" w:hAnsi="Arial"/>
                  <w:sz w:val="18"/>
                  <w:szCs w:val="18"/>
                  <w:color w:val="0000EE"/>
                  <w:w w:val="98"/>
                </w:rPr>
                <w:t>Amended and Restated Certificate of Incorporation of the Registrant (incorporated by reference to Exhibit 3.1 to the Registrant’s</w:t>
              </w:r>
            </w:hyperlink>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r:id="rId47">
              <w:r>
                <w:rPr>
                  <w:rFonts w:ascii="Arial" w:cs="Arial" w:eastAsia="Arial" w:hAnsi="Arial"/>
                  <w:sz w:val="18"/>
                  <w:szCs w:val="18"/>
                  <w:color w:val="0000EE"/>
                  <w:w w:val="90"/>
                </w:rPr>
                <w:t>registration statement on Form S-1/A filed with the SEC on June 10, 2014)</w:t>
              </w:r>
            </w:hyperlink>
          </w:p>
        </w:tc>
        <w:tc>
          <w:tcPr>
            <w:tcW w:w="3860" w:type="dxa"/>
            <w:vAlign w:val="bottom"/>
            <w:tcBorders>
              <w:top w:val="single" w:sz="8" w:color="0000EE"/>
            </w:tcBorders>
          </w:tcPr>
          <w:p>
            <w:pPr>
              <w:spacing w:after="0"/>
              <w:rPr>
                <w:sz w:val="17"/>
                <w:szCs w:val="17"/>
                <w:color w:val="auto"/>
              </w:rPr>
            </w:pPr>
          </w:p>
        </w:tc>
        <w:tc>
          <w:tcPr>
            <w:tcW w:w="8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680" w:type="dxa"/>
            <w:vAlign w:val="bottom"/>
          </w:tcPr>
          <w:p>
            <w:pPr>
              <w:jc w:val="right"/>
              <w:ind w:right="172"/>
              <w:spacing w:after="0"/>
              <w:rPr>
                <w:sz w:val="20"/>
                <w:szCs w:val="20"/>
                <w:color w:val="auto"/>
              </w:rPr>
            </w:pPr>
            <w:r>
              <w:rPr>
                <w:rFonts w:ascii="Arial" w:cs="Arial" w:eastAsia="Arial" w:hAnsi="Arial"/>
                <w:sz w:val="18"/>
                <w:szCs w:val="18"/>
                <w:color w:val="auto"/>
              </w:rPr>
              <w:t>3.2</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60" w:type="dxa"/>
            <w:vAlign w:val="bottom"/>
            <w:tcBorders>
              <w:bottom w:val="single" w:sz="8" w:color="0000EE"/>
            </w:tcBorders>
            <w:gridSpan w:val="5"/>
          </w:tcPr>
          <w:p>
            <w:pPr>
              <w:spacing w:after="0"/>
              <w:rPr>
                <w:rFonts w:ascii="Arial" w:cs="Arial" w:eastAsia="Arial" w:hAnsi="Arial"/>
                <w:sz w:val="18"/>
                <w:szCs w:val="18"/>
                <w:color w:val="0000EE"/>
                <w:w w:val="90"/>
              </w:rPr>
            </w:pPr>
            <w:hyperlink r:id="rId48">
              <w:r>
                <w:rPr>
                  <w:rFonts w:ascii="Arial" w:cs="Arial" w:eastAsia="Arial" w:hAnsi="Arial"/>
                  <w:sz w:val="18"/>
                  <w:szCs w:val="18"/>
                  <w:color w:val="0000EE"/>
                  <w:w w:val="90"/>
                </w:rPr>
                <w:t>Amended and Restated Bylaws of the Registrant (incorporated by reference to Exhibit 3.2 to the Registrant’s registration statement on</w:t>
              </w:r>
            </w:hyperlink>
          </w:p>
        </w:tc>
        <w:tc>
          <w:tcPr>
            <w:tcW w:w="4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920" w:type="dxa"/>
            <w:vAlign w:val="bottom"/>
            <w:tcBorders>
              <w:bottom w:val="single" w:sz="8" w:color="0000EE"/>
            </w:tcBorders>
            <w:gridSpan w:val="2"/>
          </w:tcPr>
          <w:p>
            <w:pPr>
              <w:spacing w:after="0" w:line="196" w:lineRule="exact"/>
              <w:rPr>
                <w:rFonts w:ascii="Arial" w:cs="Arial" w:eastAsia="Arial" w:hAnsi="Arial"/>
                <w:sz w:val="18"/>
                <w:szCs w:val="18"/>
                <w:color w:val="0000EE"/>
                <w:w w:val="92"/>
              </w:rPr>
            </w:pPr>
            <w:hyperlink r:id="rId48">
              <w:r>
                <w:rPr>
                  <w:rFonts w:ascii="Arial" w:cs="Arial" w:eastAsia="Arial" w:hAnsi="Arial"/>
                  <w:sz w:val="18"/>
                  <w:szCs w:val="18"/>
                  <w:color w:val="0000EE"/>
                  <w:w w:val="92"/>
                </w:rPr>
                <w:t>Form S-1/A filed with the SEC on November 4, 2019)</w:t>
              </w:r>
            </w:hyperlink>
          </w:p>
        </w:tc>
        <w:tc>
          <w:tcPr>
            <w:tcW w:w="61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680" w:type="dxa"/>
            <w:vAlign w:val="bottom"/>
          </w:tcPr>
          <w:p>
            <w:pPr>
              <w:jc w:val="right"/>
              <w:ind w:right="172"/>
              <w:spacing w:after="0"/>
              <w:rPr>
                <w:sz w:val="20"/>
                <w:szCs w:val="20"/>
                <w:color w:val="auto"/>
              </w:rPr>
            </w:pPr>
            <w:r>
              <w:rPr>
                <w:rFonts w:ascii="Arial" w:cs="Arial" w:eastAsia="Arial" w:hAnsi="Arial"/>
                <w:sz w:val="18"/>
                <w:szCs w:val="18"/>
                <w:color w:val="auto"/>
              </w:rPr>
              <w:t>10.1</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80" w:type="dxa"/>
            <w:vAlign w:val="bottom"/>
            <w:gridSpan w:val="8"/>
          </w:tcPr>
          <w:p>
            <w:pPr>
              <w:spacing w:after="0"/>
              <w:rPr>
                <w:rFonts w:ascii="Arial" w:cs="Arial" w:eastAsia="Arial" w:hAnsi="Arial"/>
                <w:sz w:val="18"/>
                <w:szCs w:val="18"/>
                <w:color w:val="0000EE"/>
                <w:w w:val="91"/>
              </w:rPr>
            </w:pPr>
            <w:hyperlink r:id="rId49">
              <w:r>
                <w:rPr>
                  <w:rFonts w:ascii="Arial" w:cs="Arial" w:eastAsia="Arial" w:hAnsi="Arial"/>
                  <w:sz w:val="18"/>
                  <w:szCs w:val="18"/>
                  <w:color w:val="0000EE"/>
                  <w:w w:val="91"/>
                </w:rPr>
                <w:t>Open Market Sale Agreement, dated as of August 10, 2018, by and between Minerva Neurosciences, Inc. and Jefferies LLC (incorporated</w:t>
              </w:r>
            </w:hyperlink>
          </w:p>
        </w:tc>
        <w:tc>
          <w:tcPr>
            <w:tcW w:w="0" w:type="dxa"/>
            <w:vAlign w:val="bottom"/>
          </w:tcPr>
          <w:p>
            <w:pPr>
              <w:spacing w:after="0"/>
              <w:rPr>
                <w:sz w:val="1"/>
                <w:szCs w:val="1"/>
                <w:color w:val="auto"/>
              </w:rPr>
            </w:pPr>
          </w:p>
        </w:tc>
      </w:tr>
      <w:tr>
        <w:trPr>
          <w:trHeight w:val="237"/>
        </w:trPr>
        <w:tc>
          <w:tcPr>
            <w:tcW w:w="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940" w:type="dxa"/>
            <w:vAlign w:val="bottom"/>
            <w:tcBorders>
              <w:top w:val="single" w:sz="8" w:color="0000EE"/>
            </w:tcBorders>
            <w:gridSpan w:val="6"/>
          </w:tcPr>
          <w:p>
            <w:pPr>
              <w:spacing w:after="0"/>
              <w:rPr>
                <w:rFonts w:ascii="Arial" w:cs="Arial" w:eastAsia="Arial" w:hAnsi="Arial"/>
                <w:sz w:val="18"/>
                <w:szCs w:val="18"/>
                <w:u w:val="single" w:color="auto"/>
                <w:color w:val="0000EE"/>
              </w:rPr>
            </w:pPr>
            <w:hyperlink r:id="rId49">
              <w:r>
                <w:rPr>
                  <w:rFonts w:ascii="Arial" w:cs="Arial" w:eastAsia="Arial" w:hAnsi="Arial"/>
                  <w:sz w:val="18"/>
                  <w:szCs w:val="18"/>
                  <w:u w:val="single" w:color="auto"/>
                  <w:color w:val="0000EE"/>
                </w:rPr>
                <w:t>by reference to Exhibit 1.2 to the Registrant’s registration statement on Form S-3 filed with the SEC on August 10, 2018)</w:t>
              </w:r>
            </w:hyperlink>
          </w:p>
        </w:tc>
        <w:tc>
          <w:tcPr>
            <w:tcW w:w="14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680" w:type="dxa"/>
            <w:vAlign w:val="bottom"/>
          </w:tcPr>
          <w:p>
            <w:pPr>
              <w:jc w:val="right"/>
              <w:ind w:right="172"/>
              <w:spacing w:after="0"/>
              <w:rPr>
                <w:sz w:val="20"/>
                <w:szCs w:val="20"/>
                <w:color w:val="auto"/>
              </w:rPr>
            </w:pPr>
            <w:r>
              <w:rPr>
                <w:rFonts w:ascii="Arial" w:cs="Arial" w:eastAsia="Arial" w:hAnsi="Arial"/>
                <w:sz w:val="18"/>
                <w:szCs w:val="18"/>
                <w:color w:val="auto"/>
              </w:rPr>
              <w:t>10.2</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80" w:type="dxa"/>
            <w:vAlign w:val="bottom"/>
            <w:gridSpan w:val="8"/>
          </w:tcPr>
          <w:p>
            <w:pPr>
              <w:spacing w:after="0"/>
              <w:rPr>
                <w:rFonts w:ascii="Arial" w:cs="Arial" w:eastAsia="Arial" w:hAnsi="Arial"/>
                <w:sz w:val="18"/>
                <w:szCs w:val="18"/>
                <w:u w:val="single" w:color="auto"/>
                <w:color w:val="0000EE"/>
                <w:w w:val="96"/>
              </w:rPr>
            </w:pPr>
            <w:hyperlink w:anchor="page31">
              <w:r>
                <w:rPr>
                  <w:rFonts w:ascii="Arial" w:cs="Arial" w:eastAsia="Arial" w:hAnsi="Arial"/>
                  <w:sz w:val="18"/>
                  <w:szCs w:val="18"/>
                  <w:u w:val="single" w:color="auto"/>
                  <w:color w:val="0000EE"/>
                  <w:w w:val="96"/>
                </w:rPr>
                <w:t>Settlement Agreement, dated as of June 24, 2020, by and between Minerva Neurosciences, Inc. and Janssen Pharmaceutica, N.V.</w:t>
              </w:r>
            </w:hyperlink>
          </w:p>
        </w:tc>
        <w:tc>
          <w:tcPr>
            <w:tcW w:w="0" w:type="dxa"/>
            <w:vAlign w:val="bottom"/>
          </w:tcPr>
          <w:p>
            <w:pPr>
              <w:spacing w:after="0"/>
              <w:rPr>
                <w:sz w:val="1"/>
                <w:szCs w:val="1"/>
                <w:color w:val="auto"/>
              </w:rPr>
            </w:pPr>
          </w:p>
        </w:tc>
      </w:tr>
      <w:tr>
        <w:trPr>
          <w:trHeight w:val="338"/>
        </w:trPr>
        <w:tc>
          <w:tcPr>
            <w:tcW w:w="680" w:type="dxa"/>
            <w:vAlign w:val="bottom"/>
          </w:tcPr>
          <w:p>
            <w:pPr>
              <w:ind w:left="100"/>
              <w:spacing w:after="0"/>
              <w:rPr>
                <w:sz w:val="20"/>
                <w:szCs w:val="20"/>
                <w:color w:val="auto"/>
              </w:rPr>
            </w:pPr>
            <w:r>
              <w:rPr>
                <w:rFonts w:ascii="Arial" w:cs="Arial" w:eastAsia="Arial" w:hAnsi="Arial"/>
                <w:sz w:val="18"/>
                <w:szCs w:val="18"/>
                <w:color w:val="auto"/>
              </w:rPr>
              <w:t>10.3†</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80" w:type="dxa"/>
            <w:vAlign w:val="bottom"/>
            <w:gridSpan w:val="8"/>
          </w:tcPr>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Amended and Restated 2013 Equity Incentive Plan</w:t>
              </w:r>
            </w:hyperlink>
          </w:p>
        </w:tc>
        <w:tc>
          <w:tcPr>
            <w:tcW w:w="0" w:type="dxa"/>
            <w:vAlign w:val="bottom"/>
          </w:tcPr>
          <w:p>
            <w:pPr>
              <w:spacing w:after="0"/>
              <w:rPr>
                <w:sz w:val="1"/>
                <w:szCs w:val="1"/>
                <w:color w:val="auto"/>
              </w:rPr>
            </w:pPr>
          </w:p>
        </w:tc>
      </w:tr>
      <w:tr>
        <w:trPr>
          <w:trHeight w:val="338"/>
        </w:trPr>
        <w:tc>
          <w:tcPr>
            <w:tcW w:w="680" w:type="dxa"/>
            <w:vAlign w:val="bottom"/>
          </w:tcPr>
          <w:p>
            <w:pPr>
              <w:jc w:val="right"/>
              <w:ind w:right="172"/>
              <w:spacing w:after="0"/>
              <w:rPr>
                <w:sz w:val="20"/>
                <w:szCs w:val="20"/>
                <w:color w:val="auto"/>
              </w:rPr>
            </w:pPr>
            <w:r>
              <w:rPr>
                <w:rFonts w:ascii="Arial" w:cs="Arial" w:eastAsia="Arial" w:hAnsi="Arial"/>
                <w:sz w:val="18"/>
                <w:szCs w:val="18"/>
                <w:color w:val="auto"/>
              </w:rPr>
              <w:t>31.1</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80" w:type="dxa"/>
            <w:vAlign w:val="bottom"/>
            <w:gridSpan w:val="8"/>
          </w:tcPr>
          <w:p>
            <w:pPr>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Certification of Chief Executive Officer (Principal Executive Officer) pursuant to Section 302 of Sarbanes-Oxley Act of 2002</w:t>
              </w:r>
            </w:hyperlink>
          </w:p>
        </w:tc>
        <w:tc>
          <w:tcPr>
            <w:tcW w:w="0" w:type="dxa"/>
            <w:vAlign w:val="bottom"/>
          </w:tcPr>
          <w:p>
            <w:pPr>
              <w:spacing w:after="0"/>
              <w:rPr>
                <w:sz w:val="1"/>
                <w:szCs w:val="1"/>
                <w:color w:val="auto"/>
              </w:rPr>
            </w:pPr>
          </w:p>
        </w:tc>
      </w:tr>
      <w:tr>
        <w:trPr>
          <w:trHeight w:val="338"/>
        </w:trPr>
        <w:tc>
          <w:tcPr>
            <w:tcW w:w="680" w:type="dxa"/>
            <w:vAlign w:val="bottom"/>
          </w:tcPr>
          <w:p>
            <w:pPr>
              <w:jc w:val="right"/>
              <w:ind w:right="172"/>
              <w:spacing w:after="0"/>
              <w:rPr>
                <w:sz w:val="20"/>
                <w:szCs w:val="20"/>
                <w:color w:val="auto"/>
              </w:rPr>
            </w:pPr>
            <w:r>
              <w:rPr>
                <w:rFonts w:ascii="Arial" w:cs="Arial" w:eastAsia="Arial" w:hAnsi="Arial"/>
                <w:sz w:val="18"/>
                <w:szCs w:val="18"/>
                <w:color w:val="auto"/>
              </w:rPr>
              <w:t>31.2</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80" w:type="dxa"/>
            <w:vAlign w:val="bottom"/>
            <w:gridSpan w:val="8"/>
          </w:tcPr>
          <w:p>
            <w:pPr>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Certification of Chief Financial Officer (Principal Financial Officer) pursuant to Section 302 of Sarbanes-Oxley Act of 2002</w:t>
              </w:r>
            </w:hyperlink>
          </w:p>
        </w:tc>
        <w:tc>
          <w:tcPr>
            <w:tcW w:w="0" w:type="dxa"/>
            <w:vAlign w:val="bottom"/>
          </w:tcPr>
          <w:p>
            <w:pPr>
              <w:spacing w:after="0"/>
              <w:rPr>
                <w:sz w:val="1"/>
                <w:szCs w:val="1"/>
                <w:color w:val="auto"/>
              </w:rPr>
            </w:pPr>
          </w:p>
        </w:tc>
      </w:tr>
      <w:tr>
        <w:trPr>
          <w:trHeight w:val="297"/>
        </w:trPr>
        <w:tc>
          <w:tcPr>
            <w:tcW w:w="680" w:type="dxa"/>
            <w:vAlign w:val="bottom"/>
          </w:tcPr>
          <w:p>
            <w:pPr>
              <w:ind w:left="100"/>
              <w:spacing w:after="0"/>
              <w:rPr>
                <w:sz w:val="20"/>
                <w:szCs w:val="20"/>
                <w:color w:val="auto"/>
              </w:rPr>
            </w:pPr>
            <w:r>
              <w:rPr>
                <w:rFonts w:ascii="Arial" w:cs="Arial" w:eastAsia="Arial" w:hAnsi="Arial"/>
                <w:sz w:val="18"/>
                <w:szCs w:val="18"/>
                <w:color w:val="auto"/>
              </w:rPr>
              <w:t>32.1</w:t>
            </w:r>
            <w:r>
              <w:rPr>
                <w:rFonts w:ascii="Arial" w:cs="Arial" w:eastAsia="Arial" w:hAnsi="Arial"/>
                <w:sz w:val="15"/>
                <w:szCs w:val="15"/>
                <w:color w:val="auto"/>
              </w:rPr>
              <w:t>+</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980" w:type="dxa"/>
            <w:vAlign w:val="bottom"/>
            <w:tcBorders>
              <w:bottom w:val="single" w:sz="8" w:color="0000EE"/>
            </w:tcBorders>
            <w:gridSpan w:val="7"/>
          </w:tcPr>
          <w:p>
            <w:pPr>
              <w:spacing w:after="0"/>
              <w:rPr>
                <w:rFonts w:ascii="Arial" w:cs="Arial" w:eastAsia="Arial" w:hAnsi="Arial"/>
                <w:sz w:val="18"/>
                <w:szCs w:val="18"/>
                <w:color w:val="0000EE"/>
                <w:w w:val="93"/>
              </w:rPr>
            </w:pPr>
            <w:hyperlink w:anchor="page66">
              <w:r>
                <w:rPr>
                  <w:rFonts w:ascii="Arial" w:cs="Arial" w:eastAsia="Arial" w:hAnsi="Arial"/>
                  <w:sz w:val="18"/>
                  <w:szCs w:val="18"/>
                  <w:color w:val="0000EE"/>
                  <w:w w:val="93"/>
                </w:rPr>
                <w:t>Certification of Chief Executive Officer (Principal Executive Officer) and Chief Financial Officer (Principal Financial Officer) pursuant to</w:t>
              </w:r>
            </w:hyperlink>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80" w:type="dxa"/>
            <w:vAlign w:val="bottom"/>
            <w:gridSpan w:val="8"/>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Section 906 of Sarbanes-Oxley Act of 2002</w:t>
              </w:r>
            </w:hyperlink>
          </w:p>
        </w:tc>
        <w:tc>
          <w:tcPr>
            <w:tcW w:w="0" w:type="dxa"/>
            <w:vAlign w:val="bottom"/>
          </w:tcPr>
          <w:p>
            <w:pPr>
              <w:spacing w:after="0"/>
              <w:rPr>
                <w:sz w:val="1"/>
                <w:szCs w:val="1"/>
                <w:color w:val="auto"/>
              </w:rPr>
            </w:pPr>
          </w:p>
        </w:tc>
      </w:tr>
      <w:tr>
        <w:trPr>
          <w:trHeight w:val="358"/>
        </w:trPr>
        <w:tc>
          <w:tcPr>
            <w:tcW w:w="680" w:type="dxa"/>
            <w:vAlign w:val="bottom"/>
          </w:tcPr>
          <w:p>
            <w:pPr>
              <w:spacing w:after="0"/>
              <w:rPr>
                <w:sz w:val="20"/>
                <w:szCs w:val="20"/>
                <w:color w:val="auto"/>
              </w:rPr>
            </w:pPr>
            <w:r>
              <w:rPr>
                <w:rFonts w:ascii="Arial" w:cs="Arial" w:eastAsia="Arial" w:hAnsi="Arial"/>
                <w:sz w:val="18"/>
                <w:szCs w:val="18"/>
                <w:color w:val="auto"/>
              </w:rPr>
              <w:t>101.INS</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4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Inline XBRL Instance Document</w:t>
            </w:r>
          </w:p>
        </w:tc>
        <w:tc>
          <w:tcPr>
            <w:tcW w:w="694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680" w:type="dxa"/>
            <w:vAlign w:val="bottom"/>
          </w:tcPr>
          <w:p>
            <w:pPr>
              <w:spacing w:after="0"/>
              <w:rPr>
                <w:sz w:val="20"/>
                <w:szCs w:val="20"/>
                <w:color w:val="auto"/>
              </w:rPr>
            </w:pPr>
            <w:r>
              <w:rPr>
                <w:rFonts w:ascii="Arial" w:cs="Arial" w:eastAsia="Arial" w:hAnsi="Arial"/>
                <w:sz w:val="18"/>
                <w:szCs w:val="18"/>
                <w:color w:val="auto"/>
                <w:w w:val="90"/>
              </w:rPr>
              <w:t>101.SCH</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80" w:type="dxa"/>
            <w:vAlign w:val="bottom"/>
            <w:gridSpan w:val="8"/>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338"/>
        </w:trPr>
        <w:tc>
          <w:tcPr>
            <w:tcW w:w="680" w:type="dxa"/>
            <w:vAlign w:val="bottom"/>
          </w:tcPr>
          <w:p>
            <w:pPr>
              <w:spacing w:after="0"/>
              <w:rPr>
                <w:sz w:val="20"/>
                <w:szCs w:val="20"/>
                <w:color w:val="auto"/>
              </w:rPr>
            </w:pPr>
            <w:r>
              <w:rPr>
                <w:rFonts w:ascii="Arial" w:cs="Arial" w:eastAsia="Arial" w:hAnsi="Arial"/>
                <w:sz w:val="18"/>
                <w:szCs w:val="18"/>
                <w:color w:val="auto"/>
                <w:w w:val="94"/>
              </w:rPr>
              <w:t>101.CAL</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80" w:type="dxa"/>
            <w:vAlign w:val="bottom"/>
            <w:gridSpan w:val="8"/>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38"/>
        </w:trPr>
        <w:tc>
          <w:tcPr>
            <w:tcW w:w="680" w:type="dxa"/>
            <w:vAlign w:val="bottom"/>
          </w:tcPr>
          <w:p>
            <w:pPr>
              <w:spacing w:after="0"/>
              <w:rPr>
                <w:sz w:val="20"/>
                <w:szCs w:val="20"/>
                <w:color w:val="auto"/>
              </w:rPr>
            </w:pPr>
            <w:r>
              <w:rPr>
                <w:rFonts w:ascii="Arial" w:cs="Arial" w:eastAsia="Arial" w:hAnsi="Arial"/>
                <w:sz w:val="18"/>
                <w:szCs w:val="18"/>
                <w:color w:val="auto"/>
                <w:w w:val="92"/>
              </w:rPr>
              <w:t>101.DEF</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80" w:type="dxa"/>
            <w:vAlign w:val="bottom"/>
            <w:gridSpan w:val="8"/>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338"/>
        </w:trPr>
        <w:tc>
          <w:tcPr>
            <w:tcW w:w="680" w:type="dxa"/>
            <w:vAlign w:val="bottom"/>
          </w:tcPr>
          <w:p>
            <w:pPr>
              <w:spacing w:after="0"/>
              <w:rPr>
                <w:sz w:val="20"/>
                <w:szCs w:val="20"/>
                <w:color w:val="auto"/>
              </w:rPr>
            </w:pPr>
            <w:r>
              <w:rPr>
                <w:rFonts w:ascii="Arial" w:cs="Arial" w:eastAsia="Arial" w:hAnsi="Arial"/>
                <w:sz w:val="18"/>
                <w:szCs w:val="18"/>
                <w:color w:val="auto"/>
                <w:w w:val="95"/>
              </w:rPr>
              <w:t>101.LAB</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80" w:type="dxa"/>
            <w:vAlign w:val="bottom"/>
            <w:gridSpan w:val="8"/>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338"/>
        </w:trPr>
        <w:tc>
          <w:tcPr>
            <w:tcW w:w="680" w:type="dxa"/>
            <w:vAlign w:val="bottom"/>
          </w:tcPr>
          <w:p>
            <w:pPr>
              <w:spacing w:after="0"/>
              <w:rPr>
                <w:sz w:val="20"/>
                <w:szCs w:val="20"/>
                <w:color w:val="auto"/>
              </w:rPr>
            </w:pPr>
            <w:r>
              <w:rPr>
                <w:rFonts w:ascii="Arial" w:cs="Arial" w:eastAsia="Arial" w:hAnsi="Arial"/>
                <w:sz w:val="18"/>
                <w:szCs w:val="18"/>
                <w:color w:val="auto"/>
                <w:w w:val="91"/>
              </w:rPr>
              <w:t>101.PRE</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80" w:type="dxa"/>
            <w:vAlign w:val="bottom"/>
            <w:gridSpan w:val="8"/>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1160" w:right="320" w:hanging="1152"/>
        <w:spacing w:after="0" w:line="277" w:lineRule="auto"/>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cover page from Minerva Neuroscience’s Quarterly Report on Form 10-Q for the three months ended June 30, 2020 is formatted in Inline XBRL and it is contained in Exhibit 101</w:t>
      </w:r>
    </w:p>
    <w:p>
      <w:pPr>
        <w:spacing w:after="0" w:line="211" w:lineRule="exact"/>
        <w:rPr>
          <w:sz w:val="20"/>
          <w:szCs w:val="20"/>
          <w:color w:val="auto"/>
        </w:rPr>
      </w:pPr>
    </w:p>
    <w:p>
      <w:pPr>
        <w:ind w:left="380" w:right="300" w:hanging="372"/>
        <w:spacing w:after="0" w:line="263" w:lineRule="auto"/>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These certifications are being furnished solely to accompany this quarterly report pursuant to 18 U.S.C. Section 1350, and are not being filed for purposes of Section 18 of the Securities Exchange Act of 1934 and are not to be incorporated by reference into any filing of the registrant, whether made before or after the date hereof, regardless of any general incorporation language in such filing.</w:t>
      </w:r>
    </w:p>
    <w:p>
      <w:pPr>
        <w:spacing w:after="0" w:line="224" w:lineRule="exact"/>
        <w:rPr>
          <w:sz w:val="20"/>
          <w:szCs w:val="20"/>
          <w:color w:val="auto"/>
        </w:rPr>
      </w:pPr>
    </w:p>
    <w:p>
      <w:pPr>
        <w:ind w:left="380" w:hanging="372"/>
        <w:spacing w:after="0"/>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9" w:name="page30"/>
    <w:bookmarkEnd w:id="29"/>
    <w:p>
      <w:pPr>
        <w:jc w:val="center"/>
        <w:ind w:right="-2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MINERVA NEUROSCIENCES, INC.</w:t>
      </w:r>
    </w:p>
    <w:p>
      <w:pPr>
        <w:spacing w:after="0" w:line="252"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Geoffrey Race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5715</wp:posOffset>
            </wp:positionV>
            <wp:extent cx="284607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ind w:left="6760"/>
        <w:spacing w:after="0"/>
        <w:rPr>
          <w:sz w:val="20"/>
          <w:szCs w:val="20"/>
          <w:color w:val="auto"/>
        </w:rPr>
      </w:pPr>
      <w:r>
        <w:rPr>
          <w:rFonts w:ascii="Arial" w:cs="Arial" w:eastAsia="Arial" w:hAnsi="Arial"/>
          <w:sz w:val="18"/>
          <w:szCs w:val="18"/>
          <w:color w:val="auto"/>
        </w:rPr>
        <w:t>Geoffrey Race</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Financial Officer (Principal Financial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(On behalf of the Registrant)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2020</w:t>
      </w:r>
    </w:p>
    <w:p>
      <w:pPr>
        <w:spacing w:after="0" w:line="200" w:lineRule="exact"/>
        <w:rPr>
          <w:sz w:val="20"/>
          <w:szCs w:val="20"/>
          <w:color w:val="auto"/>
        </w:rPr>
      </w:pPr>
    </w:p>
    <w:p>
      <w:pPr>
        <w:spacing w:after="0" w:line="24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0"/>
          </w:cols>
          <w:pgMar w:left="320" w:top="337" w:right="579" w:bottom="1440" w:gutter="0" w:footer="0" w:header="0"/>
        </w:sectPr>
      </w:pPr>
    </w:p>
    <w:bookmarkStart w:id="30" w:name="page31"/>
    <w:bookmarkEnd w:id="30"/>
    <w:p>
      <w:pPr>
        <w:ind w:left="9880"/>
        <w:spacing w:after="0"/>
        <w:rPr>
          <w:sz w:val="20"/>
          <w:szCs w:val="20"/>
          <w:color w:val="auto"/>
        </w:rPr>
      </w:pPr>
      <w:r>
        <w:rPr>
          <w:rFonts w:ascii="Arial" w:cs="Arial" w:eastAsia="Arial" w:hAnsi="Arial"/>
          <w:sz w:val="22"/>
          <w:szCs w:val="22"/>
          <w:b w:val="1"/>
          <w:bCs w:val="1"/>
          <w:color w:val="auto"/>
        </w:rPr>
        <w:t>EXHIBIT 10.2</w:t>
      </w:r>
    </w:p>
    <w:p>
      <w:pPr>
        <w:spacing w:after="0" w:line="23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color w:val="0E0E0E"/>
        </w:rPr>
        <w:t>Certain information identified with brackets (“[***]”) has been excluded from this exhibit because it both (i) is not material and (ii) would be competitively harmful if publicly disclosed.</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CONFIDENTIAL SETTLEMENT AGREEMENT</w:t>
      </w:r>
    </w:p>
    <w:p>
      <w:pPr>
        <w:spacing w:after="0" w:line="200" w:lineRule="exact"/>
        <w:rPr>
          <w:sz w:val="20"/>
          <w:szCs w:val="20"/>
          <w:color w:val="auto"/>
        </w:rPr>
      </w:pPr>
    </w:p>
    <w:p>
      <w:pPr>
        <w:spacing w:after="0" w:line="216" w:lineRule="exact"/>
        <w:rPr>
          <w:sz w:val="20"/>
          <w:szCs w:val="20"/>
          <w:color w:val="auto"/>
        </w:rPr>
      </w:pPr>
    </w:p>
    <w:p>
      <w:pPr>
        <w:ind w:right="120" w:firstLine="864"/>
        <w:spacing w:after="0" w:line="243"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Janssen Pharmaceutica, N.V. (“</w:t>
      </w:r>
      <w:r>
        <w:rPr>
          <w:rFonts w:ascii="Arial" w:cs="Arial" w:eastAsia="Arial" w:hAnsi="Arial"/>
          <w:sz w:val="22"/>
          <w:szCs w:val="22"/>
          <w:b w:val="1"/>
          <w:bCs w:val="1"/>
          <w:color w:val="auto"/>
        </w:rPr>
        <w:t>Janssen</w:t>
      </w:r>
      <w:r>
        <w:rPr>
          <w:rFonts w:ascii="Arial" w:cs="Arial" w:eastAsia="Arial" w:hAnsi="Arial"/>
          <w:sz w:val="22"/>
          <w:szCs w:val="22"/>
          <w:color w:val="auto"/>
        </w:rPr>
        <w:t>”) and Minerva Neurosciences, Inc. (“</w:t>
      </w:r>
      <w:r>
        <w:rPr>
          <w:rFonts w:ascii="Arial" w:cs="Arial" w:eastAsia="Arial" w:hAnsi="Arial"/>
          <w:sz w:val="22"/>
          <w:szCs w:val="22"/>
          <w:b w:val="1"/>
          <w:bCs w:val="1"/>
          <w:color w:val="auto"/>
        </w:rPr>
        <w:t>Minerva</w:t>
      </w:r>
      <w:r>
        <w:rPr>
          <w:rFonts w:ascii="Arial" w:cs="Arial" w:eastAsia="Arial" w:hAnsi="Arial"/>
          <w:sz w:val="22"/>
          <w:szCs w:val="22"/>
          <w:color w:val="auto"/>
        </w:rPr>
        <w:t>”) are parties</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(together, the “Parties”) to a Co-Development and License Agreement, executed in February 2014 and the amendment thereto in June 2017 (together the </w:t>
      </w:r>
      <w:r>
        <w:rPr>
          <w:rFonts w:ascii="Arial" w:cs="Arial" w:eastAsia="Arial" w:hAnsi="Arial"/>
          <w:sz w:val="22"/>
          <w:szCs w:val="22"/>
          <w:b w:val="1"/>
          <w:bCs w:val="1"/>
          <w:color w:val="auto"/>
        </w:rPr>
        <w:t>“License Agreement</w:t>
      </w:r>
      <w:r>
        <w:rPr>
          <w:rFonts w:ascii="Arial" w:cs="Arial" w:eastAsia="Arial" w:hAnsi="Arial"/>
          <w:sz w:val="22"/>
          <w:szCs w:val="22"/>
          <w:color w:val="auto"/>
        </w:rPr>
        <w:t>”);</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21"/>
          <w:szCs w:val="21"/>
          <w:b w:val="1"/>
          <w:bCs w:val="1"/>
          <w:color w:val="auto"/>
        </w:rPr>
        <w:t xml:space="preserve">WHEREAS, </w:t>
      </w:r>
      <w:r>
        <w:rPr>
          <w:rFonts w:ascii="Arial" w:cs="Arial" w:eastAsia="Arial" w:hAnsi="Arial"/>
          <w:sz w:val="21"/>
          <w:szCs w:val="21"/>
          <w:color w:val="auto"/>
        </w:rPr>
        <w:t>Janssen commenced a Dispute against Minerva, as that term is used in the License Agreement;</w:t>
      </w:r>
    </w:p>
    <w:p>
      <w:pPr>
        <w:spacing w:after="0" w:line="218" w:lineRule="exact"/>
        <w:rPr>
          <w:sz w:val="20"/>
          <w:szCs w:val="20"/>
          <w:color w:val="auto"/>
        </w:rPr>
      </w:pPr>
    </w:p>
    <w:p>
      <w:pPr>
        <w:jc w:val="both"/>
        <w:ind w:right="460" w:firstLine="864"/>
        <w:spacing w:after="0" w:line="243"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the Parties engaged in a mediation of the Dispute on June 24, 2020 before [***];</w:t>
      </w:r>
      <w:r>
        <w:rPr>
          <w:rFonts w:ascii="Arial" w:cs="Arial" w:eastAsia="Arial" w:hAnsi="Arial"/>
          <w:sz w:val="22"/>
          <w:szCs w:val="22"/>
          <w:b w:val="1"/>
          <w:bCs w:val="1"/>
          <w:color w:val="auto"/>
        </w:rPr>
        <w:t xml:space="preserve"> WHEREAS, </w:t>
      </w:r>
      <w:r>
        <w:rPr>
          <w:rFonts w:ascii="Arial" w:cs="Arial" w:eastAsia="Arial" w:hAnsi="Arial"/>
          <w:sz w:val="22"/>
          <w:szCs w:val="22"/>
          <w:color w:val="auto"/>
        </w:rPr>
        <w:t>at the</w:t>
      </w:r>
      <w:r>
        <w:rPr>
          <w:rFonts w:ascii="Arial" w:cs="Arial" w:eastAsia="Arial" w:hAnsi="Arial"/>
          <w:sz w:val="22"/>
          <w:szCs w:val="22"/>
          <w:b w:val="1"/>
          <w:bCs w:val="1"/>
          <w:color w:val="auto"/>
        </w:rPr>
        <w:t xml:space="preserve"> </w:t>
      </w:r>
      <w:r>
        <w:rPr>
          <w:rFonts w:ascii="Arial" w:cs="Arial" w:eastAsia="Arial" w:hAnsi="Arial"/>
          <w:sz w:val="22"/>
          <w:szCs w:val="22"/>
          <w:color w:val="auto"/>
        </w:rPr>
        <w:t>mediation, the Parties reached an agreement in principle at the mediation, subject to and conditioned on the confirmation by Minerva of its acceptance of the terms on or before July 31, 2020;</w:t>
      </w:r>
    </w:p>
    <w:p>
      <w:pPr>
        <w:spacing w:after="0" w:line="177" w:lineRule="exact"/>
        <w:rPr>
          <w:sz w:val="20"/>
          <w:szCs w:val="20"/>
          <w:color w:val="auto"/>
        </w:rPr>
      </w:pPr>
    </w:p>
    <w:p>
      <w:pPr>
        <w:ind w:right="400" w:firstLine="864"/>
        <w:spacing w:after="0" w:line="256"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the Parties seek to memorialize the material and binding terms and conditions of the settlement of the</w:t>
      </w:r>
      <w:r>
        <w:rPr>
          <w:rFonts w:ascii="Arial" w:cs="Arial" w:eastAsia="Arial" w:hAnsi="Arial"/>
          <w:sz w:val="22"/>
          <w:szCs w:val="22"/>
          <w:b w:val="1"/>
          <w:bCs w:val="1"/>
          <w:color w:val="auto"/>
        </w:rPr>
        <w:t xml:space="preserve"> </w:t>
      </w:r>
      <w:r>
        <w:rPr>
          <w:rFonts w:ascii="Arial" w:cs="Arial" w:eastAsia="Arial" w:hAnsi="Arial"/>
          <w:sz w:val="22"/>
          <w:szCs w:val="22"/>
          <w:color w:val="auto"/>
        </w:rPr>
        <w:t>Dispute in this Term Sheet.</w:t>
      </w:r>
    </w:p>
    <w:p>
      <w:pPr>
        <w:spacing w:after="0" w:line="162" w:lineRule="exact"/>
        <w:rPr>
          <w:sz w:val="20"/>
          <w:szCs w:val="20"/>
          <w:color w:val="auto"/>
        </w:rPr>
      </w:pPr>
    </w:p>
    <w:p>
      <w:pPr>
        <w:ind w:right="20" w:firstLine="864"/>
        <w:spacing w:after="0" w:line="256"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above premises, and other good and valuable consideration, the</w:t>
      </w:r>
      <w:r>
        <w:rPr>
          <w:rFonts w:ascii="Arial" w:cs="Arial" w:eastAsia="Arial" w:hAnsi="Arial"/>
          <w:sz w:val="22"/>
          <w:szCs w:val="22"/>
          <w:b w:val="1"/>
          <w:bCs w:val="1"/>
          <w:color w:val="auto"/>
        </w:rPr>
        <w:t xml:space="preserve"> </w:t>
      </w:r>
      <w:r>
        <w:rPr>
          <w:rFonts w:ascii="Arial" w:cs="Arial" w:eastAsia="Arial" w:hAnsi="Arial"/>
          <w:sz w:val="22"/>
          <w:szCs w:val="22"/>
          <w:color w:val="auto"/>
        </w:rPr>
        <w:t>receipt and sufficiency of which is hereby acknowledged, the Parties hereby agree as follows:</w:t>
      </w:r>
    </w:p>
    <w:p>
      <w:pPr>
        <w:spacing w:after="0" w:line="162" w:lineRule="exact"/>
        <w:rPr>
          <w:sz w:val="20"/>
          <w:szCs w:val="20"/>
          <w:color w:val="auto"/>
        </w:rPr>
      </w:pPr>
    </w:p>
    <w:p>
      <w:pPr>
        <w:ind w:left="860" w:right="400" w:hanging="852"/>
        <w:spacing w:after="0" w:line="256" w:lineRule="auto"/>
        <w:tabs>
          <w:tab w:leader="none" w:pos="860" w:val="left"/>
        </w:tabs>
        <w:numPr>
          <w:ilvl w:val="0"/>
          <w:numId w:val="7"/>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Defined Terms: </w:t>
      </w:r>
      <w:r>
        <w:rPr>
          <w:rFonts w:ascii="Arial" w:cs="Arial" w:eastAsia="Arial" w:hAnsi="Arial"/>
          <w:sz w:val="22"/>
          <w:szCs w:val="22"/>
          <w:color w:val="auto"/>
        </w:rPr>
        <w:t>Unless otherwise defined herein, capitalized terms shall have the meanings ascribed thereto in the</w:t>
      </w:r>
      <w:r>
        <w:rPr>
          <w:rFonts w:ascii="Arial" w:cs="Arial" w:eastAsia="Arial" w:hAnsi="Arial"/>
          <w:sz w:val="22"/>
          <w:szCs w:val="22"/>
          <w:b w:val="1"/>
          <w:bCs w:val="1"/>
          <w:color w:val="auto"/>
        </w:rPr>
        <w:t xml:space="preserve"> </w:t>
      </w:r>
      <w:r>
        <w:rPr>
          <w:rFonts w:ascii="Arial" w:cs="Arial" w:eastAsia="Arial" w:hAnsi="Arial"/>
          <w:sz w:val="22"/>
          <w:szCs w:val="22"/>
          <w:color w:val="auto"/>
        </w:rPr>
        <w:t>License Agreement.</w:t>
      </w:r>
    </w:p>
    <w:p>
      <w:pPr>
        <w:spacing w:after="0" w:line="162" w:lineRule="exact"/>
        <w:rPr>
          <w:rFonts w:ascii="Arial" w:cs="Arial" w:eastAsia="Arial" w:hAnsi="Arial"/>
          <w:sz w:val="22"/>
          <w:szCs w:val="22"/>
          <w:b w:val="1"/>
          <w:bCs w:val="1"/>
          <w:color w:val="auto"/>
        </w:rPr>
      </w:pPr>
    </w:p>
    <w:p>
      <w:pPr>
        <w:ind w:left="860" w:hanging="852"/>
        <w:spacing w:after="0"/>
        <w:tabs>
          <w:tab w:leader="none" w:pos="860" w:val="left"/>
        </w:tabs>
        <w:numPr>
          <w:ilvl w:val="0"/>
          <w:numId w:val="7"/>
        </w:numPr>
        <w:rPr>
          <w:rFonts w:ascii="Arial" w:cs="Arial" w:eastAsia="Arial" w:hAnsi="Arial"/>
          <w:sz w:val="19"/>
          <w:szCs w:val="19"/>
          <w:b w:val="1"/>
          <w:bCs w:val="1"/>
          <w:color w:val="auto"/>
        </w:rPr>
      </w:pPr>
      <w:r>
        <w:rPr>
          <w:rFonts w:ascii="Arial" w:cs="Arial" w:eastAsia="Arial" w:hAnsi="Arial"/>
          <w:sz w:val="19"/>
          <w:szCs w:val="19"/>
          <w:b w:val="1"/>
          <w:bCs w:val="1"/>
          <w:color w:val="auto"/>
        </w:rPr>
        <w:t>Settlement Terms</w:t>
      </w:r>
      <w:r>
        <w:rPr>
          <w:rFonts w:ascii="Arial" w:cs="Arial" w:eastAsia="Arial" w:hAnsi="Arial"/>
          <w:sz w:val="19"/>
          <w:szCs w:val="19"/>
          <w:color w:val="auto"/>
        </w:rPr>
        <w:t>: Subject to the conditions set forth in Section 3 of this Term Sheet, the Parties agree as follows:</w:t>
      </w:r>
    </w:p>
    <w:p>
      <w:pPr>
        <w:spacing w:after="0" w:line="246" w:lineRule="exact"/>
        <w:rPr>
          <w:rFonts w:ascii="Arial" w:cs="Arial" w:eastAsia="Arial" w:hAnsi="Arial"/>
          <w:sz w:val="19"/>
          <w:szCs w:val="19"/>
          <w:b w:val="1"/>
          <w:bCs w:val="1"/>
          <w:color w:val="auto"/>
        </w:rPr>
      </w:pPr>
    </w:p>
    <w:p>
      <w:pPr>
        <w:ind w:left="1700" w:right="440" w:hanging="851"/>
        <w:spacing w:after="0" w:line="238" w:lineRule="auto"/>
        <w:rPr>
          <w:rFonts w:ascii="Arial" w:cs="Arial" w:eastAsia="Arial" w:hAnsi="Arial"/>
          <w:sz w:val="19"/>
          <w:szCs w:val="19"/>
          <w:b w:val="1"/>
          <w:bCs w:val="1"/>
          <w:color w:val="auto"/>
        </w:rPr>
      </w:pPr>
      <w:r>
        <w:rPr>
          <w:rFonts w:ascii="Arial" w:cs="Arial" w:eastAsia="Arial" w:hAnsi="Arial"/>
          <w:sz w:val="22"/>
          <w:szCs w:val="22"/>
          <w:color w:val="auto"/>
        </w:rPr>
        <w:t>2.1.On or before July 31, 2020, Minerva shall exercise its right to opt out of further joint Development of the Licensed Products, pursuant to Sections 3.10(g)(ii) and 11.5(a) of the License Agreement by sending to Janssen written notice of its decision to opt out in the form of the letter annexed hereto as Annex A (the “</w:t>
      </w:r>
      <w:r>
        <w:rPr>
          <w:rFonts w:ascii="Arial" w:cs="Arial" w:eastAsia="Arial" w:hAnsi="Arial"/>
          <w:sz w:val="22"/>
          <w:szCs w:val="22"/>
          <w:b w:val="1"/>
          <w:bCs w:val="1"/>
          <w:color w:val="auto"/>
        </w:rPr>
        <w:t>Opt-Out Notice</w:t>
      </w:r>
      <w:r>
        <w:rPr>
          <w:rFonts w:ascii="Arial" w:cs="Arial" w:eastAsia="Arial" w:hAnsi="Arial"/>
          <w:sz w:val="22"/>
          <w:szCs w:val="22"/>
          <w:color w:val="auto"/>
        </w:rPr>
        <w:t>”);</w:t>
      </w:r>
    </w:p>
    <w:p>
      <w:pPr>
        <w:spacing w:after="0" w:line="178" w:lineRule="exact"/>
        <w:rPr>
          <w:rFonts w:ascii="Arial" w:cs="Arial" w:eastAsia="Arial" w:hAnsi="Arial"/>
          <w:sz w:val="19"/>
          <w:szCs w:val="19"/>
          <w:b w:val="1"/>
          <w:bCs w:val="1"/>
          <w:color w:val="auto"/>
        </w:rPr>
      </w:pPr>
    </w:p>
    <w:p>
      <w:pPr>
        <w:ind w:left="1700" w:right="140" w:hanging="851"/>
        <w:spacing w:after="0" w:line="243" w:lineRule="auto"/>
        <w:rPr>
          <w:rFonts w:ascii="Arial" w:cs="Arial" w:eastAsia="Arial" w:hAnsi="Arial"/>
          <w:sz w:val="19"/>
          <w:szCs w:val="19"/>
          <w:b w:val="1"/>
          <w:bCs w:val="1"/>
          <w:color w:val="auto"/>
        </w:rPr>
      </w:pPr>
      <w:r>
        <w:rPr>
          <w:rFonts w:ascii="Arial" w:cs="Arial" w:eastAsia="Arial" w:hAnsi="Arial"/>
          <w:sz w:val="22"/>
          <w:szCs w:val="22"/>
          <w:color w:val="auto"/>
        </w:rPr>
        <w:t>2.2.This opt-out shall be deemed to have occurred and be effective as of October 2, 2019 (the “</w:t>
      </w:r>
      <w:r>
        <w:rPr>
          <w:rFonts w:ascii="Arial" w:cs="Arial" w:eastAsia="Arial" w:hAnsi="Arial"/>
          <w:sz w:val="22"/>
          <w:szCs w:val="22"/>
          <w:b w:val="1"/>
          <w:bCs w:val="1"/>
          <w:color w:val="auto"/>
        </w:rPr>
        <w:t>Opt-Out</w:t>
      </w:r>
      <w:r>
        <w:rPr>
          <w:rFonts w:ascii="Arial" w:cs="Arial" w:eastAsia="Arial" w:hAnsi="Arial"/>
          <w:sz w:val="22"/>
          <w:szCs w:val="22"/>
          <w:color w:val="auto"/>
        </w:rPr>
        <w:t xml:space="preserve"> </w:t>
      </w:r>
      <w:r>
        <w:rPr>
          <w:rFonts w:ascii="Arial" w:cs="Arial" w:eastAsia="Arial" w:hAnsi="Arial"/>
          <w:sz w:val="22"/>
          <w:szCs w:val="22"/>
          <w:b w:val="1"/>
          <w:bCs w:val="1"/>
          <w:color w:val="auto"/>
        </w:rPr>
        <w:t>Effective Date</w:t>
      </w:r>
      <w:r>
        <w:rPr>
          <w:rFonts w:ascii="Arial" w:cs="Arial" w:eastAsia="Arial" w:hAnsi="Arial"/>
          <w:sz w:val="22"/>
          <w:szCs w:val="22"/>
          <w:color w:val="auto"/>
        </w:rPr>
        <w:t>”), and the License Agreement is deemed to have been terminated as of the Opt-Out Effective</w:t>
      </w:r>
      <w:r>
        <w:rPr>
          <w:rFonts w:ascii="Arial" w:cs="Arial" w:eastAsia="Arial" w:hAnsi="Arial"/>
          <w:sz w:val="22"/>
          <w:szCs w:val="22"/>
          <w:b w:val="1"/>
          <w:bCs w:val="1"/>
          <w:color w:val="auto"/>
        </w:rPr>
        <w:t xml:space="preserve"> </w:t>
      </w:r>
      <w:r>
        <w:rPr>
          <w:rFonts w:ascii="Arial" w:cs="Arial" w:eastAsia="Arial" w:hAnsi="Arial"/>
          <w:sz w:val="22"/>
          <w:szCs w:val="22"/>
          <w:color w:val="auto"/>
        </w:rPr>
        <w:t>Date.</w:t>
      </w:r>
    </w:p>
    <w:p>
      <w:pPr>
        <w:spacing w:after="0" w:line="182" w:lineRule="exact"/>
        <w:rPr>
          <w:rFonts w:ascii="Arial" w:cs="Arial" w:eastAsia="Arial" w:hAnsi="Arial"/>
          <w:sz w:val="19"/>
          <w:szCs w:val="19"/>
          <w:b w:val="1"/>
          <w:bCs w:val="1"/>
          <w:color w:val="auto"/>
        </w:rPr>
      </w:pPr>
    </w:p>
    <w:p>
      <w:pPr>
        <w:ind w:left="1700" w:right="300" w:hanging="851"/>
        <w:spacing w:after="0" w:line="250" w:lineRule="auto"/>
        <w:rPr>
          <w:rFonts w:ascii="Arial" w:cs="Arial" w:eastAsia="Arial" w:hAnsi="Arial"/>
          <w:sz w:val="19"/>
          <w:szCs w:val="19"/>
          <w:b w:val="1"/>
          <w:bCs w:val="1"/>
          <w:color w:val="auto"/>
        </w:rPr>
      </w:pPr>
      <w:r>
        <w:rPr>
          <w:rFonts w:ascii="Arial" w:cs="Arial" w:eastAsia="Arial" w:hAnsi="Arial"/>
          <w:sz w:val="22"/>
          <w:szCs w:val="22"/>
          <w:color w:val="auto"/>
        </w:rPr>
        <w:t>2.3.The effects of termination set forth in Sections 11.6(a) and 11.6(b) of the License Agreement apply to such termination.</w:t>
      </w:r>
    </w:p>
    <w:p>
      <w:pPr>
        <w:spacing w:after="0" w:line="174" w:lineRule="exact"/>
        <w:rPr>
          <w:rFonts w:ascii="Arial" w:cs="Arial" w:eastAsia="Arial" w:hAnsi="Arial"/>
          <w:sz w:val="19"/>
          <w:szCs w:val="19"/>
          <w:b w:val="1"/>
          <w:bCs w:val="1"/>
          <w:color w:val="auto"/>
        </w:rPr>
      </w:pPr>
    </w:p>
    <w:p>
      <w:pPr>
        <w:ind w:left="1700" w:right="100" w:hanging="851"/>
        <w:spacing w:after="0" w:line="236" w:lineRule="auto"/>
        <w:rPr>
          <w:rFonts w:ascii="Arial" w:cs="Arial" w:eastAsia="Arial" w:hAnsi="Arial"/>
          <w:sz w:val="19"/>
          <w:szCs w:val="19"/>
          <w:b w:val="1"/>
          <w:bCs w:val="1"/>
          <w:color w:val="auto"/>
        </w:rPr>
      </w:pPr>
      <w:r>
        <w:rPr>
          <w:rFonts w:ascii="Arial" w:cs="Arial" w:eastAsia="Arial" w:hAnsi="Arial"/>
          <w:sz w:val="22"/>
          <w:szCs w:val="22"/>
          <w:color w:val="auto"/>
        </w:rPr>
        <w:t>2.4.In accordance with Section 11.6(c) of the License Agreement, all rights and obligations of the Parties under the License Agreement are deemed to have been terminated on the Opt-Out Effective Date except those that survive as expressly set forth in Sections 11.6 and 11.8 of the License Agreement, including without limitation Minerva’s right to receive royalties under Section 11.6(b)(iii) of the License Agreement, which the parties agree arise as of the Opt-Out Effective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338455</wp:posOffset>
            </wp:positionV>
            <wp:extent cx="714946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1" w:name="page32"/>
    <w:bookmarkEnd w:id="31"/>
    <w:p>
      <w:pPr>
        <w:ind w:left="1700"/>
        <w:spacing w:after="0"/>
        <w:rPr>
          <w:sz w:val="20"/>
          <w:szCs w:val="20"/>
          <w:color w:val="auto"/>
        </w:rPr>
      </w:pPr>
      <w:r>
        <w:rPr>
          <w:rFonts w:ascii="Arial" w:cs="Arial" w:eastAsia="Arial" w:hAnsi="Arial"/>
          <w:sz w:val="22"/>
          <w:szCs w:val="22"/>
          <w:color w:val="auto"/>
        </w:rPr>
        <w:t>Date.</w:t>
      </w:r>
    </w:p>
    <w:p>
      <w:pPr>
        <w:spacing w:after="0" w:line="206" w:lineRule="exact"/>
        <w:rPr>
          <w:sz w:val="20"/>
          <w:szCs w:val="20"/>
          <w:color w:val="auto"/>
        </w:rPr>
      </w:pPr>
    </w:p>
    <w:p>
      <w:pPr>
        <w:jc w:val="both"/>
        <w:ind w:left="1700" w:right="360" w:hanging="850"/>
        <w:spacing w:after="0" w:line="257" w:lineRule="auto"/>
        <w:tabs>
          <w:tab w:leader="none" w:pos="1680" w:val="left"/>
        </w:tabs>
        <w:rPr>
          <w:sz w:val="20"/>
          <w:szCs w:val="20"/>
          <w:color w:val="auto"/>
        </w:rPr>
      </w:pPr>
      <w:r>
        <w:rPr>
          <w:rFonts w:ascii="Arial" w:cs="Arial" w:eastAsia="Arial" w:hAnsi="Arial"/>
          <w:sz w:val="22"/>
          <w:szCs w:val="22"/>
          <w:color w:val="auto"/>
        </w:rPr>
        <w:t>2.5.</w:t>
      </w:r>
      <w:r>
        <w:rPr>
          <w:sz w:val="20"/>
          <w:szCs w:val="20"/>
          <w:color w:val="auto"/>
        </w:rPr>
        <w:tab/>
      </w:r>
      <w:r>
        <w:rPr>
          <w:rFonts w:ascii="Arial" w:cs="Arial" w:eastAsia="Arial" w:hAnsi="Arial"/>
          <w:sz w:val="21"/>
          <w:szCs w:val="21"/>
          <w:color w:val="auto"/>
        </w:rPr>
        <w:t>Each Party waives any payments owed to the other Party under the License Agreement as of the Opt-Out Effective Date. For clarity, no payment is due from Minerva to Janssen, or from Janssen to Minerva, with respect to Development Costs incurred after the Opt-Out Effective Date.</w:t>
      </w:r>
    </w:p>
    <w:p>
      <w:pPr>
        <w:spacing w:after="0" w:line="169" w:lineRule="exact"/>
        <w:rPr>
          <w:sz w:val="20"/>
          <w:szCs w:val="20"/>
          <w:color w:val="auto"/>
        </w:rPr>
      </w:pPr>
    </w:p>
    <w:p>
      <w:pPr>
        <w:jc w:val="center"/>
        <w:ind w:left="980" w:right="200"/>
        <w:spacing w:after="0" w:line="274" w:lineRule="auto"/>
        <w:rPr>
          <w:sz w:val="20"/>
          <w:szCs w:val="20"/>
          <w:color w:val="auto"/>
        </w:rPr>
      </w:pPr>
      <w:r>
        <w:rPr>
          <w:rFonts w:ascii="Arial" w:cs="Arial" w:eastAsia="Arial" w:hAnsi="Arial"/>
          <w:sz w:val="21"/>
          <w:szCs w:val="21"/>
          <w:color w:val="auto"/>
        </w:rPr>
        <w:t>2.6.     Upon the receipt by Janssen of the Opt-Out Notice, each Party releases the other Party of any and all claims existing as of the date of the Opt-Out Notice, including the Dispute, whether known or unknown.</w:t>
      </w:r>
    </w:p>
    <w:p>
      <w:pPr>
        <w:spacing w:after="0" w:line="145" w:lineRule="exact"/>
        <w:rPr>
          <w:sz w:val="20"/>
          <w:szCs w:val="20"/>
          <w:color w:val="auto"/>
        </w:rPr>
      </w:pPr>
    </w:p>
    <w:p>
      <w:pPr>
        <w:ind w:left="860" w:right="220" w:hanging="852"/>
        <w:spacing w:after="0" w:line="256" w:lineRule="auto"/>
        <w:tabs>
          <w:tab w:leader="none" w:pos="860" w:val="left"/>
        </w:tabs>
        <w:numPr>
          <w:ilvl w:val="0"/>
          <w:numId w:val="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Settlement Conditions: </w:t>
      </w:r>
      <w:r>
        <w:rPr>
          <w:rFonts w:ascii="Arial" w:cs="Arial" w:eastAsia="Arial" w:hAnsi="Arial"/>
          <w:sz w:val="22"/>
          <w:szCs w:val="22"/>
          <w:color w:val="auto"/>
        </w:rPr>
        <w:t>The settlement of the Dispute and the settlement terms recited in Section 2 and Section 4 of</w:t>
      </w:r>
      <w:r>
        <w:rPr>
          <w:rFonts w:ascii="Arial" w:cs="Arial" w:eastAsia="Arial" w:hAnsi="Arial"/>
          <w:sz w:val="22"/>
          <w:szCs w:val="22"/>
          <w:b w:val="1"/>
          <w:bCs w:val="1"/>
          <w:color w:val="auto"/>
        </w:rPr>
        <w:t xml:space="preserve"> </w:t>
      </w:r>
      <w:r>
        <w:rPr>
          <w:rFonts w:ascii="Arial" w:cs="Arial" w:eastAsia="Arial" w:hAnsi="Arial"/>
          <w:sz w:val="22"/>
          <w:szCs w:val="22"/>
          <w:color w:val="auto"/>
        </w:rPr>
        <w:t>this Term Sheet are subject to and conditioned on the following:</w:t>
      </w:r>
    </w:p>
    <w:p>
      <w:pPr>
        <w:spacing w:after="0" w:line="168" w:lineRule="exact"/>
        <w:rPr>
          <w:rFonts w:ascii="Arial" w:cs="Arial" w:eastAsia="Arial" w:hAnsi="Arial"/>
          <w:sz w:val="22"/>
          <w:szCs w:val="22"/>
          <w:b w:val="1"/>
          <w:bCs w:val="1"/>
          <w:color w:val="auto"/>
        </w:rPr>
      </w:pPr>
    </w:p>
    <w:p>
      <w:pPr>
        <w:ind w:left="1700" w:hanging="851"/>
        <w:spacing w:after="0" w:line="250" w:lineRule="auto"/>
        <w:rPr>
          <w:rFonts w:ascii="Arial" w:cs="Arial" w:eastAsia="Arial" w:hAnsi="Arial"/>
          <w:sz w:val="22"/>
          <w:szCs w:val="22"/>
          <w:b w:val="1"/>
          <w:bCs w:val="1"/>
          <w:color w:val="auto"/>
        </w:rPr>
      </w:pPr>
      <w:r>
        <w:rPr>
          <w:rFonts w:ascii="Arial" w:cs="Arial" w:eastAsia="Arial" w:hAnsi="Arial"/>
          <w:sz w:val="22"/>
          <w:szCs w:val="22"/>
          <w:color w:val="auto"/>
        </w:rPr>
        <w:t>3.1.On or before July 31, 2020, confirmation by Minerva in writing to Janssen and [***] that Minerva accepts the terms of this Term Sheet in settlement of this Dispute.</w:t>
      </w:r>
    </w:p>
    <w:p>
      <w:pPr>
        <w:spacing w:after="0" w:line="174" w:lineRule="exact"/>
        <w:rPr>
          <w:rFonts w:ascii="Arial" w:cs="Arial" w:eastAsia="Arial" w:hAnsi="Arial"/>
          <w:sz w:val="22"/>
          <w:szCs w:val="22"/>
          <w:b w:val="1"/>
          <w:bCs w:val="1"/>
          <w:color w:val="auto"/>
        </w:rPr>
      </w:pPr>
    </w:p>
    <w:p>
      <w:pPr>
        <w:ind w:left="860"/>
        <w:spacing w:after="0"/>
        <w:rPr>
          <w:rFonts w:ascii="Arial" w:cs="Arial" w:eastAsia="Arial" w:hAnsi="Arial"/>
          <w:sz w:val="22"/>
          <w:szCs w:val="22"/>
          <w:b w:val="1"/>
          <w:bCs w:val="1"/>
          <w:color w:val="auto"/>
        </w:rPr>
      </w:pPr>
      <w:r>
        <w:rPr>
          <w:rFonts w:ascii="Arial" w:cs="Arial" w:eastAsia="Arial" w:hAnsi="Arial"/>
          <w:sz w:val="22"/>
          <w:szCs w:val="22"/>
          <w:color w:val="auto"/>
        </w:rPr>
        <w:t>3.2.</w:t>
      </w:r>
      <w:r>
        <w:rPr>
          <w:rFonts w:ascii="Arial" w:cs="Arial" w:eastAsia="Arial" w:hAnsi="Arial"/>
          <w:sz w:val="19"/>
          <w:szCs w:val="19"/>
          <w:color w:val="auto"/>
        </w:rPr>
        <w:t>Each Party shall comply with the terms of this Term Sheet.</w:t>
      </w:r>
    </w:p>
    <w:p>
      <w:pPr>
        <w:spacing w:after="0" w:line="200" w:lineRule="exact"/>
        <w:rPr>
          <w:rFonts w:ascii="Arial" w:cs="Arial" w:eastAsia="Arial" w:hAnsi="Arial"/>
          <w:sz w:val="22"/>
          <w:szCs w:val="22"/>
          <w:b w:val="1"/>
          <w:bCs w:val="1"/>
          <w:color w:val="auto"/>
        </w:rPr>
      </w:pPr>
    </w:p>
    <w:p>
      <w:pPr>
        <w:ind w:left="860" w:right="20" w:hanging="852"/>
        <w:spacing w:after="0" w:line="239" w:lineRule="auto"/>
        <w:tabs>
          <w:tab w:leader="none" w:pos="860" w:val="left"/>
        </w:tabs>
        <w:numPr>
          <w:ilvl w:val="0"/>
          <w:numId w:val="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Waiver: </w:t>
      </w:r>
      <w:r>
        <w:rPr>
          <w:rFonts w:ascii="Arial" w:cs="Arial" w:eastAsia="Arial" w:hAnsi="Arial"/>
          <w:sz w:val="22"/>
          <w:szCs w:val="22"/>
          <w:color w:val="auto"/>
        </w:rPr>
        <w:t>Each Party hereby waives (i) any assertion that any Decision Point has not been met or achieved, (ii) any</w:t>
      </w:r>
      <w:r>
        <w:rPr>
          <w:rFonts w:ascii="Arial" w:cs="Arial" w:eastAsia="Arial" w:hAnsi="Arial"/>
          <w:sz w:val="22"/>
          <w:szCs w:val="22"/>
          <w:b w:val="1"/>
          <w:bCs w:val="1"/>
          <w:color w:val="auto"/>
        </w:rPr>
        <w:t xml:space="preserve"> </w:t>
      </w:r>
      <w:r>
        <w:rPr>
          <w:rFonts w:ascii="Arial" w:cs="Arial" w:eastAsia="Arial" w:hAnsi="Arial"/>
          <w:sz w:val="22"/>
          <w:szCs w:val="22"/>
          <w:color w:val="auto"/>
        </w:rPr>
        <w:t>requirement that Minerva’s opt-out occur after Decision Point 4 in order for Minerva to receive royalties following opt-out under Section 11.6(b) of the License Agreement, and (iii) the thirty-day notice requirement of Section 11.5(a) of the License Agreement.</w:t>
      </w:r>
    </w:p>
    <w:p>
      <w:pPr>
        <w:spacing w:after="0" w:line="180" w:lineRule="exact"/>
        <w:rPr>
          <w:rFonts w:ascii="Arial" w:cs="Arial" w:eastAsia="Arial" w:hAnsi="Arial"/>
          <w:sz w:val="22"/>
          <w:szCs w:val="22"/>
          <w:b w:val="1"/>
          <w:bCs w:val="1"/>
          <w:color w:val="auto"/>
        </w:rPr>
      </w:pPr>
    </w:p>
    <w:p>
      <w:pPr>
        <w:ind w:left="860" w:hanging="852"/>
        <w:spacing w:after="0" w:line="256" w:lineRule="auto"/>
        <w:tabs>
          <w:tab w:leader="none" w:pos="860" w:val="left"/>
        </w:tabs>
        <w:numPr>
          <w:ilvl w:val="0"/>
          <w:numId w:val="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Standstill Agreement: </w:t>
      </w:r>
      <w:r>
        <w:rPr>
          <w:rFonts w:ascii="Arial" w:cs="Arial" w:eastAsia="Arial" w:hAnsi="Arial"/>
          <w:sz w:val="22"/>
          <w:szCs w:val="22"/>
          <w:color w:val="auto"/>
        </w:rPr>
        <w:t>The parties agree that neither party will commence an arbitration or other proceeding regarding</w:t>
      </w:r>
      <w:r>
        <w:rPr>
          <w:rFonts w:ascii="Arial" w:cs="Arial" w:eastAsia="Arial" w:hAnsi="Arial"/>
          <w:sz w:val="22"/>
          <w:szCs w:val="22"/>
          <w:b w:val="1"/>
          <w:bCs w:val="1"/>
          <w:color w:val="auto"/>
        </w:rPr>
        <w:t xml:space="preserve"> </w:t>
      </w:r>
      <w:r>
        <w:rPr>
          <w:rFonts w:ascii="Arial" w:cs="Arial" w:eastAsia="Arial" w:hAnsi="Arial"/>
          <w:sz w:val="22"/>
          <w:szCs w:val="22"/>
          <w:color w:val="auto"/>
        </w:rPr>
        <w:t>the Dispute before August 1, 2020.</w:t>
      </w:r>
    </w:p>
    <w:p>
      <w:pPr>
        <w:spacing w:after="0" w:line="162" w:lineRule="exact"/>
        <w:rPr>
          <w:rFonts w:ascii="Arial" w:cs="Arial" w:eastAsia="Arial" w:hAnsi="Arial"/>
          <w:sz w:val="22"/>
          <w:szCs w:val="22"/>
          <w:b w:val="1"/>
          <w:bCs w:val="1"/>
          <w:color w:val="auto"/>
        </w:rPr>
      </w:pPr>
    </w:p>
    <w:p>
      <w:pPr>
        <w:ind w:left="860" w:right="260" w:hanging="852"/>
        <w:spacing w:after="0" w:line="256" w:lineRule="auto"/>
        <w:tabs>
          <w:tab w:leader="none" w:pos="860" w:val="left"/>
        </w:tabs>
        <w:numPr>
          <w:ilvl w:val="0"/>
          <w:numId w:val="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Non-Disclosure Agreement: </w:t>
      </w:r>
      <w:r>
        <w:rPr>
          <w:rFonts w:ascii="Arial" w:cs="Arial" w:eastAsia="Arial" w:hAnsi="Arial"/>
          <w:sz w:val="22"/>
          <w:szCs w:val="22"/>
          <w:color w:val="auto"/>
        </w:rPr>
        <w:t>Each Party agrees that it shall not disclose the existence or terms of this Term Sheet to</w:t>
      </w:r>
      <w:r>
        <w:rPr>
          <w:rFonts w:ascii="Arial" w:cs="Arial" w:eastAsia="Arial" w:hAnsi="Arial"/>
          <w:sz w:val="22"/>
          <w:szCs w:val="22"/>
          <w:b w:val="1"/>
          <w:bCs w:val="1"/>
          <w:color w:val="auto"/>
        </w:rPr>
        <w:t xml:space="preserve"> </w:t>
      </w:r>
      <w:r>
        <w:rPr>
          <w:rFonts w:ascii="Arial" w:cs="Arial" w:eastAsia="Arial" w:hAnsi="Arial"/>
          <w:sz w:val="22"/>
          <w:szCs w:val="22"/>
          <w:color w:val="auto"/>
        </w:rPr>
        <w:t>any third party, except as required by law.</w:t>
      </w:r>
    </w:p>
    <w:p>
      <w:pPr>
        <w:spacing w:after="0" w:line="162" w:lineRule="exact"/>
        <w:rPr>
          <w:rFonts w:ascii="Arial" w:cs="Arial" w:eastAsia="Arial" w:hAnsi="Arial"/>
          <w:sz w:val="22"/>
          <w:szCs w:val="22"/>
          <w:b w:val="1"/>
          <w:bCs w:val="1"/>
          <w:color w:val="auto"/>
        </w:rPr>
      </w:pPr>
    </w:p>
    <w:p>
      <w:pPr>
        <w:ind w:left="860" w:right="40" w:hanging="852"/>
        <w:spacing w:after="0" w:line="237" w:lineRule="auto"/>
        <w:tabs>
          <w:tab w:leader="none" w:pos="860" w:val="left"/>
        </w:tabs>
        <w:numPr>
          <w:ilvl w:val="0"/>
          <w:numId w:val="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Governing Law; Service of Process: </w:t>
      </w:r>
      <w:r>
        <w:rPr>
          <w:rFonts w:ascii="Arial" w:cs="Arial" w:eastAsia="Arial" w:hAnsi="Arial"/>
          <w:sz w:val="22"/>
          <w:szCs w:val="22"/>
          <w:color w:val="auto"/>
        </w:rPr>
        <w:t>This Term Sheet shall be governed by and construed under the substantive laws</w:t>
      </w:r>
      <w:r>
        <w:rPr>
          <w:rFonts w:ascii="Arial" w:cs="Arial" w:eastAsia="Arial" w:hAnsi="Arial"/>
          <w:sz w:val="22"/>
          <w:szCs w:val="22"/>
          <w:b w:val="1"/>
          <w:bCs w:val="1"/>
          <w:color w:val="auto"/>
        </w:rPr>
        <w:t xml:space="preserve"> </w:t>
      </w:r>
      <w:r>
        <w:rPr>
          <w:rFonts w:ascii="Arial" w:cs="Arial" w:eastAsia="Arial" w:hAnsi="Arial"/>
          <w:sz w:val="22"/>
          <w:szCs w:val="22"/>
          <w:color w:val="auto"/>
        </w:rPr>
        <w:t>of the State of New York, without regard to conflicts of law or choice of law rules that would provide for application of the law of a jurisdiction outside New York. The Parties agree that service of process upon them in any legal action may be made if delivered in person, by courier service, by telegram, by facsimile or by first class mail, and shall be deemed effectively given upon receipt.</w:t>
      </w:r>
    </w:p>
    <w:p>
      <w:pPr>
        <w:spacing w:after="0" w:line="188"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IN WITNESS WHEREOF, and intending to be legally bound, the Parties hereto have caused this Term Sheet to be executed as of the date set forth below.</w:t>
      </w:r>
    </w:p>
    <w:p>
      <w:pPr>
        <w:spacing w:after="0" w:line="175" w:lineRule="exact"/>
        <w:rPr>
          <w:sz w:val="20"/>
          <w:szCs w:val="20"/>
          <w:color w:val="auto"/>
        </w:rPr>
      </w:pPr>
    </w:p>
    <w:p>
      <w:pPr>
        <w:spacing w:after="0"/>
        <w:tabs>
          <w:tab w:leader="none" w:pos="1260" w:val="left"/>
        </w:tabs>
        <w:rPr>
          <w:sz w:val="20"/>
          <w:szCs w:val="20"/>
          <w:color w:val="auto"/>
        </w:rPr>
      </w:pPr>
      <w:r>
        <w:rPr>
          <w:rFonts w:ascii="Arial" w:cs="Arial" w:eastAsia="Arial" w:hAnsi="Arial"/>
          <w:sz w:val="22"/>
          <w:szCs w:val="22"/>
          <w:color w:val="auto"/>
        </w:rPr>
        <w:t>Dated:</w:t>
      </w:r>
      <w:r>
        <w:rPr>
          <w:sz w:val="20"/>
          <w:szCs w:val="20"/>
          <w:color w:val="auto"/>
        </w:rPr>
        <w:tab/>
      </w:r>
      <w:r>
        <w:rPr>
          <w:rFonts w:ascii="Arial" w:cs="Arial" w:eastAsia="Arial" w:hAnsi="Arial"/>
          <w:sz w:val="22"/>
          <w:szCs w:val="22"/>
          <w:color w:val="auto"/>
        </w:rPr>
        <w:t>June 24, 2020</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0" w:right="359" w:bottom="1440" w:gutter="0" w:footer="0" w:header="0"/>
        </w:sectPr>
      </w:pPr>
    </w:p>
    <w:bookmarkStart w:id="32" w:name="page33"/>
    <w:bookmarkEnd w:id="32"/>
    <w:p>
      <w:pPr>
        <w:spacing w:after="0"/>
        <w:rPr>
          <w:sz w:val="20"/>
          <w:szCs w:val="20"/>
          <w:color w:val="auto"/>
        </w:rPr>
      </w:pPr>
      <w:r>
        <w:rPr>
          <w:rFonts w:ascii="Arial" w:cs="Arial" w:eastAsia="Arial" w:hAnsi="Arial"/>
          <w:sz w:val="22"/>
          <w:szCs w:val="22"/>
          <w:color w:val="auto"/>
        </w:rPr>
        <w:t>ACKNOWLEDGED AND AGREED:</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MINERVA NEUROSCIENCES, INC.</w:t>
      </w:r>
    </w:p>
    <w:p>
      <w:pPr>
        <w:spacing w:after="0" w:line="169" w:lineRule="exact"/>
        <w:rPr>
          <w:sz w:val="20"/>
          <w:szCs w:val="20"/>
          <w:color w:val="auto"/>
        </w:rPr>
      </w:pPr>
    </w:p>
    <w:p>
      <w:pPr>
        <w:spacing w:after="0"/>
        <w:tabs>
          <w:tab w:leader="none" w:pos="9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0"/>
          <w:szCs w:val="20"/>
          <w:color w:val="auto"/>
        </w:rPr>
        <w:t>/Remy Luthringer/</w:t>
      </w:r>
    </w:p>
    <w:p>
      <w:pPr>
        <w:spacing w:after="0" w:line="8" w:lineRule="exact"/>
        <w:rPr>
          <w:sz w:val="20"/>
          <w:szCs w:val="20"/>
          <w:color w:val="auto"/>
        </w:rPr>
      </w:pPr>
    </w:p>
    <w:p>
      <w:pPr>
        <w:spacing w:after="0"/>
        <w:tabs>
          <w:tab w:leader="none" w:pos="94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20"/>
          <w:szCs w:val="20"/>
          <w:color w:val="auto"/>
        </w:rPr>
        <w:t>Remy Luthringer</w:t>
      </w:r>
    </w:p>
    <w:p>
      <w:pPr>
        <w:spacing w:after="0" w:line="11" w:lineRule="exact"/>
        <w:rPr>
          <w:sz w:val="20"/>
          <w:szCs w:val="20"/>
          <w:color w:val="auto"/>
        </w:rPr>
      </w:pPr>
    </w:p>
    <w:p>
      <w:pPr>
        <w:spacing w:after="0"/>
        <w:tabs>
          <w:tab w:leader="none" w:pos="9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0"/>
          <w:szCs w:val="20"/>
          <w:color w:val="auto"/>
        </w:rPr>
        <w:t>Chairman and CEO</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color w:val="auto"/>
        </w:rPr>
        <w:t>ACKNOWLEDGED AND AGREED:</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JANSSEN PHARMACEUTICA, NV</w:t>
      </w:r>
    </w:p>
    <w:p>
      <w:pPr>
        <w:spacing w:after="0" w:line="169" w:lineRule="exact"/>
        <w:rPr>
          <w:sz w:val="20"/>
          <w:szCs w:val="20"/>
          <w:color w:val="auto"/>
        </w:rPr>
      </w:pPr>
    </w:p>
    <w:p>
      <w:pPr>
        <w:spacing w:after="0"/>
        <w:tabs>
          <w:tab w:leader="none" w:pos="9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0"/>
          <w:szCs w:val="20"/>
          <w:color w:val="auto"/>
        </w:rPr>
        <w:t>/Lucinda Warren/</w:t>
      </w:r>
    </w:p>
    <w:p>
      <w:pPr>
        <w:spacing w:after="0" w:line="8" w:lineRule="exact"/>
        <w:rPr>
          <w:sz w:val="20"/>
          <w:szCs w:val="20"/>
          <w:color w:val="auto"/>
        </w:rPr>
      </w:pPr>
    </w:p>
    <w:p>
      <w:pPr>
        <w:spacing w:after="0"/>
        <w:tabs>
          <w:tab w:leader="none" w:pos="94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20"/>
          <w:szCs w:val="20"/>
          <w:color w:val="auto"/>
        </w:rPr>
        <w:t>Lucinda Warren</w:t>
      </w:r>
    </w:p>
    <w:p>
      <w:pPr>
        <w:spacing w:after="0" w:line="11" w:lineRule="exact"/>
        <w:rPr>
          <w:sz w:val="20"/>
          <w:szCs w:val="20"/>
          <w:color w:val="auto"/>
        </w:rPr>
      </w:pPr>
    </w:p>
    <w:p>
      <w:pPr>
        <w:spacing w:after="0"/>
        <w:tabs>
          <w:tab w:leader="none" w:pos="9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0"/>
          <w:szCs w:val="20"/>
          <w:color w:val="auto"/>
        </w:rPr>
        <w:t>VP Business Development, Neuroscience</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ind w:right="445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39"/>
          </w:cols>
          <w:pgMar w:left="320" w:top="334" w:right="1440" w:bottom="1440" w:gutter="0" w:footer="0" w:header="0"/>
        </w:sectPr>
      </w:pPr>
    </w:p>
    <w:bookmarkStart w:id="33" w:name="page34"/>
    <w:bookmarkEnd w:id="33"/>
    <w:p>
      <w:pPr>
        <w:spacing w:after="0"/>
        <w:rPr>
          <w:sz w:val="20"/>
          <w:szCs w:val="20"/>
          <w:color w:val="auto"/>
        </w:rPr>
      </w:pPr>
      <w:r>
        <w:rPr>
          <w:rFonts w:ascii="Arial" w:cs="Arial" w:eastAsia="Arial" w:hAnsi="Arial"/>
          <w:sz w:val="22"/>
          <w:szCs w:val="22"/>
          <w:b w:val="1"/>
          <w:bCs w:val="1"/>
          <w:color w:val="auto"/>
        </w:rPr>
        <w:t>ANNEX A</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___ __, 2020</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Janssen Pharmaceutica, N.V.</w:t>
      </w:r>
    </w:p>
    <w:p>
      <w:pPr>
        <w:spacing w:after="0" w:line="238" w:lineRule="auto"/>
        <w:rPr>
          <w:sz w:val="20"/>
          <w:szCs w:val="20"/>
          <w:color w:val="auto"/>
        </w:rPr>
      </w:pPr>
      <w:r>
        <w:rPr>
          <w:rFonts w:ascii="Arial" w:cs="Arial" w:eastAsia="Arial" w:hAnsi="Arial"/>
          <w:sz w:val="22"/>
          <w:szCs w:val="22"/>
          <w:color w:val="auto"/>
        </w:rPr>
        <w:t>Turnhoutsewg 30, 2340</w:t>
      </w:r>
    </w:p>
    <w:p>
      <w:pPr>
        <w:spacing w:after="0" w:line="230" w:lineRule="auto"/>
        <w:rPr>
          <w:sz w:val="20"/>
          <w:szCs w:val="20"/>
          <w:color w:val="auto"/>
        </w:rPr>
      </w:pPr>
      <w:r>
        <w:rPr>
          <w:rFonts w:ascii="Arial" w:cs="Arial" w:eastAsia="Arial" w:hAnsi="Arial"/>
          <w:sz w:val="22"/>
          <w:szCs w:val="22"/>
          <w:color w:val="auto"/>
        </w:rPr>
        <w:t>Beerse, Belgium</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Attention: Chairman and Managing Director</w:t>
      </w:r>
    </w:p>
    <w:p>
      <w:pPr>
        <w:spacing w:after="0" w:line="188" w:lineRule="exact"/>
        <w:rPr>
          <w:sz w:val="20"/>
          <w:szCs w:val="20"/>
          <w:color w:val="auto"/>
        </w:rPr>
      </w:pPr>
    </w:p>
    <w:p>
      <w:pPr>
        <w:jc w:val="both"/>
        <w:ind w:right="200"/>
        <w:spacing w:after="0"/>
        <w:rPr>
          <w:sz w:val="20"/>
          <w:szCs w:val="20"/>
          <w:color w:val="auto"/>
        </w:rPr>
      </w:pPr>
      <w:r>
        <w:rPr>
          <w:rFonts w:ascii="Arial" w:cs="Arial" w:eastAsia="Arial" w:hAnsi="Arial"/>
          <w:sz w:val="22"/>
          <w:szCs w:val="22"/>
          <w:b w:val="1"/>
          <w:bCs w:val="1"/>
          <w:i w:val="1"/>
          <w:iCs w:val="1"/>
          <w:color w:val="auto"/>
        </w:rPr>
        <w:t>Re: Exercise of Opt-Out pursuant to Co-Development and License Agreement by and between Janssen Pharmaceutica, N.V. (“Janssen”) and Minerva Neurosciences, Inc. (“Minerva”) dated as of February 13, 2014 and amended as of June 13, 2017 (the “License Agreement”)</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Dear Sir:</w:t>
      </w:r>
    </w:p>
    <w:p>
      <w:pPr>
        <w:spacing w:after="0" w:line="206" w:lineRule="exact"/>
        <w:rPr>
          <w:sz w:val="20"/>
          <w:szCs w:val="20"/>
          <w:color w:val="auto"/>
        </w:rPr>
      </w:pPr>
    </w:p>
    <w:p>
      <w:pPr>
        <w:ind w:right="180"/>
        <w:spacing w:after="0" w:line="250" w:lineRule="auto"/>
        <w:rPr>
          <w:sz w:val="20"/>
          <w:szCs w:val="20"/>
          <w:color w:val="auto"/>
        </w:rPr>
      </w:pPr>
      <w:r>
        <w:rPr>
          <w:rFonts w:ascii="Arial" w:cs="Arial" w:eastAsia="Arial" w:hAnsi="Arial"/>
          <w:sz w:val="22"/>
          <w:szCs w:val="22"/>
          <w:color w:val="auto"/>
        </w:rPr>
        <w:t>Pursuant to Sections 3.10(g)(ii) and 11.5(a) of the License Agreement, Minerva hereby notifies Janssen that it exercises its right to opt out of further joint Development of the Licensed Products.</w:t>
      </w:r>
    </w:p>
    <w:p>
      <w:pPr>
        <w:spacing w:after="0" w:line="175" w:lineRule="exact"/>
        <w:rPr>
          <w:sz w:val="20"/>
          <w:szCs w:val="20"/>
          <w:color w:val="auto"/>
        </w:rPr>
      </w:pPr>
    </w:p>
    <w:p>
      <w:pPr>
        <w:ind w:right="200"/>
        <w:spacing w:after="0" w:line="250" w:lineRule="auto"/>
        <w:rPr>
          <w:sz w:val="20"/>
          <w:szCs w:val="20"/>
          <w:color w:val="auto"/>
        </w:rPr>
      </w:pPr>
      <w:r>
        <w:rPr>
          <w:rFonts w:ascii="Arial" w:cs="Arial" w:eastAsia="Arial" w:hAnsi="Arial"/>
          <w:sz w:val="22"/>
          <w:szCs w:val="22"/>
          <w:color w:val="auto"/>
        </w:rPr>
        <w:t>This opt-out notice is deemed to have occurred and be effective as of October 2, 2019, and the License Agreement is deemed to have been terminated as of such date.</w:t>
      </w:r>
    </w:p>
    <w:p>
      <w:pPr>
        <w:spacing w:after="0" w:line="175" w:lineRule="exact"/>
        <w:rPr>
          <w:sz w:val="20"/>
          <w:szCs w:val="20"/>
          <w:color w:val="auto"/>
        </w:rPr>
      </w:pPr>
    </w:p>
    <w:p>
      <w:pPr>
        <w:spacing w:after="0"/>
        <w:rPr>
          <w:sz w:val="20"/>
          <w:szCs w:val="20"/>
          <w:color w:val="auto"/>
        </w:rPr>
      </w:pPr>
      <w:r>
        <w:rPr>
          <w:rFonts w:ascii="Arial" w:cs="Arial" w:eastAsia="Arial" w:hAnsi="Arial"/>
          <w:sz w:val="19"/>
          <w:szCs w:val="19"/>
          <w:color w:val="auto"/>
        </w:rPr>
        <w:t>Capitalized terms used herein but not otherwise defined shall have the meaning ascribed to such terms in the License Agreement.</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color w:val="auto"/>
        </w:rPr>
        <w:t>Regards,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MINERVA NEUROSCIENCES, INC.</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wp:posOffset>
            </wp:positionH>
            <wp:positionV relativeFrom="paragraph">
              <wp:posOffset>6985</wp:posOffset>
            </wp:positionV>
            <wp:extent cx="311150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wp:posOffset>
            </wp:positionH>
            <wp:positionV relativeFrom="paragraph">
              <wp:posOffset>-3175</wp:posOffset>
            </wp:positionV>
            <wp:extent cx="31115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3111500" cy="889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wp:posOffset>
            </wp:positionH>
            <wp:positionV relativeFrom="paragraph">
              <wp:posOffset>-3175</wp:posOffset>
            </wp:positionV>
            <wp:extent cx="311150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color w:val="auto"/>
        </w:rPr>
        <w:t>Cc:  Johnson &amp; Johnson</w:t>
      </w:r>
    </w:p>
    <w:p>
      <w:pPr>
        <w:ind w:left="460"/>
        <w:spacing w:after="0" w:line="238" w:lineRule="auto"/>
        <w:rPr>
          <w:sz w:val="20"/>
          <w:szCs w:val="20"/>
          <w:color w:val="auto"/>
        </w:rPr>
      </w:pPr>
      <w:r>
        <w:rPr>
          <w:rFonts w:ascii="Arial" w:cs="Arial" w:eastAsia="Arial" w:hAnsi="Arial"/>
          <w:sz w:val="22"/>
          <w:szCs w:val="22"/>
          <w:color w:val="auto"/>
        </w:rPr>
        <w:t>1 Johnson &amp; Johnson Plaza</w:t>
      </w:r>
    </w:p>
    <w:p>
      <w:pPr>
        <w:ind w:left="460"/>
        <w:spacing w:after="0" w:line="230" w:lineRule="auto"/>
        <w:rPr>
          <w:sz w:val="20"/>
          <w:szCs w:val="20"/>
          <w:color w:val="auto"/>
        </w:rPr>
      </w:pPr>
      <w:r>
        <w:rPr>
          <w:rFonts w:ascii="Arial" w:cs="Arial" w:eastAsia="Arial" w:hAnsi="Arial"/>
          <w:sz w:val="22"/>
          <w:szCs w:val="22"/>
          <w:color w:val="auto"/>
        </w:rPr>
        <w:t>New Brunswick, NJ 08933</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22"/>
          <w:szCs w:val="22"/>
          <w:color w:val="auto"/>
        </w:rPr>
        <w:t>Attn: Chief Intellectual Property Counsel</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Janssen Pharmaceutica, N.V.</w:t>
      </w:r>
    </w:p>
    <w:p>
      <w:pPr>
        <w:ind w:left="460"/>
        <w:spacing w:after="0" w:line="238" w:lineRule="auto"/>
        <w:rPr>
          <w:sz w:val="20"/>
          <w:szCs w:val="20"/>
          <w:color w:val="auto"/>
        </w:rPr>
      </w:pPr>
      <w:r>
        <w:rPr>
          <w:rFonts w:ascii="Arial" w:cs="Arial" w:eastAsia="Arial" w:hAnsi="Arial"/>
          <w:sz w:val="22"/>
          <w:szCs w:val="22"/>
          <w:color w:val="auto"/>
        </w:rPr>
        <w:t>Turnhoutseweg 30</w:t>
      </w:r>
    </w:p>
    <w:p>
      <w:pPr>
        <w:ind w:left="460"/>
        <w:spacing w:after="0" w:line="230" w:lineRule="auto"/>
        <w:rPr>
          <w:sz w:val="20"/>
          <w:szCs w:val="20"/>
          <w:color w:val="auto"/>
        </w:rPr>
      </w:pPr>
      <w:r>
        <w:rPr>
          <w:rFonts w:ascii="Arial" w:cs="Arial" w:eastAsia="Arial" w:hAnsi="Arial"/>
          <w:sz w:val="22"/>
          <w:szCs w:val="22"/>
          <w:color w:val="auto"/>
        </w:rPr>
        <w:t>2340 Beerse, Belgium</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22"/>
          <w:szCs w:val="22"/>
          <w:color w:val="auto"/>
        </w:rPr>
        <w:t>Attention: Royalty Group</w:t>
      </w:r>
    </w:p>
    <w:p>
      <w:pPr>
        <w:sectPr>
          <w:pgSz w:w="11900" w:h="16838" w:orient="portrait"/>
          <w:cols w:equalWidth="0" w:num="1">
            <w:col w:w="11240"/>
          </w:cols>
          <w:pgMar w:left="320" w:top="328"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22"/>
          <w:szCs w:val="22"/>
          <w:b w:val="1"/>
          <w:bCs w:val="1"/>
          <w:color w:val="auto"/>
        </w:rPr>
        <w:t>EXHIBIT 10.3</w:t>
      </w:r>
    </w:p>
    <w:p>
      <w:pPr>
        <w:spacing w:after="0" w:line="211" w:lineRule="exact"/>
        <w:rPr>
          <w:sz w:val="20"/>
          <w:szCs w:val="20"/>
          <w:color w:val="auto"/>
        </w:rPr>
      </w:pPr>
    </w:p>
    <w:p>
      <w:pPr>
        <w:jc w:val="center"/>
        <w:ind w:right="1100"/>
        <w:spacing w:after="0"/>
        <w:rPr>
          <w:sz w:val="20"/>
          <w:szCs w:val="20"/>
          <w:color w:val="auto"/>
        </w:rPr>
      </w:pPr>
      <w:r>
        <w:rPr>
          <w:rFonts w:ascii="Arial" w:cs="Arial" w:eastAsia="Arial" w:hAnsi="Arial"/>
          <w:sz w:val="25"/>
          <w:szCs w:val="25"/>
          <w:b w:val="1"/>
          <w:bCs w:val="1"/>
          <w:color w:val="auto"/>
        </w:rPr>
        <w:t>M</w:t>
      </w:r>
      <w:r>
        <w:rPr>
          <w:rFonts w:ascii="Arial" w:cs="Arial" w:eastAsia="Arial" w:hAnsi="Arial"/>
          <w:sz w:val="17"/>
          <w:szCs w:val="17"/>
          <w:b w:val="1"/>
          <w:bCs w:val="1"/>
          <w:color w:val="auto"/>
        </w:rPr>
        <w:t>INERVA</w:t>
      </w:r>
      <w:r>
        <w:rPr>
          <w:rFonts w:ascii="Arial" w:cs="Arial" w:eastAsia="Arial" w:hAnsi="Arial"/>
          <w:sz w:val="25"/>
          <w:szCs w:val="25"/>
          <w:b w:val="1"/>
          <w:bCs w:val="1"/>
          <w:color w:val="auto"/>
        </w:rPr>
        <w:t xml:space="preserve"> N</w:t>
      </w:r>
      <w:r>
        <w:rPr>
          <w:rFonts w:ascii="Arial" w:cs="Arial" w:eastAsia="Arial" w:hAnsi="Arial"/>
          <w:sz w:val="17"/>
          <w:szCs w:val="17"/>
          <w:b w:val="1"/>
          <w:bCs w:val="1"/>
          <w:color w:val="auto"/>
        </w:rPr>
        <w:t>EUROSCIENCES</w:t>
      </w:r>
      <w:r>
        <w:rPr>
          <w:rFonts w:ascii="Arial" w:cs="Arial" w:eastAsia="Arial" w:hAnsi="Arial"/>
          <w:sz w:val="25"/>
          <w:szCs w:val="25"/>
          <w:b w:val="1"/>
          <w:bCs w:val="1"/>
          <w:color w:val="auto"/>
        </w:rPr>
        <w:t>, I</w:t>
      </w:r>
      <w:r>
        <w:rPr>
          <w:rFonts w:ascii="Arial" w:cs="Arial" w:eastAsia="Arial" w:hAnsi="Arial"/>
          <w:sz w:val="17"/>
          <w:szCs w:val="17"/>
          <w:b w:val="1"/>
          <w:bCs w:val="1"/>
          <w:color w:val="auto"/>
        </w:rPr>
        <w:t>NC</w:t>
      </w:r>
      <w:r>
        <w:rPr>
          <w:rFonts w:ascii="Arial" w:cs="Arial" w:eastAsia="Arial" w:hAnsi="Arial"/>
          <w:sz w:val="25"/>
          <w:szCs w:val="25"/>
          <w:b w:val="1"/>
          <w:bCs w:val="1"/>
          <w:color w:val="auto"/>
        </w:rPr>
        <w:t>.</w:t>
      </w:r>
    </w:p>
    <w:p>
      <w:pPr>
        <w:spacing w:after="0" w:line="38" w:lineRule="exact"/>
        <w:rPr>
          <w:sz w:val="20"/>
          <w:szCs w:val="20"/>
          <w:color w:val="auto"/>
        </w:rPr>
      </w:pPr>
    </w:p>
    <w:p>
      <w:pPr>
        <w:jc w:val="center"/>
        <w:ind w:right="1100"/>
        <w:spacing w:after="0"/>
        <w:rPr>
          <w:sz w:val="20"/>
          <w:szCs w:val="20"/>
          <w:color w:val="auto"/>
        </w:rPr>
      </w:pPr>
      <w:r>
        <w:rPr>
          <w:rFonts w:ascii="Arial" w:cs="Arial" w:eastAsia="Arial" w:hAnsi="Arial"/>
          <w:sz w:val="25"/>
          <w:szCs w:val="25"/>
          <w:b w:val="1"/>
          <w:bCs w:val="1"/>
          <w:color w:val="auto"/>
        </w:rPr>
        <w:t>A</w:t>
      </w:r>
      <w:r>
        <w:rPr>
          <w:rFonts w:ascii="Arial" w:cs="Arial" w:eastAsia="Arial" w:hAnsi="Arial"/>
          <w:sz w:val="17"/>
          <w:szCs w:val="17"/>
          <w:b w:val="1"/>
          <w:bCs w:val="1"/>
          <w:color w:val="auto"/>
        </w:rPr>
        <w:t>MENDED AND</w:t>
      </w:r>
      <w:r>
        <w:rPr>
          <w:rFonts w:ascii="Arial" w:cs="Arial" w:eastAsia="Arial" w:hAnsi="Arial"/>
          <w:sz w:val="25"/>
          <w:szCs w:val="25"/>
          <w:b w:val="1"/>
          <w:bCs w:val="1"/>
          <w:color w:val="auto"/>
        </w:rPr>
        <w:t xml:space="preserve"> R</w:t>
      </w:r>
      <w:r>
        <w:rPr>
          <w:rFonts w:ascii="Arial" w:cs="Arial" w:eastAsia="Arial" w:hAnsi="Arial"/>
          <w:sz w:val="17"/>
          <w:szCs w:val="17"/>
          <w:b w:val="1"/>
          <w:bCs w:val="1"/>
          <w:color w:val="auto"/>
        </w:rPr>
        <w:t>ESTATED</w:t>
      </w:r>
      <w:r>
        <w:rPr>
          <w:rFonts w:ascii="Arial" w:cs="Arial" w:eastAsia="Arial" w:hAnsi="Arial"/>
          <w:sz w:val="25"/>
          <w:szCs w:val="25"/>
          <w:b w:val="1"/>
          <w:bCs w:val="1"/>
          <w:color w:val="auto"/>
        </w:rPr>
        <w:t xml:space="preserve"> 2013 E</w:t>
      </w:r>
      <w:r>
        <w:rPr>
          <w:rFonts w:ascii="Arial" w:cs="Arial" w:eastAsia="Arial" w:hAnsi="Arial"/>
          <w:sz w:val="17"/>
          <w:szCs w:val="17"/>
          <w:b w:val="1"/>
          <w:bCs w:val="1"/>
          <w:color w:val="auto"/>
        </w:rPr>
        <w:t>QUITY</w:t>
      </w:r>
      <w:r>
        <w:rPr>
          <w:rFonts w:ascii="Arial" w:cs="Arial" w:eastAsia="Arial" w:hAnsi="Arial"/>
          <w:sz w:val="25"/>
          <w:szCs w:val="25"/>
          <w:b w:val="1"/>
          <w:bCs w:val="1"/>
          <w:color w:val="auto"/>
        </w:rPr>
        <w:t xml:space="preserve"> I</w:t>
      </w:r>
      <w:r>
        <w:rPr>
          <w:rFonts w:ascii="Arial" w:cs="Arial" w:eastAsia="Arial" w:hAnsi="Arial"/>
          <w:sz w:val="17"/>
          <w:szCs w:val="17"/>
          <w:b w:val="1"/>
          <w:bCs w:val="1"/>
          <w:color w:val="auto"/>
        </w:rPr>
        <w:t>NCENTIVE</w:t>
      </w:r>
      <w:r>
        <w:rPr>
          <w:rFonts w:ascii="Arial" w:cs="Arial" w:eastAsia="Arial" w:hAnsi="Arial"/>
          <w:sz w:val="25"/>
          <w:szCs w:val="25"/>
          <w:b w:val="1"/>
          <w:bCs w:val="1"/>
          <w:color w:val="auto"/>
        </w:rPr>
        <w:t xml:space="preserve"> P</w:t>
      </w:r>
      <w:r>
        <w:rPr>
          <w:rFonts w:ascii="Arial" w:cs="Arial" w:eastAsia="Arial" w:hAnsi="Arial"/>
          <w:sz w:val="17"/>
          <w:szCs w:val="17"/>
          <w:b w:val="1"/>
          <w:bCs w:val="1"/>
          <w:color w:val="auto"/>
        </w:rPr>
        <w:t>LAN</w:t>
      </w:r>
    </w:p>
    <w:p>
      <w:pPr>
        <w:spacing w:after="0" w:line="200" w:lineRule="exact"/>
        <w:rPr>
          <w:sz w:val="20"/>
          <w:szCs w:val="20"/>
          <w:color w:val="auto"/>
        </w:rPr>
      </w:pPr>
    </w:p>
    <w:p>
      <w:pPr>
        <w:spacing w:after="0" w:line="209"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4"/>
          <w:szCs w:val="14"/>
          <w:b w:val="1"/>
          <w:bCs w:val="1"/>
          <w:color w:val="auto"/>
        </w:rPr>
        <w:t>DOPTED BY</w:t>
      </w:r>
      <w:r>
        <w:rPr>
          <w:rFonts w:ascii="Arial" w:cs="Arial" w:eastAsia="Arial" w:hAnsi="Arial"/>
          <w:sz w:val="22"/>
          <w:szCs w:val="22"/>
          <w:b w:val="1"/>
          <w:bCs w:val="1"/>
          <w:color w:val="auto"/>
        </w:rPr>
        <w:t xml:space="preserve"> B</w:t>
      </w:r>
      <w:r>
        <w:rPr>
          <w:rFonts w:ascii="Arial" w:cs="Arial" w:eastAsia="Arial" w:hAnsi="Arial"/>
          <w:sz w:val="14"/>
          <w:szCs w:val="14"/>
          <w:b w:val="1"/>
          <w:bCs w:val="1"/>
          <w:color w:val="auto"/>
        </w:rPr>
        <w:t>OARD OF</w:t>
      </w:r>
      <w:r>
        <w:rPr>
          <w:rFonts w:ascii="Arial" w:cs="Arial" w:eastAsia="Arial" w:hAnsi="Arial"/>
          <w:sz w:val="22"/>
          <w:szCs w:val="22"/>
          <w:b w:val="1"/>
          <w:bCs w:val="1"/>
          <w:color w:val="auto"/>
        </w:rPr>
        <w:t xml:space="preserve"> D</w:t>
      </w:r>
      <w:r>
        <w:rPr>
          <w:rFonts w:ascii="Arial" w:cs="Arial" w:eastAsia="Arial" w:hAnsi="Arial"/>
          <w:sz w:val="14"/>
          <w:szCs w:val="14"/>
          <w:b w:val="1"/>
          <w:bCs w:val="1"/>
          <w:color w:val="auto"/>
        </w:rPr>
        <w:t>IRECTORS ON</w:t>
      </w:r>
      <w:r>
        <w:rPr>
          <w:rFonts w:ascii="Arial" w:cs="Arial" w:eastAsia="Arial" w:hAnsi="Arial"/>
          <w:sz w:val="22"/>
          <w:szCs w:val="22"/>
          <w:b w:val="1"/>
          <w:bCs w:val="1"/>
          <w:color w:val="auto"/>
        </w:rPr>
        <w:t>: D</w:t>
      </w:r>
      <w:r>
        <w:rPr>
          <w:rFonts w:ascii="Arial" w:cs="Arial" w:eastAsia="Arial" w:hAnsi="Arial"/>
          <w:sz w:val="14"/>
          <w:szCs w:val="14"/>
          <w:b w:val="1"/>
          <w:bCs w:val="1"/>
          <w:color w:val="auto"/>
        </w:rPr>
        <w:t>ECEMBER</w:t>
      </w:r>
      <w:r>
        <w:rPr>
          <w:rFonts w:ascii="Arial" w:cs="Arial" w:eastAsia="Arial" w:hAnsi="Arial"/>
          <w:sz w:val="22"/>
          <w:szCs w:val="22"/>
          <w:b w:val="1"/>
          <w:bCs w:val="1"/>
          <w:color w:val="auto"/>
        </w:rPr>
        <w:t xml:space="preserve"> 19, 2013</w:t>
      </w:r>
    </w:p>
    <w:p>
      <w:pPr>
        <w:spacing w:after="0" w:line="4"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4"/>
          <w:szCs w:val="14"/>
          <w:b w:val="1"/>
          <w:bCs w:val="1"/>
          <w:color w:val="auto"/>
        </w:rPr>
        <w:t>PPROVED BY THE</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TOCKHOLDERS ON</w:t>
      </w:r>
      <w:r>
        <w:rPr>
          <w:rFonts w:ascii="Arial" w:cs="Arial" w:eastAsia="Arial" w:hAnsi="Arial"/>
          <w:sz w:val="22"/>
          <w:szCs w:val="22"/>
          <w:b w:val="1"/>
          <w:bCs w:val="1"/>
          <w:color w:val="auto"/>
        </w:rPr>
        <w:t>: D</w:t>
      </w:r>
      <w:r>
        <w:rPr>
          <w:rFonts w:ascii="Arial" w:cs="Arial" w:eastAsia="Arial" w:hAnsi="Arial"/>
          <w:sz w:val="14"/>
          <w:szCs w:val="14"/>
          <w:b w:val="1"/>
          <w:bCs w:val="1"/>
          <w:color w:val="auto"/>
        </w:rPr>
        <w:t>ECEMBER</w:t>
      </w:r>
      <w:r>
        <w:rPr>
          <w:rFonts w:ascii="Arial" w:cs="Arial" w:eastAsia="Arial" w:hAnsi="Arial"/>
          <w:sz w:val="22"/>
          <w:szCs w:val="22"/>
          <w:b w:val="1"/>
          <w:bCs w:val="1"/>
          <w:color w:val="auto"/>
        </w:rPr>
        <w:t xml:space="preserve"> 19, 2013</w:t>
      </w:r>
    </w:p>
    <w:p>
      <w:pPr>
        <w:jc w:val="center"/>
        <w:ind w:right="1100"/>
        <w:spacing w:after="0" w:line="230" w:lineRule="auto"/>
        <w:rPr>
          <w:sz w:val="20"/>
          <w:szCs w:val="20"/>
          <w:color w:val="auto"/>
        </w:rPr>
      </w:pPr>
      <w:r>
        <w:rPr>
          <w:rFonts w:ascii="Arial" w:cs="Arial" w:eastAsia="Arial" w:hAnsi="Arial"/>
          <w:sz w:val="22"/>
          <w:szCs w:val="22"/>
          <w:b w:val="1"/>
          <w:bCs w:val="1"/>
          <w:color w:val="auto"/>
        </w:rPr>
        <w:t>A</w:t>
      </w:r>
      <w:r>
        <w:rPr>
          <w:rFonts w:ascii="Arial" w:cs="Arial" w:eastAsia="Arial" w:hAnsi="Arial"/>
          <w:sz w:val="14"/>
          <w:szCs w:val="14"/>
          <w:b w:val="1"/>
          <w:bCs w:val="1"/>
          <w:color w:val="auto"/>
        </w:rPr>
        <w:t>MENDED AND</w:t>
      </w:r>
      <w:r>
        <w:rPr>
          <w:rFonts w:ascii="Arial" w:cs="Arial" w:eastAsia="Arial" w:hAnsi="Arial"/>
          <w:sz w:val="22"/>
          <w:szCs w:val="22"/>
          <w:b w:val="1"/>
          <w:bCs w:val="1"/>
          <w:color w:val="auto"/>
        </w:rPr>
        <w:t xml:space="preserve"> R</w:t>
      </w:r>
      <w:r>
        <w:rPr>
          <w:rFonts w:ascii="Arial" w:cs="Arial" w:eastAsia="Arial" w:hAnsi="Arial"/>
          <w:sz w:val="14"/>
          <w:szCs w:val="14"/>
          <w:b w:val="1"/>
          <w:bCs w:val="1"/>
          <w:color w:val="auto"/>
        </w:rPr>
        <w:t>ESTATED BY THE</w:t>
      </w:r>
      <w:r>
        <w:rPr>
          <w:rFonts w:ascii="Arial" w:cs="Arial" w:eastAsia="Arial" w:hAnsi="Arial"/>
          <w:sz w:val="22"/>
          <w:szCs w:val="22"/>
          <w:b w:val="1"/>
          <w:bCs w:val="1"/>
          <w:color w:val="auto"/>
        </w:rPr>
        <w:t xml:space="preserve"> B</w:t>
      </w:r>
      <w:r>
        <w:rPr>
          <w:rFonts w:ascii="Arial" w:cs="Arial" w:eastAsia="Arial" w:hAnsi="Arial"/>
          <w:sz w:val="14"/>
          <w:szCs w:val="14"/>
          <w:b w:val="1"/>
          <w:bCs w:val="1"/>
          <w:color w:val="auto"/>
        </w:rPr>
        <w:t>OARD OF</w:t>
      </w:r>
      <w:r>
        <w:rPr>
          <w:rFonts w:ascii="Arial" w:cs="Arial" w:eastAsia="Arial" w:hAnsi="Arial"/>
          <w:sz w:val="22"/>
          <w:szCs w:val="22"/>
          <w:b w:val="1"/>
          <w:bCs w:val="1"/>
          <w:color w:val="auto"/>
        </w:rPr>
        <w:t xml:space="preserve"> D</w:t>
      </w:r>
      <w:r>
        <w:rPr>
          <w:rFonts w:ascii="Arial" w:cs="Arial" w:eastAsia="Arial" w:hAnsi="Arial"/>
          <w:sz w:val="14"/>
          <w:szCs w:val="14"/>
          <w:b w:val="1"/>
          <w:bCs w:val="1"/>
          <w:color w:val="auto"/>
        </w:rPr>
        <w:t>IRECTORS ON</w:t>
      </w:r>
      <w:r>
        <w:rPr>
          <w:rFonts w:ascii="Arial" w:cs="Arial" w:eastAsia="Arial" w:hAnsi="Arial"/>
          <w:sz w:val="22"/>
          <w:szCs w:val="22"/>
          <w:b w:val="1"/>
          <w:bCs w:val="1"/>
          <w:color w:val="auto"/>
        </w:rPr>
        <w:t>: A</w:t>
      </w:r>
      <w:r>
        <w:rPr>
          <w:rFonts w:ascii="Arial" w:cs="Arial" w:eastAsia="Arial" w:hAnsi="Arial"/>
          <w:sz w:val="14"/>
          <w:szCs w:val="14"/>
          <w:b w:val="1"/>
          <w:bCs w:val="1"/>
          <w:color w:val="auto"/>
        </w:rPr>
        <w:t>PRIL</w:t>
      </w:r>
      <w:r>
        <w:rPr>
          <w:rFonts w:ascii="Arial" w:cs="Arial" w:eastAsia="Arial" w:hAnsi="Arial"/>
          <w:sz w:val="22"/>
          <w:szCs w:val="22"/>
          <w:b w:val="1"/>
          <w:bCs w:val="1"/>
          <w:color w:val="auto"/>
        </w:rPr>
        <w:t xml:space="preserve"> 29, 2014</w:t>
      </w:r>
    </w:p>
    <w:p>
      <w:pPr>
        <w:jc w:val="center"/>
        <w:ind w:right="1100"/>
        <w:spacing w:after="0" w:line="231" w:lineRule="auto"/>
        <w:rPr>
          <w:sz w:val="20"/>
          <w:szCs w:val="20"/>
          <w:color w:val="auto"/>
        </w:rPr>
      </w:pPr>
      <w:r>
        <w:rPr>
          <w:rFonts w:ascii="Arial" w:cs="Arial" w:eastAsia="Arial" w:hAnsi="Arial"/>
          <w:sz w:val="22"/>
          <w:szCs w:val="22"/>
          <w:b w:val="1"/>
          <w:bCs w:val="1"/>
          <w:color w:val="auto"/>
        </w:rPr>
        <w:t>A</w:t>
      </w:r>
      <w:r>
        <w:rPr>
          <w:rFonts w:ascii="Arial" w:cs="Arial" w:eastAsia="Arial" w:hAnsi="Arial"/>
          <w:sz w:val="14"/>
          <w:szCs w:val="14"/>
          <w:b w:val="1"/>
          <w:bCs w:val="1"/>
          <w:color w:val="auto"/>
        </w:rPr>
        <w:t>MENDMENT AND</w:t>
      </w:r>
      <w:r>
        <w:rPr>
          <w:rFonts w:ascii="Arial" w:cs="Arial" w:eastAsia="Arial" w:hAnsi="Arial"/>
          <w:sz w:val="22"/>
          <w:szCs w:val="22"/>
          <w:b w:val="1"/>
          <w:bCs w:val="1"/>
          <w:color w:val="auto"/>
        </w:rPr>
        <w:t xml:space="preserve"> R</w:t>
      </w:r>
      <w:r>
        <w:rPr>
          <w:rFonts w:ascii="Arial" w:cs="Arial" w:eastAsia="Arial" w:hAnsi="Arial"/>
          <w:sz w:val="14"/>
          <w:szCs w:val="14"/>
          <w:b w:val="1"/>
          <w:bCs w:val="1"/>
          <w:color w:val="auto"/>
        </w:rPr>
        <w:t>ESTATEMENT</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PPROVED BY THE</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TOCKHOLDERS ON</w:t>
      </w:r>
      <w:r>
        <w:rPr>
          <w:rFonts w:ascii="Arial" w:cs="Arial" w:eastAsia="Arial" w:hAnsi="Arial"/>
          <w:sz w:val="22"/>
          <w:szCs w:val="22"/>
          <w:b w:val="1"/>
          <w:bCs w:val="1"/>
          <w:color w:val="auto"/>
        </w:rPr>
        <w:t>: J</w:t>
      </w:r>
      <w:r>
        <w:rPr>
          <w:rFonts w:ascii="Arial" w:cs="Arial" w:eastAsia="Arial" w:hAnsi="Arial"/>
          <w:sz w:val="14"/>
          <w:szCs w:val="14"/>
          <w:b w:val="1"/>
          <w:bCs w:val="1"/>
          <w:color w:val="auto"/>
        </w:rPr>
        <w:t>UNE</w:t>
      </w:r>
      <w:r>
        <w:rPr>
          <w:rFonts w:ascii="Arial" w:cs="Arial" w:eastAsia="Arial" w:hAnsi="Arial"/>
          <w:sz w:val="22"/>
          <w:szCs w:val="22"/>
          <w:b w:val="1"/>
          <w:bCs w:val="1"/>
          <w:color w:val="auto"/>
        </w:rPr>
        <w:t xml:space="preserve"> 2, 2014</w:t>
      </w:r>
    </w:p>
    <w:p>
      <w:pPr>
        <w:jc w:val="center"/>
        <w:ind w:right="1100"/>
        <w:spacing w:after="0" w:line="230" w:lineRule="auto"/>
        <w:rPr>
          <w:sz w:val="20"/>
          <w:szCs w:val="20"/>
          <w:color w:val="auto"/>
        </w:rPr>
      </w:pPr>
      <w:r>
        <w:rPr>
          <w:rFonts w:ascii="Arial" w:cs="Arial" w:eastAsia="Arial" w:hAnsi="Arial"/>
          <w:sz w:val="22"/>
          <w:szCs w:val="22"/>
          <w:b w:val="1"/>
          <w:bCs w:val="1"/>
          <w:color w:val="auto"/>
        </w:rPr>
        <w:t>A</w:t>
      </w:r>
      <w:r>
        <w:rPr>
          <w:rFonts w:ascii="Arial" w:cs="Arial" w:eastAsia="Arial" w:hAnsi="Arial"/>
          <w:sz w:val="14"/>
          <w:szCs w:val="14"/>
          <w:b w:val="1"/>
          <w:bCs w:val="1"/>
          <w:color w:val="auto"/>
        </w:rPr>
        <w:t>MENDED AND RESTATED BY THE</w:t>
      </w:r>
      <w:r>
        <w:rPr>
          <w:rFonts w:ascii="Arial" w:cs="Arial" w:eastAsia="Arial" w:hAnsi="Arial"/>
          <w:sz w:val="22"/>
          <w:szCs w:val="22"/>
          <w:b w:val="1"/>
          <w:bCs w:val="1"/>
          <w:color w:val="auto"/>
        </w:rPr>
        <w:t xml:space="preserve"> B</w:t>
      </w:r>
      <w:r>
        <w:rPr>
          <w:rFonts w:ascii="Arial" w:cs="Arial" w:eastAsia="Arial" w:hAnsi="Arial"/>
          <w:sz w:val="14"/>
          <w:szCs w:val="14"/>
          <w:b w:val="1"/>
          <w:bCs w:val="1"/>
          <w:color w:val="auto"/>
        </w:rPr>
        <w:t>OARD OF</w:t>
      </w:r>
      <w:r>
        <w:rPr>
          <w:rFonts w:ascii="Arial" w:cs="Arial" w:eastAsia="Arial" w:hAnsi="Arial"/>
          <w:sz w:val="22"/>
          <w:szCs w:val="22"/>
          <w:b w:val="1"/>
          <w:bCs w:val="1"/>
          <w:color w:val="auto"/>
        </w:rPr>
        <w:t xml:space="preserve"> D</w:t>
      </w:r>
      <w:r>
        <w:rPr>
          <w:rFonts w:ascii="Arial" w:cs="Arial" w:eastAsia="Arial" w:hAnsi="Arial"/>
          <w:sz w:val="14"/>
          <w:szCs w:val="14"/>
          <w:b w:val="1"/>
          <w:bCs w:val="1"/>
          <w:color w:val="auto"/>
        </w:rPr>
        <w:t>IRECTORS ON</w:t>
      </w:r>
      <w:r>
        <w:rPr>
          <w:rFonts w:ascii="Arial" w:cs="Arial" w:eastAsia="Arial" w:hAnsi="Arial"/>
          <w:sz w:val="22"/>
          <w:szCs w:val="22"/>
          <w:b w:val="1"/>
          <w:bCs w:val="1"/>
          <w:color w:val="auto"/>
        </w:rPr>
        <w:t>: A</w:t>
      </w:r>
      <w:r>
        <w:rPr>
          <w:rFonts w:ascii="Arial" w:cs="Arial" w:eastAsia="Arial" w:hAnsi="Arial"/>
          <w:sz w:val="14"/>
          <w:szCs w:val="14"/>
          <w:b w:val="1"/>
          <w:bCs w:val="1"/>
          <w:color w:val="auto"/>
        </w:rPr>
        <w:t>PRIL</w:t>
      </w:r>
      <w:r>
        <w:rPr>
          <w:rFonts w:ascii="Arial" w:cs="Arial" w:eastAsia="Arial" w:hAnsi="Arial"/>
          <w:sz w:val="22"/>
          <w:szCs w:val="22"/>
          <w:b w:val="1"/>
          <w:bCs w:val="1"/>
          <w:color w:val="auto"/>
        </w:rPr>
        <w:t xml:space="preserve"> 21, 2018</w:t>
      </w:r>
    </w:p>
    <w:p>
      <w:pPr>
        <w:jc w:val="center"/>
        <w:ind w:right="1100"/>
        <w:spacing w:after="0" w:line="231" w:lineRule="auto"/>
        <w:rPr>
          <w:sz w:val="20"/>
          <w:szCs w:val="20"/>
          <w:color w:val="auto"/>
        </w:rPr>
      </w:pPr>
      <w:r>
        <w:rPr>
          <w:rFonts w:ascii="Arial" w:cs="Arial" w:eastAsia="Arial" w:hAnsi="Arial"/>
          <w:sz w:val="22"/>
          <w:szCs w:val="22"/>
          <w:b w:val="1"/>
          <w:bCs w:val="1"/>
          <w:color w:val="auto"/>
        </w:rPr>
        <w:t>A</w:t>
      </w:r>
      <w:r>
        <w:rPr>
          <w:rFonts w:ascii="Arial" w:cs="Arial" w:eastAsia="Arial" w:hAnsi="Arial"/>
          <w:sz w:val="14"/>
          <w:szCs w:val="14"/>
          <w:b w:val="1"/>
          <w:bCs w:val="1"/>
          <w:color w:val="auto"/>
        </w:rPr>
        <w:t>MENDMENT AND</w:t>
      </w:r>
      <w:r>
        <w:rPr>
          <w:rFonts w:ascii="Arial" w:cs="Arial" w:eastAsia="Arial" w:hAnsi="Arial"/>
          <w:sz w:val="22"/>
          <w:szCs w:val="22"/>
          <w:b w:val="1"/>
          <w:bCs w:val="1"/>
          <w:color w:val="auto"/>
        </w:rPr>
        <w:t xml:space="preserve"> R</w:t>
      </w:r>
      <w:r>
        <w:rPr>
          <w:rFonts w:ascii="Arial" w:cs="Arial" w:eastAsia="Arial" w:hAnsi="Arial"/>
          <w:sz w:val="14"/>
          <w:szCs w:val="14"/>
          <w:b w:val="1"/>
          <w:bCs w:val="1"/>
          <w:color w:val="auto"/>
        </w:rPr>
        <w:t>ESTATEMENT</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PPROVED BY THE</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TOCKHOLDERS ON</w:t>
      </w:r>
      <w:r>
        <w:rPr>
          <w:rFonts w:ascii="Arial" w:cs="Arial" w:eastAsia="Arial" w:hAnsi="Arial"/>
          <w:sz w:val="22"/>
          <w:szCs w:val="22"/>
          <w:b w:val="1"/>
          <w:bCs w:val="1"/>
          <w:color w:val="auto"/>
        </w:rPr>
        <w:t>: J</w:t>
      </w:r>
      <w:r>
        <w:rPr>
          <w:rFonts w:ascii="Arial" w:cs="Arial" w:eastAsia="Arial" w:hAnsi="Arial"/>
          <w:sz w:val="14"/>
          <w:szCs w:val="14"/>
          <w:b w:val="1"/>
          <w:bCs w:val="1"/>
          <w:color w:val="auto"/>
        </w:rPr>
        <w:t>UNE</w:t>
      </w:r>
      <w:r>
        <w:rPr>
          <w:rFonts w:ascii="Arial" w:cs="Arial" w:eastAsia="Arial" w:hAnsi="Arial"/>
          <w:sz w:val="22"/>
          <w:szCs w:val="22"/>
          <w:b w:val="1"/>
          <w:bCs w:val="1"/>
          <w:color w:val="auto"/>
        </w:rPr>
        <w:t xml:space="preserve"> 7, 2018</w:t>
      </w:r>
    </w:p>
    <w:p>
      <w:pPr>
        <w:jc w:val="center"/>
        <w:ind w:right="1100"/>
        <w:spacing w:after="0" w:line="230" w:lineRule="auto"/>
        <w:rPr>
          <w:sz w:val="20"/>
          <w:szCs w:val="20"/>
          <w:color w:val="auto"/>
        </w:rPr>
      </w:pPr>
      <w:r>
        <w:rPr>
          <w:rFonts w:ascii="Arial" w:cs="Arial" w:eastAsia="Arial" w:hAnsi="Arial"/>
          <w:sz w:val="22"/>
          <w:szCs w:val="22"/>
          <w:b w:val="1"/>
          <w:bCs w:val="1"/>
          <w:color w:val="auto"/>
        </w:rPr>
        <w:t>A</w:t>
      </w:r>
      <w:r>
        <w:rPr>
          <w:rFonts w:ascii="Arial" w:cs="Arial" w:eastAsia="Arial" w:hAnsi="Arial"/>
          <w:sz w:val="14"/>
          <w:szCs w:val="14"/>
          <w:b w:val="1"/>
          <w:bCs w:val="1"/>
          <w:color w:val="auto"/>
        </w:rPr>
        <w:t>MENDED AND RESTATED BY THE</w:t>
      </w:r>
      <w:r>
        <w:rPr>
          <w:rFonts w:ascii="Arial" w:cs="Arial" w:eastAsia="Arial" w:hAnsi="Arial"/>
          <w:sz w:val="22"/>
          <w:szCs w:val="22"/>
          <w:b w:val="1"/>
          <w:bCs w:val="1"/>
          <w:color w:val="auto"/>
        </w:rPr>
        <w:t xml:space="preserve"> B</w:t>
      </w:r>
      <w:r>
        <w:rPr>
          <w:rFonts w:ascii="Arial" w:cs="Arial" w:eastAsia="Arial" w:hAnsi="Arial"/>
          <w:sz w:val="14"/>
          <w:szCs w:val="14"/>
          <w:b w:val="1"/>
          <w:bCs w:val="1"/>
          <w:color w:val="auto"/>
        </w:rPr>
        <w:t>OARD OF</w:t>
      </w:r>
      <w:r>
        <w:rPr>
          <w:rFonts w:ascii="Arial" w:cs="Arial" w:eastAsia="Arial" w:hAnsi="Arial"/>
          <w:sz w:val="22"/>
          <w:szCs w:val="22"/>
          <w:b w:val="1"/>
          <w:bCs w:val="1"/>
          <w:color w:val="auto"/>
        </w:rPr>
        <w:t xml:space="preserve"> D</w:t>
      </w:r>
      <w:r>
        <w:rPr>
          <w:rFonts w:ascii="Arial" w:cs="Arial" w:eastAsia="Arial" w:hAnsi="Arial"/>
          <w:sz w:val="14"/>
          <w:szCs w:val="14"/>
          <w:b w:val="1"/>
          <w:bCs w:val="1"/>
          <w:color w:val="auto"/>
        </w:rPr>
        <w:t>IRECTORS ON</w:t>
      </w:r>
      <w:r>
        <w:rPr>
          <w:rFonts w:ascii="Arial" w:cs="Arial" w:eastAsia="Arial" w:hAnsi="Arial"/>
          <w:sz w:val="22"/>
          <w:szCs w:val="22"/>
          <w:b w:val="1"/>
          <w:bCs w:val="1"/>
          <w:color w:val="auto"/>
        </w:rPr>
        <w:t>: A</w:t>
      </w:r>
      <w:r>
        <w:rPr>
          <w:rFonts w:ascii="Arial" w:cs="Arial" w:eastAsia="Arial" w:hAnsi="Arial"/>
          <w:sz w:val="14"/>
          <w:szCs w:val="14"/>
          <w:b w:val="1"/>
          <w:bCs w:val="1"/>
          <w:color w:val="auto"/>
        </w:rPr>
        <w:t>PRIL</w:t>
      </w:r>
      <w:r>
        <w:rPr>
          <w:rFonts w:ascii="Arial" w:cs="Arial" w:eastAsia="Arial" w:hAnsi="Arial"/>
          <w:sz w:val="22"/>
          <w:szCs w:val="22"/>
          <w:b w:val="1"/>
          <w:bCs w:val="1"/>
          <w:color w:val="auto"/>
        </w:rPr>
        <w:t xml:space="preserve"> 17, 2020</w:t>
      </w:r>
    </w:p>
    <w:p>
      <w:pPr>
        <w:spacing w:after="0" w:line="1"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4"/>
          <w:szCs w:val="14"/>
          <w:b w:val="1"/>
          <w:bCs w:val="1"/>
          <w:color w:val="auto"/>
        </w:rPr>
        <w:t>MENDMENT AND</w:t>
      </w:r>
      <w:r>
        <w:rPr>
          <w:rFonts w:ascii="Arial" w:cs="Arial" w:eastAsia="Arial" w:hAnsi="Arial"/>
          <w:sz w:val="22"/>
          <w:szCs w:val="22"/>
          <w:b w:val="1"/>
          <w:bCs w:val="1"/>
          <w:color w:val="auto"/>
        </w:rPr>
        <w:t xml:space="preserve"> R</w:t>
      </w:r>
      <w:r>
        <w:rPr>
          <w:rFonts w:ascii="Arial" w:cs="Arial" w:eastAsia="Arial" w:hAnsi="Arial"/>
          <w:sz w:val="14"/>
          <w:szCs w:val="14"/>
          <w:b w:val="1"/>
          <w:bCs w:val="1"/>
          <w:color w:val="auto"/>
        </w:rPr>
        <w:t>ESTATEMENT</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PPROVED BY THE</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TOCKHOLDERS ON</w:t>
      </w:r>
      <w:r>
        <w:rPr>
          <w:rFonts w:ascii="Arial" w:cs="Arial" w:eastAsia="Arial" w:hAnsi="Arial"/>
          <w:sz w:val="22"/>
          <w:szCs w:val="22"/>
          <w:b w:val="1"/>
          <w:bCs w:val="1"/>
          <w:color w:val="auto"/>
        </w:rPr>
        <w:t>: J</w:t>
      </w:r>
      <w:r>
        <w:rPr>
          <w:rFonts w:ascii="Arial" w:cs="Arial" w:eastAsia="Arial" w:hAnsi="Arial"/>
          <w:sz w:val="14"/>
          <w:szCs w:val="14"/>
          <w:b w:val="1"/>
          <w:bCs w:val="1"/>
          <w:color w:val="auto"/>
        </w:rPr>
        <w:t>UNE</w:t>
      </w:r>
      <w:r>
        <w:rPr>
          <w:rFonts w:ascii="Arial" w:cs="Arial" w:eastAsia="Arial" w:hAnsi="Arial"/>
          <w:sz w:val="22"/>
          <w:szCs w:val="22"/>
          <w:b w:val="1"/>
          <w:bCs w:val="1"/>
          <w:color w:val="auto"/>
        </w:rPr>
        <w:t xml:space="preserve"> 19, 2020</w:t>
      </w:r>
    </w:p>
    <w:p>
      <w:pPr>
        <w:spacing w:after="0" w:line="182" w:lineRule="exact"/>
        <w:rPr>
          <w:sz w:val="20"/>
          <w:szCs w:val="20"/>
          <w:color w:val="auto"/>
        </w:rPr>
      </w:pPr>
    </w:p>
    <w:p>
      <w:pPr>
        <w:ind w:left="4340"/>
        <w:spacing w:after="0"/>
        <w:rPr>
          <w:sz w:val="20"/>
          <w:szCs w:val="20"/>
          <w:color w:val="auto"/>
        </w:rPr>
      </w:pP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602615</wp:posOffset>
            </wp:positionV>
            <wp:extent cx="714946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20"/>
          </w:cols>
          <w:pgMar w:left="1440" w:top="111" w:right="339" w:bottom="1440" w:gutter="0" w:footer="0" w:header="0"/>
        </w:sectPr>
      </w:pPr>
    </w:p>
    <w:bookmarkStart w:id="35" w:name="page36"/>
    <w:bookmarkEnd w:id="35"/>
    <w:p>
      <w:pPr>
        <w:jc w:val="center"/>
        <w:ind w:right="-19"/>
        <w:spacing w:after="0"/>
        <w:rPr>
          <w:sz w:val="20"/>
          <w:szCs w:val="20"/>
          <w:color w:val="auto"/>
        </w:rPr>
      </w:pPr>
      <w:r>
        <w:rPr>
          <w:rFonts w:ascii="Arial" w:cs="Arial" w:eastAsia="Arial" w:hAnsi="Arial"/>
          <w:sz w:val="22"/>
          <w:szCs w:val="22"/>
          <w:b w:val="1"/>
          <w:bCs w:val="1"/>
          <w:color w:val="auto"/>
        </w:rPr>
        <w:t>T</w:t>
      </w:r>
      <w:r>
        <w:rPr>
          <w:rFonts w:ascii="Arial" w:cs="Arial" w:eastAsia="Arial" w:hAnsi="Arial"/>
          <w:sz w:val="14"/>
          <w:szCs w:val="14"/>
          <w:b w:val="1"/>
          <w:bCs w:val="1"/>
          <w:color w:val="auto"/>
        </w:rPr>
        <w:t>ABLE OF</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20" w:type="dxa"/>
            <w:vAlign w:val="bottom"/>
          </w:tcPr>
          <w:p>
            <w:pPr>
              <w:spacing w:after="0"/>
              <w:rPr>
                <w:sz w:val="23"/>
                <w:szCs w:val="23"/>
                <w:color w:val="auto"/>
              </w:rPr>
            </w:pPr>
          </w:p>
        </w:tc>
        <w:tc>
          <w:tcPr>
            <w:tcW w:w="10020" w:type="dxa"/>
            <w:vAlign w:val="bottom"/>
          </w:tcPr>
          <w:p>
            <w:pPr>
              <w:spacing w:after="0"/>
              <w:rPr>
                <w:sz w:val="23"/>
                <w:szCs w:val="23"/>
                <w:color w:val="auto"/>
              </w:rPr>
            </w:pPr>
          </w:p>
        </w:tc>
        <w:tc>
          <w:tcPr>
            <w:tcW w:w="70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b w:val="1"/>
                <w:bCs w:val="1"/>
                <w:color w:val="auto"/>
              </w:rPr>
              <w:t>Page</w:t>
            </w:r>
          </w:p>
        </w:tc>
      </w:tr>
      <w:tr>
        <w:trPr>
          <w:trHeight w:val="463"/>
        </w:trPr>
        <w:tc>
          <w:tcPr>
            <w:tcW w:w="520" w:type="dxa"/>
            <w:vAlign w:val="bottom"/>
          </w:tcPr>
          <w:p>
            <w:pPr>
              <w:spacing w:after="0"/>
              <w:rPr>
                <w:sz w:val="20"/>
                <w:szCs w:val="20"/>
                <w:color w:val="auto"/>
              </w:rPr>
            </w:pPr>
            <w:r>
              <w:rPr>
                <w:rFonts w:ascii="Arial" w:cs="Arial" w:eastAsia="Arial" w:hAnsi="Arial"/>
                <w:sz w:val="22"/>
                <w:szCs w:val="22"/>
                <w:color w:val="auto"/>
              </w:rPr>
              <w:t>1.</w:t>
            </w:r>
          </w:p>
        </w:tc>
        <w:tc>
          <w:tcPr>
            <w:tcW w:w="10020" w:type="dxa"/>
            <w:vAlign w:val="bottom"/>
          </w:tcPr>
          <w:p>
            <w:pPr>
              <w:ind w:left="260"/>
              <w:spacing w:after="0"/>
              <w:rPr>
                <w:sz w:val="20"/>
                <w:szCs w:val="20"/>
                <w:color w:val="auto"/>
              </w:rPr>
            </w:pPr>
            <w:r>
              <w:rPr>
                <w:rFonts w:ascii="Arial" w:cs="Arial" w:eastAsia="Arial" w:hAnsi="Arial"/>
                <w:sz w:val="22"/>
                <w:szCs w:val="22"/>
                <w:color w:val="auto"/>
              </w:rPr>
              <w:t>G</w:t>
            </w:r>
            <w:r>
              <w:rPr>
                <w:rFonts w:ascii="Arial" w:cs="Arial" w:eastAsia="Arial" w:hAnsi="Arial"/>
                <w:sz w:val="14"/>
                <w:szCs w:val="14"/>
                <w:color w:val="auto"/>
              </w:rPr>
              <w:t>ENERAL</w:t>
            </w:r>
            <w:r>
              <w:rPr>
                <w:rFonts w:ascii="Arial" w:cs="Arial" w:eastAsia="Arial" w:hAnsi="Arial"/>
                <w:sz w:val="22"/>
                <w:szCs w:val="22"/>
                <w:color w:val="auto"/>
              </w:rPr>
              <w:t>.</w:t>
            </w:r>
          </w:p>
        </w:tc>
        <w:tc>
          <w:tcPr>
            <w:tcW w:w="70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365"/>
        </w:trPr>
        <w:tc>
          <w:tcPr>
            <w:tcW w:w="520" w:type="dxa"/>
            <w:vAlign w:val="bottom"/>
          </w:tcPr>
          <w:p>
            <w:pPr>
              <w:spacing w:after="0"/>
              <w:rPr>
                <w:sz w:val="20"/>
                <w:szCs w:val="20"/>
                <w:color w:val="auto"/>
              </w:rPr>
            </w:pPr>
            <w:r>
              <w:rPr>
                <w:rFonts w:ascii="Arial" w:cs="Arial" w:eastAsia="Arial" w:hAnsi="Arial"/>
                <w:sz w:val="22"/>
                <w:szCs w:val="22"/>
                <w:color w:val="auto"/>
              </w:rPr>
              <w:t>2.</w:t>
            </w:r>
          </w:p>
        </w:tc>
        <w:tc>
          <w:tcPr>
            <w:tcW w:w="10020" w:type="dxa"/>
            <w:vAlign w:val="bottom"/>
          </w:tcPr>
          <w:p>
            <w:pPr>
              <w:ind w:left="260"/>
              <w:spacing w:after="0"/>
              <w:rPr>
                <w:sz w:val="20"/>
                <w:szCs w:val="20"/>
                <w:color w:val="auto"/>
              </w:rPr>
            </w:pPr>
            <w:r>
              <w:rPr>
                <w:rFonts w:ascii="Arial" w:cs="Arial" w:eastAsia="Arial" w:hAnsi="Arial"/>
                <w:sz w:val="22"/>
                <w:szCs w:val="22"/>
                <w:color w:val="auto"/>
              </w:rPr>
              <w:t>S</w:t>
            </w:r>
            <w:r>
              <w:rPr>
                <w:rFonts w:ascii="Arial" w:cs="Arial" w:eastAsia="Arial" w:hAnsi="Arial"/>
                <w:sz w:val="14"/>
                <w:szCs w:val="14"/>
                <w:color w:val="auto"/>
              </w:rPr>
              <w:t>HARES</w:t>
            </w:r>
            <w:r>
              <w:rPr>
                <w:rFonts w:ascii="Arial" w:cs="Arial" w:eastAsia="Arial" w:hAnsi="Arial"/>
                <w:sz w:val="22"/>
                <w:szCs w:val="22"/>
                <w:color w:val="auto"/>
              </w:rPr>
              <w:t xml:space="preserve"> S</w:t>
            </w:r>
            <w:r>
              <w:rPr>
                <w:rFonts w:ascii="Arial" w:cs="Arial" w:eastAsia="Arial" w:hAnsi="Arial"/>
                <w:sz w:val="14"/>
                <w:szCs w:val="14"/>
                <w:color w:val="auto"/>
              </w:rPr>
              <w:t>UBJECT TO THE</w:t>
            </w:r>
            <w:r>
              <w:rPr>
                <w:rFonts w:ascii="Arial" w:cs="Arial" w:eastAsia="Arial" w:hAnsi="Arial"/>
                <w:sz w:val="22"/>
                <w:szCs w:val="22"/>
                <w:color w:val="auto"/>
              </w:rPr>
              <w:t xml:space="preserve"> P</w:t>
            </w:r>
            <w:r>
              <w:rPr>
                <w:rFonts w:ascii="Arial" w:cs="Arial" w:eastAsia="Arial" w:hAnsi="Arial"/>
                <w:sz w:val="14"/>
                <w:szCs w:val="14"/>
                <w:color w:val="auto"/>
              </w:rPr>
              <w:t>LAN</w:t>
            </w:r>
            <w:r>
              <w:rPr>
                <w:rFonts w:ascii="Arial" w:cs="Arial" w:eastAsia="Arial" w:hAnsi="Arial"/>
                <w:sz w:val="22"/>
                <w:szCs w:val="22"/>
                <w:color w:val="auto"/>
              </w:rPr>
              <w:t>.</w:t>
            </w:r>
          </w:p>
        </w:tc>
        <w:tc>
          <w:tcPr>
            <w:tcW w:w="70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364"/>
        </w:trPr>
        <w:tc>
          <w:tcPr>
            <w:tcW w:w="520" w:type="dxa"/>
            <w:vAlign w:val="bottom"/>
          </w:tcPr>
          <w:p>
            <w:pPr>
              <w:spacing w:after="0"/>
              <w:rPr>
                <w:sz w:val="20"/>
                <w:szCs w:val="20"/>
                <w:color w:val="auto"/>
              </w:rPr>
            </w:pPr>
            <w:r>
              <w:rPr>
                <w:rFonts w:ascii="Arial" w:cs="Arial" w:eastAsia="Arial" w:hAnsi="Arial"/>
                <w:sz w:val="22"/>
                <w:szCs w:val="22"/>
                <w:color w:val="auto"/>
              </w:rPr>
              <w:t>3.</w:t>
            </w:r>
          </w:p>
        </w:tc>
        <w:tc>
          <w:tcPr>
            <w:tcW w:w="10020" w:type="dxa"/>
            <w:vAlign w:val="bottom"/>
          </w:tcPr>
          <w:p>
            <w:pPr>
              <w:ind w:left="260"/>
              <w:spacing w:after="0"/>
              <w:rPr>
                <w:sz w:val="20"/>
                <w:szCs w:val="20"/>
                <w:color w:val="auto"/>
              </w:rPr>
            </w:pPr>
            <w:r>
              <w:rPr>
                <w:rFonts w:ascii="Arial" w:cs="Arial" w:eastAsia="Arial" w:hAnsi="Arial"/>
                <w:sz w:val="22"/>
                <w:szCs w:val="22"/>
                <w:color w:val="auto"/>
              </w:rPr>
              <w:t>E</w:t>
            </w:r>
            <w:r>
              <w:rPr>
                <w:rFonts w:ascii="Arial" w:cs="Arial" w:eastAsia="Arial" w:hAnsi="Arial"/>
                <w:sz w:val="14"/>
                <w:szCs w:val="14"/>
                <w:color w:val="auto"/>
              </w:rPr>
              <w:t>LIGIBILITY AND</w:t>
            </w:r>
            <w:r>
              <w:rPr>
                <w:rFonts w:ascii="Arial" w:cs="Arial" w:eastAsia="Arial" w:hAnsi="Arial"/>
                <w:sz w:val="22"/>
                <w:szCs w:val="22"/>
                <w:color w:val="auto"/>
              </w:rPr>
              <w:t xml:space="preserve"> L</w:t>
            </w:r>
            <w:r>
              <w:rPr>
                <w:rFonts w:ascii="Arial" w:cs="Arial" w:eastAsia="Arial" w:hAnsi="Arial"/>
                <w:sz w:val="14"/>
                <w:szCs w:val="14"/>
                <w:color w:val="auto"/>
              </w:rPr>
              <w:t>IMITATIONS</w:t>
            </w:r>
            <w:r>
              <w:rPr>
                <w:rFonts w:ascii="Arial" w:cs="Arial" w:eastAsia="Arial" w:hAnsi="Arial"/>
                <w:sz w:val="22"/>
                <w:szCs w:val="22"/>
                <w:color w:val="auto"/>
              </w:rPr>
              <w:t>.</w:t>
            </w:r>
          </w:p>
        </w:tc>
        <w:tc>
          <w:tcPr>
            <w:tcW w:w="700" w:type="dxa"/>
            <w:vAlign w:val="bottom"/>
          </w:tcPr>
          <w:p>
            <w:pPr>
              <w:jc w:val="right"/>
              <w:spacing w:after="0"/>
              <w:rPr>
                <w:sz w:val="20"/>
                <w:szCs w:val="20"/>
                <w:color w:val="auto"/>
              </w:rPr>
            </w:pPr>
            <w:r>
              <w:rPr>
                <w:rFonts w:ascii="Arial" w:cs="Arial" w:eastAsia="Arial" w:hAnsi="Arial"/>
                <w:sz w:val="22"/>
                <w:szCs w:val="22"/>
                <w:color w:val="auto"/>
              </w:rPr>
              <w:t>2</w:t>
            </w:r>
          </w:p>
        </w:tc>
      </w:tr>
      <w:tr>
        <w:trPr>
          <w:trHeight w:val="364"/>
        </w:trPr>
        <w:tc>
          <w:tcPr>
            <w:tcW w:w="520" w:type="dxa"/>
            <w:vAlign w:val="bottom"/>
          </w:tcPr>
          <w:p>
            <w:pPr>
              <w:spacing w:after="0"/>
              <w:rPr>
                <w:sz w:val="20"/>
                <w:szCs w:val="20"/>
                <w:color w:val="auto"/>
              </w:rPr>
            </w:pPr>
            <w:r>
              <w:rPr>
                <w:rFonts w:ascii="Arial" w:cs="Arial" w:eastAsia="Arial" w:hAnsi="Arial"/>
                <w:sz w:val="22"/>
                <w:szCs w:val="22"/>
                <w:color w:val="auto"/>
              </w:rPr>
              <w:t>4.</w:t>
            </w:r>
          </w:p>
        </w:tc>
        <w:tc>
          <w:tcPr>
            <w:tcW w:w="10020" w:type="dxa"/>
            <w:vAlign w:val="bottom"/>
          </w:tcPr>
          <w:p>
            <w:pPr>
              <w:ind w:left="260"/>
              <w:spacing w:after="0"/>
              <w:rPr>
                <w:sz w:val="20"/>
                <w:szCs w:val="20"/>
                <w:color w:val="auto"/>
              </w:rPr>
            </w:pPr>
            <w:r>
              <w:rPr>
                <w:rFonts w:ascii="Arial" w:cs="Arial" w:eastAsia="Arial" w:hAnsi="Arial"/>
                <w:sz w:val="22"/>
                <w:szCs w:val="22"/>
                <w:color w:val="auto"/>
              </w:rPr>
              <w:t>O</w:t>
            </w:r>
            <w:r>
              <w:rPr>
                <w:rFonts w:ascii="Arial" w:cs="Arial" w:eastAsia="Arial" w:hAnsi="Arial"/>
                <w:sz w:val="14"/>
                <w:szCs w:val="14"/>
                <w:color w:val="auto"/>
              </w:rPr>
              <w:t>PTIONS AND</w:t>
            </w:r>
            <w:r>
              <w:rPr>
                <w:rFonts w:ascii="Arial" w:cs="Arial" w:eastAsia="Arial" w:hAnsi="Arial"/>
                <w:sz w:val="22"/>
                <w:szCs w:val="22"/>
                <w:color w:val="auto"/>
              </w:rPr>
              <w:t xml:space="preserve"> S</w:t>
            </w:r>
            <w:r>
              <w:rPr>
                <w:rFonts w:ascii="Arial" w:cs="Arial" w:eastAsia="Arial" w:hAnsi="Arial"/>
                <w:sz w:val="14"/>
                <w:szCs w:val="14"/>
                <w:color w:val="auto"/>
              </w:rPr>
              <w:t>TOCK</w:t>
            </w:r>
            <w:r>
              <w:rPr>
                <w:rFonts w:ascii="Arial" w:cs="Arial" w:eastAsia="Arial" w:hAnsi="Arial"/>
                <w:sz w:val="22"/>
                <w:szCs w:val="22"/>
                <w:color w:val="auto"/>
              </w:rPr>
              <w:t xml:space="preserve"> A</w:t>
            </w:r>
            <w:r>
              <w:rPr>
                <w:rFonts w:ascii="Arial" w:cs="Arial" w:eastAsia="Arial" w:hAnsi="Arial"/>
                <w:sz w:val="14"/>
                <w:szCs w:val="14"/>
                <w:color w:val="auto"/>
              </w:rPr>
              <w:t>PPRECIATION</w:t>
            </w:r>
            <w:r>
              <w:rPr>
                <w:rFonts w:ascii="Arial" w:cs="Arial" w:eastAsia="Arial" w:hAnsi="Arial"/>
                <w:sz w:val="22"/>
                <w:szCs w:val="22"/>
                <w:color w:val="auto"/>
              </w:rPr>
              <w:t xml:space="preserve"> R</w:t>
            </w:r>
            <w:r>
              <w:rPr>
                <w:rFonts w:ascii="Arial" w:cs="Arial" w:eastAsia="Arial" w:hAnsi="Arial"/>
                <w:sz w:val="14"/>
                <w:szCs w:val="14"/>
                <w:color w:val="auto"/>
              </w:rPr>
              <w:t>IGHTS</w:t>
            </w:r>
            <w:r>
              <w:rPr>
                <w:rFonts w:ascii="Arial" w:cs="Arial" w:eastAsia="Arial" w:hAnsi="Arial"/>
                <w:sz w:val="22"/>
                <w:szCs w:val="22"/>
                <w:color w:val="auto"/>
              </w:rPr>
              <w:t>.</w:t>
            </w:r>
          </w:p>
        </w:tc>
        <w:tc>
          <w:tcPr>
            <w:tcW w:w="700" w:type="dxa"/>
            <w:vAlign w:val="bottom"/>
          </w:tcPr>
          <w:p>
            <w:pPr>
              <w:jc w:val="right"/>
              <w:spacing w:after="0"/>
              <w:rPr>
                <w:sz w:val="20"/>
                <w:szCs w:val="20"/>
                <w:color w:val="auto"/>
              </w:rPr>
            </w:pPr>
            <w:r>
              <w:rPr>
                <w:rFonts w:ascii="Arial" w:cs="Arial" w:eastAsia="Arial" w:hAnsi="Arial"/>
                <w:sz w:val="22"/>
                <w:szCs w:val="22"/>
                <w:color w:val="auto"/>
              </w:rPr>
              <w:t>4</w:t>
            </w:r>
          </w:p>
        </w:tc>
      </w:tr>
      <w:tr>
        <w:trPr>
          <w:trHeight w:val="365"/>
        </w:trPr>
        <w:tc>
          <w:tcPr>
            <w:tcW w:w="520" w:type="dxa"/>
            <w:vAlign w:val="bottom"/>
          </w:tcPr>
          <w:p>
            <w:pPr>
              <w:spacing w:after="0"/>
              <w:rPr>
                <w:sz w:val="20"/>
                <w:szCs w:val="20"/>
                <w:color w:val="auto"/>
              </w:rPr>
            </w:pPr>
            <w:r>
              <w:rPr>
                <w:rFonts w:ascii="Arial" w:cs="Arial" w:eastAsia="Arial" w:hAnsi="Arial"/>
                <w:sz w:val="22"/>
                <w:szCs w:val="22"/>
                <w:color w:val="auto"/>
              </w:rPr>
              <w:t>5.</w:t>
            </w:r>
          </w:p>
        </w:tc>
        <w:tc>
          <w:tcPr>
            <w:tcW w:w="10020" w:type="dxa"/>
            <w:vAlign w:val="bottom"/>
          </w:tcPr>
          <w:p>
            <w:pPr>
              <w:ind w:left="260"/>
              <w:spacing w:after="0"/>
              <w:rPr>
                <w:sz w:val="20"/>
                <w:szCs w:val="20"/>
                <w:color w:val="auto"/>
              </w:rPr>
            </w:pPr>
            <w:r>
              <w:rPr>
                <w:rFonts w:ascii="Arial" w:cs="Arial" w:eastAsia="Arial" w:hAnsi="Arial"/>
                <w:sz w:val="22"/>
                <w:szCs w:val="22"/>
                <w:color w:val="auto"/>
              </w:rPr>
              <w:t>A</w:t>
            </w:r>
            <w:r>
              <w:rPr>
                <w:rFonts w:ascii="Arial" w:cs="Arial" w:eastAsia="Arial" w:hAnsi="Arial"/>
                <w:sz w:val="14"/>
                <w:szCs w:val="14"/>
                <w:color w:val="auto"/>
              </w:rPr>
              <w:t>WARDS</w:t>
            </w:r>
            <w:r>
              <w:rPr>
                <w:rFonts w:ascii="Arial" w:cs="Arial" w:eastAsia="Arial" w:hAnsi="Arial"/>
                <w:sz w:val="22"/>
                <w:szCs w:val="22"/>
                <w:color w:val="auto"/>
              </w:rPr>
              <w:t xml:space="preserve"> O</w:t>
            </w:r>
            <w:r>
              <w:rPr>
                <w:rFonts w:ascii="Arial" w:cs="Arial" w:eastAsia="Arial" w:hAnsi="Arial"/>
                <w:sz w:val="14"/>
                <w:szCs w:val="14"/>
                <w:color w:val="auto"/>
              </w:rPr>
              <w:t>THER</w:t>
            </w:r>
            <w:r>
              <w:rPr>
                <w:rFonts w:ascii="Arial" w:cs="Arial" w:eastAsia="Arial" w:hAnsi="Arial"/>
                <w:sz w:val="22"/>
                <w:szCs w:val="22"/>
                <w:color w:val="auto"/>
              </w:rPr>
              <w:t xml:space="preserve"> T</w:t>
            </w:r>
            <w:r>
              <w:rPr>
                <w:rFonts w:ascii="Arial" w:cs="Arial" w:eastAsia="Arial" w:hAnsi="Arial"/>
                <w:sz w:val="14"/>
                <w:szCs w:val="14"/>
                <w:color w:val="auto"/>
              </w:rPr>
              <w:t>HAN</w:t>
            </w:r>
            <w:r>
              <w:rPr>
                <w:rFonts w:ascii="Arial" w:cs="Arial" w:eastAsia="Arial" w:hAnsi="Arial"/>
                <w:sz w:val="22"/>
                <w:szCs w:val="22"/>
                <w:color w:val="auto"/>
              </w:rPr>
              <w:t xml:space="preserve"> O</w:t>
            </w:r>
            <w:r>
              <w:rPr>
                <w:rFonts w:ascii="Arial" w:cs="Arial" w:eastAsia="Arial" w:hAnsi="Arial"/>
                <w:sz w:val="14"/>
                <w:szCs w:val="14"/>
                <w:color w:val="auto"/>
              </w:rPr>
              <w:t>PTIONS AND</w:t>
            </w:r>
            <w:r>
              <w:rPr>
                <w:rFonts w:ascii="Arial" w:cs="Arial" w:eastAsia="Arial" w:hAnsi="Arial"/>
                <w:sz w:val="22"/>
                <w:szCs w:val="22"/>
                <w:color w:val="auto"/>
              </w:rPr>
              <w:t xml:space="preserve"> S</w:t>
            </w:r>
            <w:r>
              <w:rPr>
                <w:rFonts w:ascii="Arial" w:cs="Arial" w:eastAsia="Arial" w:hAnsi="Arial"/>
                <w:sz w:val="14"/>
                <w:szCs w:val="14"/>
                <w:color w:val="auto"/>
              </w:rPr>
              <w:t>TOCK</w:t>
            </w:r>
            <w:r>
              <w:rPr>
                <w:rFonts w:ascii="Arial" w:cs="Arial" w:eastAsia="Arial" w:hAnsi="Arial"/>
                <w:sz w:val="22"/>
                <w:szCs w:val="22"/>
                <w:color w:val="auto"/>
              </w:rPr>
              <w:t xml:space="preserve"> A</w:t>
            </w:r>
            <w:r>
              <w:rPr>
                <w:rFonts w:ascii="Arial" w:cs="Arial" w:eastAsia="Arial" w:hAnsi="Arial"/>
                <w:sz w:val="14"/>
                <w:szCs w:val="14"/>
                <w:color w:val="auto"/>
              </w:rPr>
              <w:t>PPRECIATION</w:t>
            </w:r>
            <w:r>
              <w:rPr>
                <w:rFonts w:ascii="Arial" w:cs="Arial" w:eastAsia="Arial" w:hAnsi="Arial"/>
                <w:sz w:val="22"/>
                <w:szCs w:val="22"/>
                <w:color w:val="auto"/>
              </w:rPr>
              <w:t xml:space="preserve"> R</w:t>
            </w:r>
            <w:r>
              <w:rPr>
                <w:rFonts w:ascii="Arial" w:cs="Arial" w:eastAsia="Arial" w:hAnsi="Arial"/>
                <w:sz w:val="14"/>
                <w:szCs w:val="14"/>
                <w:color w:val="auto"/>
              </w:rPr>
              <w:t>IGHTS</w:t>
            </w:r>
            <w:r>
              <w:rPr>
                <w:rFonts w:ascii="Arial" w:cs="Arial" w:eastAsia="Arial" w:hAnsi="Arial"/>
                <w:sz w:val="22"/>
                <w:szCs w:val="22"/>
                <w:color w:val="auto"/>
              </w:rPr>
              <w:t>.</w:t>
            </w:r>
          </w:p>
        </w:tc>
        <w:tc>
          <w:tcPr>
            <w:tcW w:w="700" w:type="dxa"/>
            <w:vAlign w:val="bottom"/>
          </w:tcPr>
          <w:p>
            <w:pPr>
              <w:jc w:val="right"/>
              <w:spacing w:after="0"/>
              <w:rPr>
                <w:sz w:val="20"/>
                <w:szCs w:val="20"/>
                <w:color w:val="auto"/>
              </w:rPr>
            </w:pPr>
            <w:r>
              <w:rPr>
                <w:rFonts w:ascii="Arial" w:cs="Arial" w:eastAsia="Arial" w:hAnsi="Arial"/>
                <w:sz w:val="22"/>
                <w:szCs w:val="22"/>
                <w:color w:val="auto"/>
              </w:rPr>
              <w:t>7</w:t>
            </w:r>
          </w:p>
        </w:tc>
      </w:tr>
      <w:tr>
        <w:trPr>
          <w:trHeight w:val="364"/>
        </w:trPr>
        <w:tc>
          <w:tcPr>
            <w:tcW w:w="520" w:type="dxa"/>
            <w:vAlign w:val="bottom"/>
          </w:tcPr>
          <w:p>
            <w:pPr>
              <w:spacing w:after="0"/>
              <w:rPr>
                <w:sz w:val="20"/>
                <w:szCs w:val="20"/>
                <w:color w:val="auto"/>
              </w:rPr>
            </w:pPr>
            <w:r>
              <w:rPr>
                <w:rFonts w:ascii="Arial" w:cs="Arial" w:eastAsia="Arial" w:hAnsi="Arial"/>
                <w:sz w:val="22"/>
                <w:szCs w:val="22"/>
                <w:color w:val="auto"/>
              </w:rPr>
              <w:t>6.</w:t>
            </w:r>
          </w:p>
        </w:tc>
        <w:tc>
          <w:tcPr>
            <w:tcW w:w="10020" w:type="dxa"/>
            <w:vAlign w:val="bottom"/>
          </w:tcPr>
          <w:p>
            <w:pPr>
              <w:ind w:left="260"/>
              <w:spacing w:after="0"/>
              <w:rPr>
                <w:sz w:val="20"/>
                <w:szCs w:val="20"/>
                <w:color w:val="auto"/>
              </w:rPr>
            </w:pPr>
            <w:r>
              <w:rPr>
                <w:rFonts w:ascii="Arial" w:cs="Arial" w:eastAsia="Arial" w:hAnsi="Arial"/>
                <w:sz w:val="22"/>
                <w:szCs w:val="22"/>
                <w:color w:val="auto"/>
              </w:rPr>
              <w:t>A</w:t>
            </w:r>
            <w:r>
              <w:rPr>
                <w:rFonts w:ascii="Arial" w:cs="Arial" w:eastAsia="Arial" w:hAnsi="Arial"/>
                <w:sz w:val="14"/>
                <w:szCs w:val="14"/>
                <w:color w:val="auto"/>
              </w:rPr>
              <w:t>DJUSTMENTS UPON</w:t>
            </w:r>
            <w:r>
              <w:rPr>
                <w:rFonts w:ascii="Arial" w:cs="Arial" w:eastAsia="Arial" w:hAnsi="Arial"/>
                <w:sz w:val="22"/>
                <w:szCs w:val="22"/>
                <w:color w:val="auto"/>
              </w:rPr>
              <w:t xml:space="preserve"> C</w:t>
            </w:r>
            <w:r>
              <w:rPr>
                <w:rFonts w:ascii="Arial" w:cs="Arial" w:eastAsia="Arial" w:hAnsi="Arial"/>
                <w:sz w:val="14"/>
                <w:szCs w:val="14"/>
                <w:color w:val="auto"/>
              </w:rPr>
              <w:t>HANGES IN</w:t>
            </w:r>
            <w:r>
              <w:rPr>
                <w:rFonts w:ascii="Arial" w:cs="Arial" w:eastAsia="Arial" w:hAnsi="Arial"/>
                <w:sz w:val="22"/>
                <w:szCs w:val="22"/>
                <w:color w:val="auto"/>
              </w:rPr>
              <w:t xml:space="preserve"> C</w:t>
            </w:r>
            <w:r>
              <w:rPr>
                <w:rFonts w:ascii="Arial" w:cs="Arial" w:eastAsia="Arial" w:hAnsi="Arial"/>
                <w:sz w:val="14"/>
                <w:szCs w:val="14"/>
                <w:color w:val="auto"/>
              </w:rPr>
              <w:t>OMMON</w:t>
            </w:r>
            <w:r>
              <w:rPr>
                <w:rFonts w:ascii="Arial" w:cs="Arial" w:eastAsia="Arial" w:hAnsi="Arial"/>
                <w:sz w:val="22"/>
                <w:szCs w:val="22"/>
                <w:color w:val="auto"/>
              </w:rPr>
              <w:t xml:space="preserve"> S</w:t>
            </w:r>
            <w:r>
              <w:rPr>
                <w:rFonts w:ascii="Arial" w:cs="Arial" w:eastAsia="Arial" w:hAnsi="Arial"/>
                <w:sz w:val="14"/>
                <w:szCs w:val="14"/>
                <w:color w:val="auto"/>
              </w:rPr>
              <w:t>TOCK</w:t>
            </w:r>
            <w:r>
              <w:rPr>
                <w:rFonts w:ascii="Arial" w:cs="Arial" w:eastAsia="Arial" w:hAnsi="Arial"/>
                <w:sz w:val="22"/>
                <w:szCs w:val="22"/>
                <w:color w:val="auto"/>
              </w:rPr>
              <w:t>; O</w:t>
            </w:r>
            <w:r>
              <w:rPr>
                <w:rFonts w:ascii="Arial" w:cs="Arial" w:eastAsia="Arial" w:hAnsi="Arial"/>
                <w:sz w:val="14"/>
                <w:szCs w:val="14"/>
                <w:color w:val="auto"/>
              </w:rPr>
              <w:t>THER</w:t>
            </w:r>
            <w:r>
              <w:rPr>
                <w:rFonts w:ascii="Arial" w:cs="Arial" w:eastAsia="Arial" w:hAnsi="Arial"/>
                <w:sz w:val="22"/>
                <w:szCs w:val="22"/>
                <w:color w:val="auto"/>
              </w:rPr>
              <w:t xml:space="preserve"> C</w:t>
            </w:r>
            <w:r>
              <w:rPr>
                <w:rFonts w:ascii="Arial" w:cs="Arial" w:eastAsia="Arial" w:hAnsi="Arial"/>
                <w:sz w:val="14"/>
                <w:szCs w:val="14"/>
                <w:color w:val="auto"/>
              </w:rPr>
              <w:t>ORPORATE</w:t>
            </w:r>
            <w:r>
              <w:rPr>
                <w:rFonts w:ascii="Arial" w:cs="Arial" w:eastAsia="Arial" w:hAnsi="Arial"/>
                <w:sz w:val="22"/>
                <w:szCs w:val="22"/>
                <w:color w:val="auto"/>
              </w:rPr>
              <w:t xml:space="preserve"> E</w:t>
            </w:r>
            <w:r>
              <w:rPr>
                <w:rFonts w:ascii="Arial" w:cs="Arial" w:eastAsia="Arial" w:hAnsi="Arial"/>
                <w:sz w:val="14"/>
                <w:szCs w:val="14"/>
                <w:color w:val="auto"/>
              </w:rPr>
              <w:t>VENTS</w:t>
            </w:r>
            <w:r>
              <w:rPr>
                <w:rFonts w:ascii="Arial" w:cs="Arial" w:eastAsia="Arial" w:hAnsi="Arial"/>
                <w:sz w:val="22"/>
                <w:szCs w:val="22"/>
                <w:color w:val="auto"/>
              </w:rPr>
              <w:t>.</w:t>
            </w:r>
          </w:p>
        </w:tc>
        <w:tc>
          <w:tcPr>
            <w:tcW w:w="700" w:type="dxa"/>
            <w:vAlign w:val="bottom"/>
          </w:tcPr>
          <w:p>
            <w:pPr>
              <w:jc w:val="right"/>
              <w:spacing w:after="0"/>
              <w:rPr>
                <w:sz w:val="20"/>
                <w:szCs w:val="20"/>
                <w:color w:val="auto"/>
              </w:rPr>
            </w:pPr>
            <w:r>
              <w:rPr>
                <w:rFonts w:ascii="Arial" w:cs="Arial" w:eastAsia="Arial" w:hAnsi="Arial"/>
                <w:sz w:val="22"/>
                <w:szCs w:val="22"/>
                <w:color w:val="auto"/>
              </w:rPr>
              <w:t>9</w:t>
            </w:r>
          </w:p>
        </w:tc>
      </w:tr>
      <w:tr>
        <w:trPr>
          <w:trHeight w:val="364"/>
        </w:trPr>
        <w:tc>
          <w:tcPr>
            <w:tcW w:w="520" w:type="dxa"/>
            <w:vAlign w:val="bottom"/>
          </w:tcPr>
          <w:p>
            <w:pPr>
              <w:spacing w:after="0"/>
              <w:rPr>
                <w:sz w:val="20"/>
                <w:szCs w:val="20"/>
                <w:color w:val="auto"/>
              </w:rPr>
            </w:pPr>
            <w:r>
              <w:rPr>
                <w:rFonts w:ascii="Arial" w:cs="Arial" w:eastAsia="Arial" w:hAnsi="Arial"/>
                <w:sz w:val="22"/>
                <w:szCs w:val="22"/>
                <w:color w:val="auto"/>
              </w:rPr>
              <w:t>7.</w:t>
            </w:r>
          </w:p>
        </w:tc>
        <w:tc>
          <w:tcPr>
            <w:tcW w:w="10020" w:type="dxa"/>
            <w:vAlign w:val="bottom"/>
          </w:tcPr>
          <w:p>
            <w:pPr>
              <w:ind w:left="260"/>
              <w:spacing w:after="0"/>
              <w:rPr>
                <w:sz w:val="20"/>
                <w:szCs w:val="20"/>
                <w:color w:val="auto"/>
              </w:rPr>
            </w:pPr>
            <w:r>
              <w:rPr>
                <w:rFonts w:ascii="Arial" w:cs="Arial" w:eastAsia="Arial" w:hAnsi="Arial"/>
                <w:sz w:val="22"/>
                <w:szCs w:val="22"/>
                <w:color w:val="auto"/>
              </w:rPr>
              <w:t>A</w:t>
            </w:r>
            <w:r>
              <w:rPr>
                <w:rFonts w:ascii="Arial" w:cs="Arial" w:eastAsia="Arial" w:hAnsi="Arial"/>
                <w:sz w:val="14"/>
                <w:szCs w:val="14"/>
                <w:color w:val="auto"/>
              </w:rPr>
              <w:t>DMINISTRATION</w:t>
            </w:r>
            <w:r>
              <w:rPr>
                <w:rFonts w:ascii="Arial" w:cs="Arial" w:eastAsia="Arial" w:hAnsi="Arial"/>
                <w:sz w:val="22"/>
                <w:szCs w:val="22"/>
                <w:color w:val="auto"/>
              </w:rPr>
              <w:t>.</w:t>
            </w:r>
          </w:p>
        </w:tc>
        <w:tc>
          <w:tcPr>
            <w:tcW w:w="700" w:type="dxa"/>
            <w:vAlign w:val="bottom"/>
          </w:tcPr>
          <w:p>
            <w:pPr>
              <w:jc w:val="right"/>
              <w:spacing w:after="0"/>
              <w:rPr>
                <w:sz w:val="20"/>
                <w:szCs w:val="20"/>
                <w:color w:val="auto"/>
              </w:rPr>
            </w:pPr>
            <w:r>
              <w:rPr>
                <w:rFonts w:ascii="Arial" w:cs="Arial" w:eastAsia="Arial" w:hAnsi="Arial"/>
                <w:sz w:val="22"/>
                <w:szCs w:val="22"/>
                <w:color w:val="auto"/>
              </w:rPr>
              <w:t>11</w:t>
            </w:r>
          </w:p>
        </w:tc>
      </w:tr>
      <w:tr>
        <w:trPr>
          <w:trHeight w:val="365"/>
        </w:trPr>
        <w:tc>
          <w:tcPr>
            <w:tcW w:w="520" w:type="dxa"/>
            <w:vAlign w:val="bottom"/>
          </w:tcPr>
          <w:p>
            <w:pPr>
              <w:spacing w:after="0"/>
              <w:rPr>
                <w:sz w:val="20"/>
                <w:szCs w:val="20"/>
                <w:color w:val="auto"/>
              </w:rPr>
            </w:pPr>
            <w:r>
              <w:rPr>
                <w:rFonts w:ascii="Arial" w:cs="Arial" w:eastAsia="Arial" w:hAnsi="Arial"/>
                <w:sz w:val="22"/>
                <w:szCs w:val="22"/>
                <w:color w:val="auto"/>
              </w:rPr>
              <w:t>8.</w:t>
            </w:r>
          </w:p>
        </w:tc>
        <w:tc>
          <w:tcPr>
            <w:tcW w:w="10020" w:type="dxa"/>
            <w:vAlign w:val="bottom"/>
          </w:tcPr>
          <w:p>
            <w:pPr>
              <w:ind w:left="260"/>
              <w:spacing w:after="0"/>
              <w:rPr>
                <w:sz w:val="20"/>
                <w:szCs w:val="20"/>
                <w:color w:val="auto"/>
              </w:rPr>
            </w:pPr>
            <w:r>
              <w:rPr>
                <w:rFonts w:ascii="Arial" w:cs="Arial" w:eastAsia="Arial" w:hAnsi="Arial"/>
                <w:sz w:val="22"/>
                <w:szCs w:val="22"/>
                <w:color w:val="auto"/>
              </w:rPr>
              <w:t>T</w:t>
            </w:r>
            <w:r>
              <w:rPr>
                <w:rFonts w:ascii="Arial" w:cs="Arial" w:eastAsia="Arial" w:hAnsi="Arial"/>
                <w:sz w:val="14"/>
                <w:szCs w:val="14"/>
                <w:color w:val="auto"/>
              </w:rPr>
              <w:t>AX</w:t>
            </w:r>
            <w:r>
              <w:rPr>
                <w:rFonts w:ascii="Arial" w:cs="Arial" w:eastAsia="Arial" w:hAnsi="Arial"/>
                <w:sz w:val="22"/>
                <w:szCs w:val="22"/>
                <w:color w:val="auto"/>
              </w:rPr>
              <w:t xml:space="preserve"> W</w:t>
            </w:r>
            <w:r>
              <w:rPr>
                <w:rFonts w:ascii="Arial" w:cs="Arial" w:eastAsia="Arial" w:hAnsi="Arial"/>
                <w:sz w:val="14"/>
                <w:szCs w:val="14"/>
                <w:color w:val="auto"/>
              </w:rPr>
              <w:t>ITHHOLDING</w:t>
            </w:r>
          </w:p>
        </w:tc>
        <w:tc>
          <w:tcPr>
            <w:tcW w:w="700" w:type="dxa"/>
            <w:vAlign w:val="bottom"/>
          </w:tcPr>
          <w:p>
            <w:pPr>
              <w:jc w:val="right"/>
              <w:spacing w:after="0"/>
              <w:rPr>
                <w:sz w:val="20"/>
                <w:szCs w:val="20"/>
                <w:color w:val="auto"/>
              </w:rPr>
            </w:pPr>
            <w:r>
              <w:rPr>
                <w:rFonts w:ascii="Arial" w:cs="Arial" w:eastAsia="Arial" w:hAnsi="Arial"/>
                <w:sz w:val="22"/>
                <w:szCs w:val="22"/>
                <w:color w:val="auto"/>
              </w:rPr>
              <w:t>14</w:t>
            </w:r>
          </w:p>
        </w:tc>
      </w:tr>
      <w:tr>
        <w:trPr>
          <w:trHeight w:val="364"/>
        </w:trPr>
        <w:tc>
          <w:tcPr>
            <w:tcW w:w="520" w:type="dxa"/>
            <w:vAlign w:val="bottom"/>
          </w:tcPr>
          <w:p>
            <w:pPr>
              <w:spacing w:after="0"/>
              <w:rPr>
                <w:sz w:val="20"/>
                <w:szCs w:val="20"/>
                <w:color w:val="auto"/>
              </w:rPr>
            </w:pPr>
            <w:r>
              <w:rPr>
                <w:rFonts w:ascii="Arial" w:cs="Arial" w:eastAsia="Arial" w:hAnsi="Arial"/>
                <w:sz w:val="22"/>
                <w:szCs w:val="22"/>
                <w:color w:val="auto"/>
              </w:rPr>
              <w:t>9.</w:t>
            </w:r>
          </w:p>
        </w:tc>
        <w:tc>
          <w:tcPr>
            <w:tcW w:w="10020" w:type="dxa"/>
            <w:vAlign w:val="bottom"/>
          </w:tcPr>
          <w:p>
            <w:pPr>
              <w:ind w:left="260"/>
              <w:spacing w:after="0"/>
              <w:rPr>
                <w:sz w:val="20"/>
                <w:szCs w:val="20"/>
                <w:color w:val="auto"/>
              </w:rPr>
            </w:pPr>
            <w:r>
              <w:rPr>
                <w:rFonts w:ascii="Arial" w:cs="Arial" w:eastAsia="Arial" w:hAnsi="Arial"/>
                <w:sz w:val="22"/>
                <w:szCs w:val="22"/>
                <w:color w:val="auto"/>
              </w:rPr>
              <w:t>M</w:t>
            </w:r>
            <w:r>
              <w:rPr>
                <w:rFonts w:ascii="Arial" w:cs="Arial" w:eastAsia="Arial" w:hAnsi="Arial"/>
                <w:sz w:val="14"/>
                <w:szCs w:val="14"/>
                <w:color w:val="auto"/>
              </w:rPr>
              <w:t>ISCELLANEOUS</w:t>
            </w:r>
            <w:r>
              <w:rPr>
                <w:rFonts w:ascii="Arial" w:cs="Arial" w:eastAsia="Arial" w:hAnsi="Arial"/>
                <w:sz w:val="22"/>
                <w:szCs w:val="22"/>
                <w:color w:val="auto"/>
              </w:rPr>
              <w:t>.</w:t>
            </w:r>
          </w:p>
        </w:tc>
        <w:tc>
          <w:tcPr>
            <w:tcW w:w="700" w:type="dxa"/>
            <w:vAlign w:val="bottom"/>
          </w:tcPr>
          <w:p>
            <w:pPr>
              <w:jc w:val="right"/>
              <w:spacing w:after="0"/>
              <w:rPr>
                <w:sz w:val="20"/>
                <w:szCs w:val="20"/>
                <w:color w:val="auto"/>
              </w:rPr>
            </w:pPr>
            <w:r>
              <w:rPr>
                <w:rFonts w:ascii="Arial" w:cs="Arial" w:eastAsia="Arial" w:hAnsi="Arial"/>
                <w:sz w:val="22"/>
                <w:szCs w:val="22"/>
                <w:color w:val="auto"/>
              </w:rPr>
              <w:t>15</w:t>
            </w:r>
          </w:p>
        </w:tc>
      </w:tr>
      <w:tr>
        <w:trPr>
          <w:trHeight w:val="365"/>
        </w:trPr>
        <w:tc>
          <w:tcPr>
            <w:tcW w:w="520" w:type="dxa"/>
            <w:vAlign w:val="bottom"/>
          </w:tcPr>
          <w:p>
            <w:pPr>
              <w:spacing w:after="0"/>
              <w:rPr>
                <w:sz w:val="20"/>
                <w:szCs w:val="20"/>
                <w:color w:val="auto"/>
              </w:rPr>
            </w:pPr>
            <w:r>
              <w:rPr>
                <w:rFonts w:ascii="Arial" w:cs="Arial" w:eastAsia="Arial" w:hAnsi="Arial"/>
                <w:sz w:val="22"/>
                <w:szCs w:val="22"/>
                <w:color w:val="auto"/>
              </w:rPr>
              <w:t>10.</w:t>
            </w:r>
          </w:p>
        </w:tc>
        <w:tc>
          <w:tcPr>
            <w:tcW w:w="10020" w:type="dxa"/>
            <w:vAlign w:val="bottom"/>
          </w:tcPr>
          <w:p>
            <w:pPr>
              <w:ind w:left="260"/>
              <w:spacing w:after="0"/>
              <w:rPr>
                <w:sz w:val="20"/>
                <w:szCs w:val="20"/>
                <w:color w:val="auto"/>
              </w:rPr>
            </w:pPr>
            <w:r>
              <w:rPr>
                <w:rFonts w:ascii="Arial" w:cs="Arial" w:eastAsia="Arial" w:hAnsi="Arial"/>
                <w:sz w:val="22"/>
                <w:szCs w:val="22"/>
                <w:color w:val="auto"/>
              </w:rPr>
              <w:t>C</w:t>
            </w:r>
            <w:r>
              <w:rPr>
                <w:rFonts w:ascii="Arial" w:cs="Arial" w:eastAsia="Arial" w:hAnsi="Arial"/>
                <w:sz w:val="14"/>
                <w:szCs w:val="14"/>
                <w:color w:val="auto"/>
              </w:rPr>
              <w:t>OVENANTS OF THE</w:t>
            </w:r>
            <w:r>
              <w:rPr>
                <w:rFonts w:ascii="Arial" w:cs="Arial" w:eastAsia="Arial" w:hAnsi="Arial"/>
                <w:sz w:val="22"/>
                <w:szCs w:val="22"/>
                <w:color w:val="auto"/>
              </w:rPr>
              <w:t xml:space="preserve"> C</w:t>
            </w:r>
            <w:r>
              <w:rPr>
                <w:rFonts w:ascii="Arial" w:cs="Arial" w:eastAsia="Arial" w:hAnsi="Arial"/>
                <w:sz w:val="14"/>
                <w:szCs w:val="14"/>
                <w:color w:val="auto"/>
              </w:rPr>
              <w:t>OMPANY</w:t>
            </w:r>
            <w:r>
              <w:rPr>
                <w:rFonts w:ascii="Arial" w:cs="Arial" w:eastAsia="Arial" w:hAnsi="Arial"/>
                <w:sz w:val="22"/>
                <w:szCs w:val="22"/>
                <w:color w:val="auto"/>
              </w:rPr>
              <w:t>.</w:t>
            </w:r>
          </w:p>
        </w:tc>
        <w:tc>
          <w:tcPr>
            <w:tcW w:w="700" w:type="dxa"/>
            <w:vAlign w:val="bottom"/>
          </w:tcPr>
          <w:p>
            <w:pPr>
              <w:jc w:val="right"/>
              <w:spacing w:after="0"/>
              <w:rPr>
                <w:sz w:val="20"/>
                <w:szCs w:val="20"/>
                <w:color w:val="auto"/>
              </w:rPr>
            </w:pPr>
            <w:r>
              <w:rPr>
                <w:rFonts w:ascii="Arial" w:cs="Arial" w:eastAsia="Arial" w:hAnsi="Arial"/>
                <w:sz w:val="22"/>
                <w:szCs w:val="22"/>
                <w:color w:val="auto"/>
              </w:rPr>
              <w:t>18</w:t>
            </w:r>
          </w:p>
        </w:tc>
      </w:tr>
      <w:tr>
        <w:trPr>
          <w:trHeight w:val="364"/>
        </w:trPr>
        <w:tc>
          <w:tcPr>
            <w:tcW w:w="520" w:type="dxa"/>
            <w:vAlign w:val="bottom"/>
          </w:tcPr>
          <w:p>
            <w:pPr>
              <w:spacing w:after="0"/>
              <w:rPr>
                <w:sz w:val="20"/>
                <w:szCs w:val="20"/>
                <w:color w:val="auto"/>
              </w:rPr>
            </w:pPr>
            <w:r>
              <w:rPr>
                <w:rFonts w:ascii="Arial" w:cs="Arial" w:eastAsia="Arial" w:hAnsi="Arial"/>
                <w:sz w:val="22"/>
                <w:szCs w:val="22"/>
                <w:color w:val="auto"/>
              </w:rPr>
              <w:t>11.</w:t>
            </w:r>
          </w:p>
        </w:tc>
        <w:tc>
          <w:tcPr>
            <w:tcW w:w="10020" w:type="dxa"/>
            <w:vAlign w:val="bottom"/>
          </w:tcPr>
          <w:p>
            <w:pPr>
              <w:ind w:left="260"/>
              <w:spacing w:after="0"/>
              <w:rPr>
                <w:sz w:val="20"/>
                <w:szCs w:val="20"/>
                <w:color w:val="auto"/>
              </w:rPr>
            </w:pPr>
            <w:r>
              <w:rPr>
                <w:rFonts w:ascii="Arial" w:cs="Arial" w:eastAsia="Arial" w:hAnsi="Arial"/>
                <w:sz w:val="22"/>
                <w:szCs w:val="22"/>
                <w:color w:val="auto"/>
              </w:rPr>
              <w:t>S</w:t>
            </w:r>
            <w:r>
              <w:rPr>
                <w:rFonts w:ascii="Arial" w:cs="Arial" w:eastAsia="Arial" w:hAnsi="Arial"/>
                <w:sz w:val="14"/>
                <w:szCs w:val="14"/>
                <w:color w:val="auto"/>
              </w:rPr>
              <w:t>EVERABILITY</w:t>
            </w:r>
            <w:r>
              <w:rPr>
                <w:rFonts w:ascii="Arial" w:cs="Arial" w:eastAsia="Arial" w:hAnsi="Arial"/>
                <w:sz w:val="22"/>
                <w:szCs w:val="22"/>
                <w:color w:val="auto"/>
              </w:rPr>
              <w:t>.</w:t>
            </w:r>
          </w:p>
        </w:tc>
        <w:tc>
          <w:tcPr>
            <w:tcW w:w="700" w:type="dxa"/>
            <w:vAlign w:val="bottom"/>
          </w:tcPr>
          <w:p>
            <w:pPr>
              <w:jc w:val="right"/>
              <w:spacing w:after="0"/>
              <w:rPr>
                <w:sz w:val="20"/>
                <w:szCs w:val="20"/>
                <w:color w:val="auto"/>
              </w:rPr>
            </w:pPr>
            <w:r>
              <w:rPr>
                <w:rFonts w:ascii="Arial" w:cs="Arial" w:eastAsia="Arial" w:hAnsi="Arial"/>
                <w:sz w:val="22"/>
                <w:szCs w:val="22"/>
                <w:color w:val="auto"/>
              </w:rPr>
              <w:t>18</w:t>
            </w:r>
          </w:p>
        </w:tc>
      </w:tr>
      <w:tr>
        <w:trPr>
          <w:trHeight w:val="364"/>
        </w:trPr>
        <w:tc>
          <w:tcPr>
            <w:tcW w:w="520" w:type="dxa"/>
            <w:vAlign w:val="bottom"/>
          </w:tcPr>
          <w:p>
            <w:pPr>
              <w:spacing w:after="0"/>
              <w:rPr>
                <w:sz w:val="20"/>
                <w:szCs w:val="20"/>
                <w:color w:val="auto"/>
              </w:rPr>
            </w:pPr>
            <w:r>
              <w:rPr>
                <w:rFonts w:ascii="Arial" w:cs="Arial" w:eastAsia="Arial" w:hAnsi="Arial"/>
                <w:sz w:val="22"/>
                <w:szCs w:val="22"/>
                <w:color w:val="auto"/>
              </w:rPr>
              <w:t>12.</w:t>
            </w:r>
          </w:p>
        </w:tc>
        <w:tc>
          <w:tcPr>
            <w:tcW w:w="10020" w:type="dxa"/>
            <w:vAlign w:val="bottom"/>
          </w:tcPr>
          <w:p>
            <w:pPr>
              <w:ind w:left="260"/>
              <w:spacing w:after="0"/>
              <w:rPr>
                <w:sz w:val="20"/>
                <w:szCs w:val="20"/>
                <w:color w:val="auto"/>
              </w:rPr>
            </w:pPr>
            <w:r>
              <w:rPr>
                <w:rFonts w:ascii="Arial" w:cs="Arial" w:eastAsia="Arial" w:hAnsi="Arial"/>
                <w:sz w:val="22"/>
                <w:szCs w:val="22"/>
                <w:color w:val="auto"/>
              </w:rPr>
              <w:t>T</w:t>
            </w:r>
            <w:r>
              <w:rPr>
                <w:rFonts w:ascii="Arial" w:cs="Arial" w:eastAsia="Arial" w:hAnsi="Arial"/>
                <w:sz w:val="14"/>
                <w:szCs w:val="14"/>
                <w:color w:val="auto"/>
              </w:rPr>
              <w:t>ERMINATION OF THE</w:t>
            </w:r>
            <w:r>
              <w:rPr>
                <w:rFonts w:ascii="Arial" w:cs="Arial" w:eastAsia="Arial" w:hAnsi="Arial"/>
                <w:sz w:val="22"/>
                <w:szCs w:val="22"/>
                <w:color w:val="auto"/>
              </w:rPr>
              <w:t xml:space="preserve"> P</w:t>
            </w:r>
            <w:r>
              <w:rPr>
                <w:rFonts w:ascii="Arial" w:cs="Arial" w:eastAsia="Arial" w:hAnsi="Arial"/>
                <w:sz w:val="14"/>
                <w:szCs w:val="14"/>
                <w:color w:val="auto"/>
              </w:rPr>
              <w:t>LAN</w:t>
            </w:r>
            <w:r>
              <w:rPr>
                <w:rFonts w:ascii="Arial" w:cs="Arial" w:eastAsia="Arial" w:hAnsi="Arial"/>
                <w:sz w:val="22"/>
                <w:szCs w:val="22"/>
                <w:color w:val="auto"/>
              </w:rPr>
              <w:t>.</w:t>
            </w:r>
          </w:p>
        </w:tc>
        <w:tc>
          <w:tcPr>
            <w:tcW w:w="700" w:type="dxa"/>
            <w:vAlign w:val="bottom"/>
          </w:tcPr>
          <w:p>
            <w:pPr>
              <w:jc w:val="right"/>
              <w:spacing w:after="0"/>
              <w:rPr>
                <w:sz w:val="20"/>
                <w:szCs w:val="20"/>
                <w:color w:val="auto"/>
              </w:rPr>
            </w:pPr>
            <w:r>
              <w:rPr>
                <w:rFonts w:ascii="Arial" w:cs="Arial" w:eastAsia="Arial" w:hAnsi="Arial"/>
                <w:sz w:val="22"/>
                <w:szCs w:val="22"/>
                <w:color w:val="auto"/>
              </w:rPr>
              <w:t>18</w:t>
            </w:r>
          </w:p>
        </w:tc>
      </w:tr>
      <w:tr>
        <w:trPr>
          <w:trHeight w:val="365"/>
        </w:trPr>
        <w:tc>
          <w:tcPr>
            <w:tcW w:w="520" w:type="dxa"/>
            <w:vAlign w:val="bottom"/>
          </w:tcPr>
          <w:p>
            <w:pPr>
              <w:spacing w:after="0"/>
              <w:rPr>
                <w:sz w:val="20"/>
                <w:szCs w:val="20"/>
                <w:color w:val="auto"/>
              </w:rPr>
            </w:pPr>
            <w:r>
              <w:rPr>
                <w:rFonts w:ascii="Arial" w:cs="Arial" w:eastAsia="Arial" w:hAnsi="Arial"/>
                <w:sz w:val="22"/>
                <w:szCs w:val="22"/>
                <w:color w:val="auto"/>
              </w:rPr>
              <w:t>13.</w:t>
            </w:r>
          </w:p>
        </w:tc>
        <w:tc>
          <w:tcPr>
            <w:tcW w:w="10020" w:type="dxa"/>
            <w:vAlign w:val="bottom"/>
          </w:tcPr>
          <w:p>
            <w:pPr>
              <w:ind w:left="260"/>
              <w:spacing w:after="0"/>
              <w:rPr>
                <w:sz w:val="20"/>
                <w:szCs w:val="20"/>
                <w:color w:val="auto"/>
              </w:rPr>
            </w:pPr>
            <w:r>
              <w:rPr>
                <w:rFonts w:ascii="Arial" w:cs="Arial" w:eastAsia="Arial" w:hAnsi="Arial"/>
                <w:sz w:val="22"/>
                <w:szCs w:val="22"/>
                <w:color w:val="auto"/>
              </w:rPr>
              <w:t>D</w:t>
            </w:r>
            <w:r>
              <w:rPr>
                <w:rFonts w:ascii="Arial" w:cs="Arial" w:eastAsia="Arial" w:hAnsi="Arial"/>
                <w:sz w:val="14"/>
                <w:szCs w:val="14"/>
                <w:color w:val="auto"/>
              </w:rPr>
              <w:t>EFINITIONS</w:t>
            </w:r>
            <w:r>
              <w:rPr>
                <w:rFonts w:ascii="Arial" w:cs="Arial" w:eastAsia="Arial" w:hAnsi="Arial"/>
                <w:sz w:val="22"/>
                <w:szCs w:val="22"/>
                <w:color w:val="auto"/>
              </w:rPr>
              <w:t>.</w:t>
            </w:r>
          </w:p>
        </w:tc>
        <w:tc>
          <w:tcPr>
            <w:tcW w:w="700" w:type="dxa"/>
            <w:vAlign w:val="bottom"/>
          </w:tcPr>
          <w:p>
            <w:pPr>
              <w:jc w:val="right"/>
              <w:spacing w:after="0"/>
              <w:rPr>
                <w:sz w:val="20"/>
                <w:szCs w:val="20"/>
                <w:color w:val="auto"/>
              </w:rPr>
            </w:pPr>
            <w:r>
              <w:rPr>
                <w:rFonts w:ascii="Arial" w:cs="Arial" w:eastAsia="Arial" w:hAnsi="Arial"/>
                <w:sz w:val="22"/>
                <w:szCs w:val="22"/>
                <w:color w:val="auto"/>
              </w:rPr>
              <w:t>18</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4946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6" w:name="page37"/>
    <w:bookmarkEnd w:id="36"/>
    <w:p>
      <w:pPr>
        <w:ind w:left="820" w:hanging="812"/>
        <w:spacing w:after="0"/>
        <w:tabs>
          <w:tab w:leader="none" w:pos="820" w:val="left"/>
        </w:tabs>
        <w:numPr>
          <w:ilvl w:val="0"/>
          <w:numId w:val="9"/>
        </w:numPr>
        <w:rPr>
          <w:rFonts w:ascii="Arial" w:cs="Arial" w:eastAsia="Arial" w:hAnsi="Arial"/>
          <w:sz w:val="22"/>
          <w:szCs w:val="22"/>
          <w:b w:val="1"/>
          <w:bCs w:val="1"/>
          <w:color w:val="auto"/>
        </w:rPr>
      </w:pPr>
      <w:r>
        <w:rPr>
          <w:rFonts w:ascii="Arial" w:cs="Arial" w:eastAsia="Arial" w:hAnsi="Arial"/>
          <w:sz w:val="22"/>
          <w:szCs w:val="22"/>
          <w:b w:val="1"/>
          <w:bCs w:val="1"/>
          <w:color w:val="auto"/>
        </w:rPr>
        <w:t>G</w:t>
      </w:r>
      <w:r>
        <w:rPr>
          <w:rFonts w:ascii="Arial" w:cs="Arial" w:eastAsia="Arial" w:hAnsi="Arial"/>
          <w:sz w:val="14"/>
          <w:szCs w:val="14"/>
          <w:b w:val="1"/>
          <w:bCs w:val="1"/>
          <w:color w:val="auto"/>
        </w:rPr>
        <w:t>ENERAL</w:t>
      </w:r>
      <w:r>
        <w:rPr>
          <w:rFonts w:ascii="Arial" w:cs="Arial" w:eastAsia="Arial" w:hAnsi="Arial"/>
          <w:sz w:val="22"/>
          <w:szCs w:val="22"/>
          <w:b w:val="1"/>
          <w:bCs w:val="1"/>
          <w:color w:val="auto"/>
        </w:rPr>
        <w:t>.</w:t>
      </w:r>
    </w:p>
    <w:p>
      <w:pPr>
        <w:spacing w:after="0" w:line="206" w:lineRule="exact"/>
        <w:rPr>
          <w:rFonts w:ascii="Arial" w:cs="Arial" w:eastAsia="Arial" w:hAnsi="Arial"/>
          <w:sz w:val="22"/>
          <w:szCs w:val="22"/>
          <w:b w:val="1"/>
          <w:bCs w:val="1"/>
          <w:color w:val="auto"/>
        </w:rPr>
      </w:pPr>
    </w:p>
    <w:p>
      <w:pPr>
        <w:jc w:val="both"/>
        <w:ind w:firstLine="872"/>
        <w:spacing w:after="0" w:line="249" w:lineRule="auto"/>
        <w:tabs>
          <w:tab w:leader="none" w:pos="1763" w:val="left"/>
        </w:tabs>
        <w:numPr>
          <w:ilvl w:val="1"/>
          <w:numId w:val="9"/>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Successor to and Continuation of Prior Plan. </w:t>
      </w:r>
      <w:r>
        <w:rPr>
          <w:rFonts w:ascii="Arial" w:cs="Arial" w:eastAsia="Arial" w:hAnsi="Arial"/>
          <w:sz w:val="21"/>
          <w:szCs w:val="21"/>
          <w:color w:val="auto"/>
        </w:rPr>
        <w:t>The Plan is the successor to and continuation of the Prior</w:t>
      </w:r>
      <w:r>
        <w:rPr>
          <w:rFonts w:ascii="Arial" w:cs="Arial" w:eastAsia="Arial" w:hAnsi="Arial"/>
          <w:sz w:val="21"/>
          <w:szCs w:val="21"/>
          <w:b w:val="1"/>
          <w:bCs w:val="1"/>
          <w:color w:val="auto"/>
        </w:rPr>
        <w:t xml:space="preserve"> </w:t>
      </w:r>
      <w:r>
        <w:rPr>
          <w:rFonts w:ascii="Arial" w:cs="Arial" w:eastAsia="Arial" w:hAnsi="Arial"/>
          <w:sz w:val="21"/>
          <w:szCs w:val="21"/>
          <w:color w:val="auto"/>
        </w:rPr>
        <w:t>Plan. As of the Effective Date, (i) no additional awards may be granted under the Prior Plan; (ii) the Prior Plan’s Available Reserve plus any Returning Shares will become available for issuance pursuant to Awards granted under this Plan; and (iii) all outstanding Awards granted under the Prior Plan will remain subject to the terms of the Prior Plan (except to the extent such outstanding awards result in Returning Shares that become available for issuance pursuant to Awards granted under this Plan). All Awards granted under this Plan will be subject to the terms of this Plan.</w:t>
      </w:r>
    </w:p>
    <w:p>
      <w:pPr>
        <w:spacing w:after="0" w:line="170" w:lineRule="exact"/>
        <w:rPr>
          <w:rFonts w:ascii="Arial" w:cs="Arial" w:eastAsia="Arial" w:hAnsi="Arial"/>
          <w:sz w:val="21"/>
          <w:szCs w:val="21"/>
          <w:b w:val="1"/>
          <w:bCs w:val="1"/>
          <w:color w:val="auto"/>
        </w:rPr>
      </w:pPr>
    </w:p>
    <w:p>
      <w:pPr>
        <w:jc w:val="both"/>
        <w:ind w:firstLine="872"/>
        <w:spacing w:after="0" w:line="239" w:lineRule="auto"/>
        <w:tabs>
          <w:tab w:leader="none" w:pos="1775" w:val="left"/>
        </w:tabs>
        <w:numPr>
          <w:ilvl w:val="1"/>
          <w:numId w:val="9"/>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Plan Purpose. </w:t>
      </w:r>
      <w:r>
        <w:rPr>
          <w:rFonts w:ascii="Arial" w:cs="Arial" w:eastAsia="Arial" w:hAnsi="Arial"/>
          <w:sz w:val="22"/>
          <w:szCs w:val="22"/>
          <w:color w:val="auto"/>
        </w:rPr>
        <w:t>The Company, by means of the Plan, seeks to secure and retain the services of Employees,</w:t>
      </w:r>
      <w:r>
        <w:rPr>
          <w:rFonts w:ascii="Arial" w:cs="Arial" w:eastAsia="Arial" w:hAnsi="Arial"/>
          <w:sz w:val="22"/>
          <w:szCs w:val="22"/>
          <w:b w:val="1"/>
          <w:bCs w:val="1"/>
          <w:color w:val="auto"/>
        </w:rPr>
        <w:t xml:space="preserve"> </w:t>
      </w:r>
      <w:r>
        <w:rPr>
          <w:rFonts w:ascii="Arial" w:cs="Arial" w:eastAsia="Arial" w:hAnsi="Arial"/>
          <w:sz w:val="22"/>
          <w:szCs w:val="22"/>
          <w:color w:val="auto"/>
        </w:rPr>
        <w:t>Directors and Consultants, to provide incentives for such persons to exert maximum efforts for the success of the Company and any Affiliate and to provide a means by which such persons may be given an opportunity to benefit from increases in value of the Common Stock through the granting of Awards.</w:t>
      </w:r>
    </w:p>
    <w:p>
      <w:pPr>
        <w:spacing w:after="0" w:line="180" w:lineRule="exact"/>
        <w:rPr>
          <w:rFonts w:ascii="Arial" w:cs="Arial" w:eastAsia="Arial" w:hAnsi="Arial"/>
          <w:sz w:val="22"/>
          <w:szCs w:val="22"/>
          <w:b w:val="1"/>
          <w:bCs w:val="1"/>
          <w:color w:val="auto"/>
        </w:rPr>
      </w:pPr>
    </w:p>
    <w:p>
      <w:pPr>
        <w:jc w:val="both"/>
        <w:ind w:firstLine="872"/>
        <w:spacing w:after="0" w:line="243" w:lineRule="auto"/>
        <w:tabs>
          <w:tab w:leader="none" w:pos="1751" w:val="left"/>
        </w:tabs>
        <w:numPr>
          <w:ilvl w:val="1"/>
          <w:numId w:val="9"/>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Available Awards. </w:t>
      </w:r>
      <w:r>
        <w:rPr>
          <w:rFonts w:ascii="Arial" w:cs="Arial" w:eastAsia="Arial" w:hAnsi="Arial"/>
          <w:sz w:val="22"/>
          <w:szCs w:val="22"/>
          <w:color w:val="auto"/>
        </w:rPr>
        <w:t>The Plan provides for the grant of the following Awards: (i) Incentive Stock Options; (ii)</w:t>
      </w:r>
      <w:r>
        <w:rPr>
          <w:rFonts w:ascii="Arial" w:cs="Arial" w:eastAsia="Arial" w:hAnsi="Arial"/>
          <w:sz w:val="22"/>
          <w:szCs w:val="22"/>
          <w:b w:val="1"/>
          <w:bCs w:val="1"/>
          <w:color w:val="auto"/>
        </w:rPr>
        <w:t xml:space="preserve"> </w:t>
      </w:r>
      <w:r>
        <w:rPr>
          <w:rFonts w:ascii="Arial" w:cs="Arial" w:eastAsia="Arial" w:hAnsi="Arial"/>
          <w:sz w:val="22"/>
          <w:szCs w:val="22"/>
          <w:color w:val="auto"/>
        </w:rPr>
        <w:t>Nonstatutory Stock Options; (iii) SARs; (iv) Restricted Stock Awards; (v) RSU Awards; (vi) Performance Awards; and (vii) Other Awards.</w:t>
      </w:r>
    </w:p>
    <w:p>
      <w:pPr>
        <w:spacing w:after="0" w:line="176" w:lineRule="exact"/>
        <w:rPr>
          <w:rFonts w:ascii="Arial" w:cs="Arial" w:eastAsia="Arial" w:hAnsi="Arial"/>
          <w:sz w:val="22"/>
          <w:szCs w:val="22"/>
          <w:b w:val="1"/>
          <w:bCs w:val="1"/>
          <w:color w:val="auto"/>
        </w:rPr>
      </w:pPr>
    </w:p>
    <w:p>
      <w:pPr>
        <w:ind w:left="1780" w:hanging="908"/>
        <w:spacing w:after="0"/>
        <w:tabs>
          <w:tab w:leader="none" w:pos="1780" w:val="left"/>
        </w:tabs>
        <w:numPr>
          <w:ilvl w:val="1"/>
          <w:numId w:val="9"/>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Effective Date. </w:t>
      </w:r>
      <w:r>
        <w:rPr>
          <w:rFonts w:ascii="Arial" w:cs="Arial" w:eastAsia="Arial" w:hAnsi="Arial"/>
          <w:sz w:val="22"/>
          <w:szCs w:val="22"/>
          <w:color w:val="auto"/>
        </w:rPr>
        <w:t>The Plan will come into existence on the Effective Date.</w:t>
      </w:r>
    </w:p>
    <w:p>
      <w:pPr>
        <w:spacing w:after="0" w:line="206" w:lineRule="exact"/>
        <w:rPr>
          <w:rFonts w:ascii="Arial" w:cs="Arial" w:eastAsia="Arial" w:hAnsi="Arial"/>
          <w:sz w:val="22"/>
          <w:szCs w:val="22"/>
          <w:b w:val="1"/>
          <w:bCs w:val="1"/>
          <w:color w:val="auto"/>
        </w:rPr>
      </w:pPr>
    </w:p>
    <w:p>
      <w:pPr>
        <w:ind w:left="820" w:hanging="812"/>
        <w:spacing w:after="0"/>
        <w:tabs>
          <w:tab w:leader="none" w:pos="820" w:val="left"/>
        </w:tabs>
        <w:numPr>
          <w:ilvl w:val="0"/>
          <w:numId w:val="9"/>
        </w:numPr>
        <w:rPr>
          <w:rFonts w:ascii="Arial" w:cs="Arial" w:eastAsia="Arial" w:hAnsi="Arial"/>
          <w:sz w:val="22"/>
          <w:szCs w:val="22"/>
          <w:b w:val="1"/>
          <w:bCs w:val="1"/>
          <w:color w:val="auto"/>
        </w:rPr>
      </w:pPr>
      <w:r>
        <w:rPr>
          <w:rFonts w:ascii="Arial" w:cs="Arial" w:eastAsia="Arial" w:hAnsi="Arial"/>
          <w:sz w:val="22"/>
          <w:szCs w:val="22"/>
          <w:b w:val="1"/>
          <w:bCs w:val="1"/>
          <w:color w:val="auto"/>
        </w:rPr>
        <w:t>S</w:t>
      </w:r>
      <w:r>
        <w:rPr>
          <w:rFonts w:ascii="Arial" w:cs="Arial" w:eastAsia="Arial" w:hAnsi="Arial"/>
          <w:sz w:val="14"/>
          <w:szCs w:val="14"/>
          <w:b w:val="1"/>
          <w:bCs w:val="1"/>
          <w:color w:val="auto"/>
        </w:rPr>
        <w:t>HARES</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UBJECT TO THE</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22"/>
          <w:szCs w:val="22"/>
          <w:b w:val="1"/>
          <w:bCs w:val="1"/>
          <w:color w:val="auto"/>
        </w:rPr>
        <w:t>.</w:t>
      </w:r>
    </w:p>
    <w:p>
      <w:pPr>
        <w:spacing w:after="0" w:line="206" w:lineRule="exact"/>
        <w:rPr>
          <w:rFonts w:ascii="Arial" w:cs="Arial" w:eastAsia="Arial" w:hAnsi="Arial"/>
          <w:sz w:val="22"/>
          <w:szCs w:val="22"/>
          <w:b w:val="1"/>
          <w:bCs w:val="1"/>
          <w:color w:val="auto"/>
        </w:rPr>
      </w:pPr>
    </w:p>
    <w:p>
      <w:pPr>
        <w:jc w:val="both"/>
        <w:ind w:firstLine="872"/>
        <w:spacing w:after="0" w:line="239" w:lineRule="auto"/>
        <w:tabs>
          <w:tab w:leader="none" w:pos="1763" w:val="left"/>
        </w:tabs>
        <w:numPr>
          <w:ilvl w:val="1"/>
          <w:numId w:val="9"/>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Share Reserve. </w:t>
      </w:r>
      <w:r>
        <w:rPr>
          <w:rFonts w:ascii="Arial" w:cs="Arial" w:eastAsia="Arial" w:hAnsi="Arial"/>
          <w:sz w:val="22"/>
          <w:szCs w:val="22"/>
          <w:color w:val="auto"/>
        </w:rPr>
        <w:t>Subject to any adjustments as necessary to implement any Capitalization Adjustments, the</w:t>
      </w:r>
      <w:r>
        <w:rPr>
          <w:rFonts w:ascii="Arial" w:cs="Arial" w:eastAsia="Arial" w:hAnsi="Arial"/>
          <w:sz w:val="22"/>
          <w:szCs w:val="22"/>
          <w:b w:val="1"/>
          <w:bCs w:val="1"/>
          <w:color w:val="auto"/>
        </w:rPr>
        <w:t xml:space="preserve"> </w:t>
      </w:r>
      <w:r>
        <w:rPr>
          <w:rFonts w:ascii="Arial" w:cs="Arial" w:eastAsia="Arial" w:hAnsi="Arial"/>
          <w:sz w:val="22"/>
          <w:szCs w:val="22"/>
          <w:color w:val="auto"/>
        </w:rPr>
        <w:t>aggregate number of shares of Common Stock that may be issued pursuant to Awards will not exceed the sum of (i) 2,000,000 new shares, plus (ii) the Prior Plan’s Available Reserve; plus, (iii) the number of Returning Shares, if any, as such shares become available from time to time.</w:t>
      </w:r>
    </w:p>
    <w:p>
      <w:pPr>
        <w:spacing w:after="0" w:line="180" w:lineRule="exact"/>
        <w:rPr>
          <w:rFonts w:ascii="Arial" w:cs="Arial" w:eastAsia="Arial" w:hAnsi="Arial"/>
          <w:sz w:val="22"/>
          <w:szCs w:val="22"/>
          <w:b w:val="1"/>
          <w:bCs w:val="1"/>
          <w:color w:val="auto"/>
        </w:rPr>
      </w:pPr>
    </w:p>
    <w:p>
      <w:pPr>
        <w:jc w:val="both"/>
        <w:ind w:right="20" w:firstLine="872"/>
        <w:spacing w:after="0" w:line="300" w:lineRule="auto"/>
        <w:tabs>
          <w:tab w:leader="none" w:pos="1775" w:val="left"/>
        </w:tabs>
        <w:numPr>
          <w:ilvl w:val="1"/>
          <w:numId w:val="9"/>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Aggregate Incentive Stock Option Limit. </w:t>
      </w:r>
      <w:r>
        <w:rPr>
          <w:rFonts w:ascii="Arial" w:cs="Arial" w:eastAsia="Arial" w:hAnsi="Arial"/>
          <w:sz w:val="19"/>
          <w:szCs w:val="19"/>
          <w:color w:val="auto"/>
        </w:rPr>
        <w:t>Notwithstanding anything to the contrary in Section 2(a) and</w:t>
      </w:r>
      <w:r>
        <w:rPr>
          <w:rFonts w:ascii="Arial" w:cs="Arial" w:eastAsia="Arial" w:hAnsi="Arial"/>
          <w:sz w:val="19"/>
          <w:szCs w:val="19"/>
          <w:b w:val="1"/>
          <w:bCs w:val="1"/>
          <w:color w:val="auto"/>
        </w:rPr>
        <w:t xml:space="preserve"> </w:t>
      </w:r>
      <w:r>
        <w:rPr>
          <w:rFonts w:ascii="Arial" w:cs="Arial" w:eastAsia="Arial" w:hAnsi="Arial"/>
          <w:sz w:val="19"/>
          <w:szCs w:val="19"/>
          <w:color w:val="auto"/>
        </w:rPr>
        <w:t>subject to any adjustments as necessary to implement any Capitalization Adjustments, the aggregate maximum number of shares of Common Stock that may be issued pursuant to the exercise of Incentive Stock Options is 25,000,000 shares.</w:t>
      </w:r>
    </w:p>
    <w:p>
      <w:pPr>
        <w:spacing w:after="0" w:line="125" w:lineRule="exact"/>
        <w:rPr>
          <w:rFonts w:ascii="Arial" w:cs="Arial" w:eastAsia="Arial" w:hAnsi="Arial"/>
          <w:sz w:val="19"/>
          <w:szCs w:val="19"/>
          <w:b w:val="1"/>
          <w:bCs w:val="1"/>
          <w:color w:val="auto"/>
        </w:rPr>
      </w:pPr>
    </w:p>
    <w:p>
      <w:pPr>
        <w:ind w:left="1760" w:hanging="888"/>
        <w:spacing w:after="0"/>
        <w:tabs>
          <w:tab w:leader="none" w:pos="1760" w:val="left"/>
        </w:tabs>
        <w:numPr>
          <w:ilvl w:val="1"/>
          <w:numId w:val="9"/>
        </w:numPr>
        <w:rPr>
          <w:rFonts w:ascii="Arial" w:cs="Arial" w:eastAsia="Arial" w:hAnsi="Arial"/>
          <w:sz w:val="22"/>
          <w:szCs w:val="22"/>
          <w:b w:val="1"/>
          <w:bCs w:val="1"/>
          <w:color w:val="auto"/>
        </w:rPr>
      </w:pPr>
      <w:r>
        <w:rPr>
          <w:rFonts w:ascii="Arial" w:cs="Arial" w:eastAsia="Arial" w:hAnsi="Arial"/>
          <w:sz w:val="22"/>
          <w:szCs w:val="22"/>
          <w:b w:val="1"/>
          <w:bCs w:val="1"/>
          <w:color w:val="auto"/>
        </w:rPr>
        <w:t>Share Reserve Operation.</w:t>
      </w:r>
    </w:p>
    <w:p>
      <w:pPr>
        <w:spacing w:after="0" w:line="206" w:lineRule="exact"/>
        <w:rPr>
          <w:rFonts w:ascii="Arial" w:cs="Arial" w:eastAsia="Arial" w:hAnsi="Arial"/>
          <w:sz w:val="22"/>
          <w:szCs w:val="22"/>
          <w:b w:val="1"/>
          <w:bCs w:val="1"/>
          <w:color w:val="auto"/>
        </w:rPr>
      </w:pPr>
    </w:p>
    <w:p>
      <w:pPr>
        <w:jc w:val="both"/>
        <w:ind w:firstLine="1735"/>
        <w:spacing w:after="0" w:line="235" w:lineRule="auto"/>
        <w:tabs>
          <w:tab w:leader="none" w:pos="2579" w:val="left"/>
        </w:tabs>
        <w:numPr>
          <w:ilvl w:val="2"/>
          <w:numId w:val="9"/>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Limit Applies to Common Stock Issued Pursuant to Awards. </w:t>
      </w:r>
      <w:r>
        <w:rPr>
          <w:rFonts w:ascii="Arial" w:cs="Arial" w:eastAsia="Arial" w:hAnsi="Arial"/>
          <w:sz w:val="22"/>
          <w:szCs w:val="22"/>
          <w:color w:val="auto"/>
        </w:rPr>
        <w:t>For clarity, the Share Reserve is a</w:t>
      </w:r>
      <w:r>
        <w:rPr>
          <w:rFonts w:ascii="Arial" w:cs="Arial" w:eastAsia="Arial" w:hAnsi="Arial"/>
          <w:sz w:val="22"/>
          <w:szCs w:val="22"/>
          <w:b w:val="1"/>
          <w:bCs w:val="1"/>
          <w:color w:val="auto"/>
        </w:rPr>
        <w:t xml:space="preserve"> </w:t>
      </w:r>
      <w:r>
        <w:rPr>
          <w:rFonts w:ascii="Arial" w:cs="Arial" w:eastAsia="Arial" w:hAnsi="Arial"/>
          <w:sz w:val="22"/>
          <w:szCs w:val="22"/>
          <w:color w:val="auto"/>
        </w:rPr>
        <w:t>limit on the number of shares of Common Stock that may be issued pursuant to Awards and does not limit the granting of Awards, except that the Company will keep available at all times the number of shares of Common Stock reasonably required to satisfy its obligations to issue shares pursuant to such Awards. Shares may be issued in connection with a merger or acquisition as permitted by, as applicable, Nasdaq Listing Rule 5635(c), NYSE Listed Company Manual Section 303A.08, NYSE American Company Guide Section 711 or other applicable rule, and such issuance will not reduce the number of shares available for issuance under the Plan.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7" w:name="page38"/>
    <w:bookmarkEnd w:id="37"/>
    <w:p>
      <w:pPr>
        <w:jc w:val="both"/>
        <w:ind w:firstLine="1735"/>
        <w:spacing w:after="0" w:line="251" w:lineRule="auto"/>
        <w:tabs>
          <w:tab w:leader="none" w:pos="2639" w:val="left"/>
        </w:tabs>
        <w:numPr>
          <w:ilvl w:val="2"/>
          <w:numId w:val="10"/>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Actions that Do Not Constitute Issuance of Common Stock and Do Not Reduce Share Reserve. </w:t>
      </w:r>
      <w:r>
        <w:rPr>
          <w:rFonts w:ascii="Arial" w:cs="Arial" w:eastAsia="Arial" w:hAnsi="Arial"/>
          <w:sz w:val="21"/>
          <w:szCs w:val="21"/>
          <w:color w:val="auto"/>
        </w:rPr>
        <w:t>The following actions do not result in an issuance of shares under the Plan and accordingly do not reduce the number</w:t>
      </w:r>
      <w:r>
        <w:rPr>
          <w:rFonts w:ascii="Arial" w:cs="Arial" w:eastAsia="Arial" w:hAnsi="Arial"/>
          <w:sz w:val="21"/>
          <w:szCs w:val="21"/>
          <w:b w:val="1"/>
          <w:bCs w:val="1"/>
          <w:color w:val="auto"/>
        </w:rPr>
        <w:t xml:space="preserve"> </w:t>
      </w:r>
      <w:r>
        <w:rPr>
          <w:rFonts w:ascii="Arial" w:cs="Arial" w:eastAsia="Arial" w:hAnsi="Arial"/>
          <w:sz w:val="21"/>
          <w:szCs w:val="21"/>
          <w:color w:val="auto"/>
        </w:rPr>
        <w:t>of shares subject to the Share Reserve and available for issuance under the Plan: (1) the expiration or termination of any portion of an Award without the shares covered by such portion of the Award having been issued, or (2) the settlement of any portion of an Award in cash (</w:t>
      </w:r>
      <w:r>
        <w:rPr>
          <w:rFonts w:ascii="Arial" w:cs="Arial" w:eastAsia="Arial" w:hAnsi="Arial"/>
          <w:sz w:val="21"/>
          <w:szCs w:val="21"/>
          <w:i w:val="1"/>
          <w:iCs w:val="1"/>
          <w:color w:val="auto"/>
        </w:rPr>
        <w:t>i.e.</w:t>
      </w:r>
      <w:r>
        <w:rPr>
          <w:rFonts w:ascii="Arial" w:cs="Arial" w:eastAsia="Arial" w:hAnsi="Arial"/>
          <w:sz w:val="21"/>
          <w:szCs w:val="21"/>
          <w:color w:val="auto"/>
        </w:rPr>
        <w:t>, the Participant receives cash rather than Common Stock).</w:t>
      </w:r>
    </w:p>
    <w:p>
      <w:pPr>
        <w:spacing w:after="0" w:line="168" w:lineRule="exact"/>
        <w:rPr>
          <w:rFonts w:ascii="Arial" w:cs="Arial" w:eastAsia="Arial" w:hAnsi="Arial"/>
          <w:sz w:val="21"/>
          <w:szCs w:val="21"/>
          <w:b w:val="1"/>
          <w:bCs w:val="1"/>
          <w:color w:val="auto"/>
        </w:rPr>
      </w:pPr>
    </w:p>
    <w:p>
      <w:pPr>
        <w:jc w:val="both"/>
        <w:ind w:firstLine="1735"/>
        <w:spacing w:after="0" w:line="239" w:lineRule="auto"/>
        <w:tabs>
          <w:tab w:leader="none" w:pos="2699" w:val="left"/>
        </w:tabs>
        <w:numPr>
          <w:ilvl w:val="2"/>
          <w:numId w:val="10"/>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Reversion of Previously Issued Shares of Common Stock to Share Reserve. </w:t>
      </w:r>
      <w:r>
        <w:rPr>
          <w:rFonts w:ascii="Arial" w:cs="Arial" w:eastAsia="Arial" w:hAnsi="Arial"/>
          <w:sz w:val="22"/>
          <w:szCs w:val="22"/>
          <w:color w:val="auto"/>
        </w:rPr>
        <w:t>Any shares of</w:t>
      </w:r>
      <w:r>
        <w:rPr>
          <w:rFonts w:ascii="Arial" w:cs="Arial" w:eastAsia="Arial" w:hAnsi="Arial"/>
          <w:sz w:val="22"/>
          <w:szCs w:val="22"/>
          <w:b w:val="1"/>
          <w:bCs w:val="1"/>
          <w:color w:val="auto"/>
        </w:rPr>
        <w:t xml:space="preserve"> </w:t>
      </w:r>
      <w:r>
        <w:rPr>
          <w:rFonts w:ascii="Arial" w:cs="Arial" w:eastAsia="Arial" w:hAnsi="Arial"/>
          <w:sz w:val="22"/>
          <w:szCs w:val="22"/>
          <w:color w:val="auto"/>
        </w:rPr>
        <w:t>Common Stock previously issued pursuant to an Award that are forfeited back to or repurchased by the Company because of a failure to meet a contingency or condition required for the vesting of such shares will be added back to the Share Reserve and again become available for issuance under the Plan.</w:t>
      </w:r>
    </w:p>
    <w:p>
      <w:pPr>
        <w:spacing w:after="0" w:line="180" w:lineRule="exact"/>
        <w:rPr>
          <w:rFonts w:ascii="Arial" w:cs="Arial" w:eastAsia="Arial" w:hAnsi="Arial"/>
          <w:sz w:val="22"/>
          <w:szCs w:val="22"/>
          <w:b w:val="1"/>
          <w:bCs w:val="1"/>
          <w:color w:val="auto"/>
        </w:rPr>
      </w:pPr>
    </w:p>
    <w:p>
      <w:pPr>
        <w:jc w:val="both"/>
        <w:ind w:firstLine="1735"/>
        <w:spacing w:after="0" w:line="235" w:lineRule="auto"/>
        <w:tabs>
          <w:tab w:leader="none" w:pos="2687" w:val="left"/>
        </w:tabs>
        <w:numPr>
          <w:ilvl w:val="2"/>
          <w:numId w:val="10"/>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Shares Not Available For Subsequent Issuance. </w:t>
      </w:r>
      <w:r>
        <w:rPr>
          <w:rFonts w:ascii="Arial" w:cs="Arial" w:eastAsia="Arial" w:hAnsi="Arial"/>
          <w:sz w:val="22"/>
          <w:szCs w:val="22"/>
          <w:color w:val="auto"/>
        </w:rPr>
        <w:t>Any shares of Common Stock reacquired or</w:t>
      </w:r>
      <w:r>
        <w:rPr>
          <w:rFonts w:ascii="Arial" w:cs="Arial" w:eastAsia="Arial" w:hAnsi="Arial"/>
          <w:sz w:val="22"/>
          <w:szCs w:val="22"/>
          <w:b w:val="1"/>
          <w:bCs w:val="1"/>
          <w:color w:val="auto"/>
        </w:rPr>
        <w:t xml:space="preserve"> </w:t>
      </w:r>
      <w:r>
        <w:rPr>
          <w:rFonts w:ascii="Arial" w:cs="Arial" w:eastAsia="Arial" w:hAnsi="Arial"/>
          <w:sz w:val="22"/>
          <w:szCs w:val="22"/>
          <w:color w:val="auto"/>
        </w:rPr>
        <w:t>withheld (or not issued) by the Company to satisfy the exercise or purchase price of an Award will no longer be available for issuance under the Plan, including any shares subject to an Award that are not delivered to a Participant because such Award is settled through a reduction of shares subject to such Award. In addition, any shares reacquired or withheld (or not issued) by the Company to satisfy a tax withholding obligation in connection with an Award, or any shares repurchased by the Company on the open market with the proceeds from the exercise or purchase price of an Award will no longer be available for issuance under the Plan.</w:t>
      </w:r>
    </w:p>
    <w:p>
      <w:pPr>
        <w:spacing w:after="0" w:line="183" w:lineRule="exact"/>
        <w:rPr>
          <w:rFonts w:ascii="Arial" w:cs="Arial" w:eastAsia="Arial" w:hAnsi="Arial"/>
          <w:sz w:val="22"/>
          <w:szCs w:val="22"/>
          <w:b w:val="1"/>
          <w:bCs w:val="1"/>
          <w:color w:val="auto"/>
        </w:rPr>
      </w:pPr>
    </w:p>
    <w:p>
      <w:pPr>
        <w:ind w:left="820" w:hanging="812"/>
        <w:spacing w:after="0"/>
        <w:tabs>
          <w:tab w:leader="none" w:pos="820" w:val="left"/>
        </w:tabs>
        <w:numPr>
          <w:ilvl w:val="0"/>
          <w:numId w:val="11"/>
        </w:numPr>
        <w:rPr>
          <w:rFonts w:ascii="Arial" w:cs="Arial" w:eastAsia="Arial" w:hAnsi="Arial"/>
          <w:sz w:val="22"/>
          <w:szCs w:val="22"/>
          <w:b w:val="1"/>
          <w:bCs w:val="1"/>
          <w:color w:val="auto"/>
        </w:rPr>
      </w:pPr>
      <w:r>
        <w:rPr>
          <w:rFonts w:ascii="Arial" w:cs="Arial" w:eastAsia="Arial" w:hAnsi="Arial"/>
          <w:sz w:val="22"/>
          <w:szCs w:val="22"/>
          <w:b w:val="1"/>
          <w:bCs w:val="1"/>
          <w:color w:val="auto"/>
        </w:rPr>
        <w:t>E</w:t>
      </w:r>
      <w:r>
        <w:rPr>
          <w:rFonts w:ascii="Arial" w:cs="Arial" w:eastAsia="Arial" w:hAnsi="Arial"/>
          <w:sz w:val="14"/>
          <w:szCs w:val="14"/>
          <w:b w:val="1"/>
          <w:bCs w:val="1"/>
          <w:color w:val="auto"/>
        </w:rPr>
        <w:t>LIGIBILITY AND</w:t>
      </w:r>
      <w:r>
        <w:rPr>
          <w:rFonts w:ascii="Arial" w:cs="Arial" w:eastAsia="Arial" w:hAnsi="Arial"/>
          <w:sz w:val="22"/>
          <w:szCs w:val="22"/>
          <w:b w:val="1"/>
          <w:bCs w:val="1"/>
          <w:color w:val="auto"/>
        </w:rPr>
        <w:t xml:space="preserve"> L</w:t>
      </w:r>
      <w:r>
        <w:rPr>
          <w:rFonts w:ascii="Arial" w:cs="Arial" w:eastAsia="Arial" w:hAnsi="Arial"/>
          <w:sz w:val="14"/>
          <w:szCs w:val="14"/>
          <w:b w:val="1"/>
          <w:bCs w:val="1"/>
          <w:color w:val="auto"/>
        </w:rPr>
        <w:t>IMITATIONS</w:t>
      </w:r>
      <w:r>
        <w:rPr>
          <w:rFonts w:ascii="Arial" w:cs="Arial" w:eastAsia="Arial" w:hAnsi="Arial"/>
          <w:sz w:val="22"/>
          <w:szCs w:val="22"/>
          <w:b w:val="1"/>
          <w:bCs w:val="1"/>
          <w:color w:val="auto"/>
        </w:rPr>
        <w:t>.</w:t>
      </w:r>
    </w:p>
    <w:p>
      <w:pPr>
        <w:spacing w:after="0" w:line="206" w:lineRule="exact"/>
        <w:rPr>
          <w:rFonts w:ascii="Arial" w:cs="Arial" w:eastAsia="Arial" w:hAnsi="Arial"/>
          <w:sz w:val="22"/>
          <w:szCs w:val="22"/>
          <w:b w:val="1"/>
          <w:bCs w:val="1"/>
          <w:color w:val="auto"/>
        </w:rPr>
      </w:pPr>
    </w:p>
    <w:p>
      <w:pPr>
        <w:ind w:firstLine="872"/>
        <w:spacing w:after="0" w:line="256" w:lineRule="auto"/>
        <w:tabs>
          <w:tab w:leader="none" w:pos="1763" w:val="left"/>
        </w:tabs>
        <w:numPr>
          <w:ilvl w:val="1"/>
          <w:numId w:val="1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Eligible Award Recipients. </w:t>
      </w:r>
      <w:r>
        <w:rPr>
          <w:rFonts w:ascii="Arial" w:cs="Arial" w:eastAsia="Arial" w:hAnsi="Arial"/>
          <w:sz w:val="22"/>
          <w:szCs w:val="22"/>
          <w:color w:val="auto"/>
        </w:rPr>
        <w:t>Subject to the terms of the Plan, Employees, Directors and Consultants are</w:t>
      </w:r>
      <w:r>
        <w:rPr>
          <w:rFonts w:ascii="Arial" w:cs="Arial" w:eastAsia="Arial" w:hAnsi="Arial"/>
          <w:sz w:val="22"/>
          <w:szCs w:val="22"/>
          <w:b w:val="1"/>
          <w:bCs w:val="1"/>
          <w:color w:val="auto"/>
        </w:rPr>
        <w:t xml:space="preserve"> </w:t>
      </w:r>
      <w:r>
        <w:rPr>
          <w:rFonts w:ascii="Arial" w:cs="Arial" w:eastAsia="Arial" w:hAnsi="Arial"/>
          <w:sz w:val="22"/>
          <w:szCs w:val="22"/>
          <w:color w:val="auto"/>
        </w:rPr>
        <w:t>eligible to receive Awards.</w:t>
      </w:r>
    </w:p>
    <w:p>
      <w:pPr>
        <w:spacing w:after="0" w:line="162" w:lineRule="exact"/>
        <w:rPr>
          <w:rFonts w:ascii="Arial" w:cs="Arial" w:eastAsia="Arial" w:hAnsi="Arial"/>
          <w:sz w:val="22"/>
          <w:szCs w:val="22"/>
          <w:b w:val="1"/>
          <w:bCs w:val="1"/>
          <w:color w:val="auto"/>
        </w:rPr>
      </w:pPr>
    </w:p>
    <w:p>
      <w:pPr>
        <w:ind w:left="1780" w:hanging="908"/>
        <w:spacing w:after="0"/>
        <w:tabs>
          <w:tab w:leader="none" w:pos="1780" w:val="left"/>
        </w:tabs>
        <w:numPr>
          <w:ilvl w:val="1"/>
          <w:numId w:val="11"/>
        </w:numPr>
        <w:rPr>
          <w:rFonts w:ascii="Arial" w:cs="Arial" w:eastAsia="Arial" w:hAnsi="Arial"/>
          <w:sz w:val="22"/>
          <w:szCs w:val="22"/>
          <w:b w:val="1"/>
          <w:bCs w:val="1"/>
          <w:color w:val="auto"/>
        </w:rPr>
      </w:pPr>
      <w:r>
        <w:rPr>
          <w:rFonts w:ascii="Arial" w:cs="Arial" w:eastAsia="Arial" w:hAnsi="Arial"/>
          <w:sz w:val="22"/>
          <w:szCs w:val="22"/>
          <w:b w:val="1"/>
          <w:bCs w:val="1"/>
          <w:color w:val="auto"/>
        </w:rPr>
        <w:t>Specific Award Limitations.</w:t>
      </w:r>
    </w:p>
    <w:p>
      <w:pPr>
        <w:spacing w:after="0" w:line="206" w:lineRule="exact"/>
        <w:rPr>
          <w:rFonts w:ascii="Arial" w:cs="Arial" w:eastAsia="Arial" w:hAnsi="Arial"/>
          <w:sz w:val="22"/>
          <w:szCs w:val="22"/>
          <w:b w:val="1"/>
          <w:bCs w:val="1"/>
          <w:color w:val="auto"/>
        </w:rPr>
      </w:pPr>
    </w:p>
    <w:p>
      <w:pPr>
        <w:jc w:val="both"/>
        <w:ind w:firstLine="1735"/>
        <w:spacing w:after="0" w:line="243" w:lineRule="auto"/>
        <w:tabs>
          <w:tab w:leader="none" w:pos="2579" w:val="left"/>
        </w:tabs>
        <w:numPr>
          <w:ilvl w:val="2"/>
          <w:numId w:val="1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Limitations on Incentive Stock Option Recipients. </w:t>
      </w:r>
      <w:r>
        <w:rPr>
          <w:rFonts w:ascii="Arial" w:cs="Arial" w:eastAsia="Arial" w:hAnsi="Arial"/>
          <w:sz w:val="22"/>
          <w:szCs w:val="22"/>
          <w:color w:val="auto"/>
        </w:rPr>
        <w:t>Incentive Stock Options may be granted only</w:t>
      </w:r>
      <w:r>
        <w:rPr>
          <w:rFonts w:ascii="Arial" w:cs="Arial" w:eastAsia="Arial" w:hAnsi="Arial"/>
          <w:sz w:val="22"/>
          <w:szCs w:val="22"/>
          <w:b w:val="1"/>
          <w:bCs w:val="1"/>
          <w:color w:val="auto"/>
        </w:rPr>
        <w:t xml:space="preserve"> </w:t>
      </w:r>
      <w:r>
        <w:rPr>
          <w:rFonts w:ascii="Arial" w:cs="Arial" w:eastAsia="Arial" w:hAnsi="Arial"/>
          <w:sz w:val="22"/>
          <w:szCs w:val="22"/>
          <w:color w:val="auto"/>
        </w:rPr>
        <w:t>to Employees of the Company or a “parent corporation” or “subsidiary corporation” thereof (as such terms are defined in Sections 424(e) and (f) of the Code).</w:t>
      </w:r>
    </w:p>
    <w:p>
      <w:pPr>
        <w:spacing w:after="0" w:line="176" w:lineRule="exact"/>
        <w:rPr>
          <w:rFonts w:ascii="Arial" w:cs="Arial" w:eastAsia="Arial" w:hAnsi="Arial"/>
          <w:sz w:val="22"/>
          <w:szCs w:val="22"/>
          <w:b w:val="1"/>
          <w:bCs w:val="1"/>
          <w:color w:val="auto"/>
        </w:rPr>
      </w:pPr>
    </w:p>
    <w:p>
      <w:pPr>
        <w:jc w:val="both"/>
        <w:ind w:firstLine="1735"/>
        <w:spacing w:after="0" w:line="235" w:lineRule="auto"/>
        <w:tabs>
          <w:tab w:leader="none" w:pos="2639" w:val="left"/>
        </w:tabs>
        <w:numPr>
          <w:ilvl w:val="2"/>
          <w:numId w:val="1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Incentive Stock Option $100,000 Limitation. </w:t>
      </w:r>
      <w:r>
        <w:rPr>
          <w:rFonts w:ascii="Arial" w:cs="Arial" w:eastAsia="Arial" w:hAnsi="Arial"/>
          <w:sz w:val="22"/>
          <w:szCs w:val="22"/>
          <w:color w:val="auto"/>
        </w:rPr>
        <w:t>To the extent that the aggregate Fair Market Value</w:t>
      </w:r>
      <w:r>
        <w:rPr>
          <w:rFonts w:ascii="Arial" w:cs="Arial" w:eastAsia="Arial" w:hAnsi="Arial"/>
          <w:sz w:val="22"/>
          <w:szCs w:val="22"/>
          <w:b w:val="1"/>
          <w:bCs w:val="1"/>
          <w:color w:val="auto"/>
        </w:rPr>
        <w:t xml:space="preserve"> </w:t>
      </w:r>
      <w:r>
        <w:rPr>
          <w:rFonts w:ascii="Arial" w:cs="Arial" w:eastAsia="Arial" w:hAnsi="Arial"/>
          <w:sz w:val="22"/>
          <w:szCs w:val="22"/>
          <w:color w:val="auto"/>
        </w:rPr>
        <w:t>(determined at the time of grant) of Common Stock with respect to which Incentive Stock Options are exercisable for the first time by any Optionholder during any calendar year (under all plans of the Company and any Affiliates) exceeds $100,000 (or such other limit established in the Code) or otherwise does not comply with the rules governing Incentive Stock Options, the Options or portions thereof that exceed such limit (according to the order in which they were granted) or otherwise do not comply with such rules will be treated as Nonstatutory Stock Options, notwithstanding any contrary provision of the applicable Option Agreement(s).</w:t>
      </w:r>
    </w:p>
    <w:p>
      <w:pPr>
        <w:spacing w:after="0" w:line="183" w:lineRule="exact"/>
        <w:rPr>
          <w:rFonts w:ascii="Arial" w:cs="Arial" w:eastAsia="Arial" w:hAnsi="Arial"/>
          <w:sz w:val="22"/>
          <w:szCs w:val="22"/>
          <w:b w:val="1"/>
          <w:bCs w:val="1"/>
          <w:color w:val="auto"/>
        </w:rPr>
      </w:pPr>
    </w:p>
    <w:p>
      <w:pPr>
        <w:jc w:val="both"/>
        <w:ind w:firstLine="1735"/>
        <w:spacing w:after="0" w:line="239" w:lineRule="auto"/>
        <w:tabs>
          <w:tab w:leader="none" w:pos="2699" w:val="left"/>
        </w:tabs>
        <w:numPr>
          <w:ilvl w:val="2"/>
          <w:numId w:val="1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Limitations on Incentive Stock Options Granted to Ten Percent Stockholders. </w:t>
      </w:r>
      <w:r>
        <w:rPr>
          <w:rFonts w:ascii="Arial" w:cs="Arial" w:eastAsia="Arial" w:hAnsi="Arial"/>
          <w:sz w:val="22"/>
          <w:szCs w:val="22"/>
          <w:color w:val="auto"/>
        </w:rPr>
        <w:t>A Ten Percent</w:t>
      </w:r>
      <w:r>
        <w:rPr>
          <w:rFonts w:ascii="Arial" w:cs="Arial" w:eastAsia="Arial" w:hAnsi="Arial"/>
          <w:sz w:val="22"/>
          <w:szCs w:val="22"/>
          <w:b w:val="1"/>
          <w:bCs w:val="1"/>
          <w:color w:val="auto"/>
        </w:rPr>
        <w:t xml:space="preserve"> </w:t>
      </w:r>
      <w:r>
        <w:rPr>
          <w:rFonts w:ascii="Arial" w:cs="Arial" w:eastAsia="Arial" w:hAnsi="Arial"/>
          <w:sz w:val="22"/>
          <w:szCs w:val="22"/>
          <w:color w:val="auto"/>
        </w:rPr>
        <w:t>Stockholder may not be granted an Incentive Stock Option unless (i) the exercise price of such Option is at least 110% of the Fair Market Value on the date of grant of such Option and (ii) the Option is not exercisable after the expiration of five years from the date of grant of such Option.</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8" w:name="page39"/>
    <w:bookmarkEnd w:id="38"/>
    <w:p>
      <w:pPr>
        <w:jc w:val="both"/>
        <w:ind w:firstLine="1735"/>
        <w:spacing w:after="0" w:line="251" w:lineRule="auto"/>
        <w:tabs>
          <w:tab w:leader="none" w:pos="2687" w:val="left"/>
        </w:tabs>
        <w:numPr>
          <w:ilvl w:val="1"/>
          <w:numId w:val="12"/>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Limitations on Nonstatutory Stock Options and SARs. </w:t>
      </w:r>
      <w:r>
        <w:rPr>
          <w:rFonts w:ascii="Arial" w:cs="Arial" w:eastAsia="Arial" w:hAnsi="Arial"/>
          <w:sz w:val="21"/>
          <w:szCs w:val="21"/>
          <w:color w:val="auto"/>
        </w:rPr>
        <w:t>Nonstatutory Stock Options and SARs</w:t>
      </w:r>
      <w:r>
        <w:rPr>
          <w:rFonts w:ascii="Arial" w:cs="Arial" w:eastAsia="Arial" w:hAnsi="Arial"/>
          <w:sz w:val="21"/>
          <w:szCs w:val="21"/>
          <w:b w:val="1"/>
          <w:bCs w:val="1"/>
          <w:color w:val="auto"/>
        </w:rPr>
        <w:t xml:space="preserve"> </w:t>
      </w:r>
      <w:r>
        <w:rPr>
          <w:rFonts w:ascii="Arial" w:cs="Arial" w:eastAsia="Arial" w:hAnsi="Arial"/>
          <w:sz w:val="21"/>
          <w:szCs w:val="21"/>
          <w:color w:val="auto"/>
        </w:rPr>
        <w:t>may not be granted to Employees, Directors and Consultants who are providing Continuous Service only to any “parent” of the Company (as such term is defined in Rule 405) unless the stock underlying such Awards is treated as “service recipient stock” under Section 409A because the Awards are granted pursuant to a corporate transaction (such as a spin off transaction) or unless such Awards otherwise comply with the distribution requirements of Section 409A.</w:t>
      </w:r>
    </w:p>
    <w:p>
      <w:pPr>
        <w:spacing w:after="0" w:line="168" w:lineRule="exact"/>
        <w:rPr>
          <w:rFonts w:ascii="Arial" w:cs="Arial" w:eastAsia="Arial" w:hAnsi="Arial"/>
          <w:sz w:val="21"/>
          <w:szCs w:val="21"/>
          <w:b w:val="1"/>
          <w:bCs w:val="1"/>
          <w:color w:val="auto"/>
        </w:rPr>
      </w:pPr>
    </w:p>
    <w:p>
      <w:pPr>
        <w:jc w:val="both"/>
        <w:ind w:firstLine="1735"/>
        <w:spacing w:after="0" w:line="271" w:lineRule="auto"/>
        <w:tabs>
          <w:tab w:leader="none" w:pos="2627" w:val="left"/>
        </w:tabs>
        <w:numPr>
          <w:ilvl w:val="1"/>
          <w:numId w:val="1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Dividends and Dividend Equivalents. </w:t>
      </w:r>
      <w:r>
        <w:rPr>
          <w:rFonts w:ascii="Arial" w:cs="Arial" w:eastAsia="Arial" w:hAnsi="Arial"/>
          <w:sz w:val="19"/>
          <w:szCs w:val="19"/>
          <w:color w:val="auto"/>
        </w:rPr>
        <w:t>Dividends or dividend equivalents may be paid or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credited, as applicable, with respect to any shares of Common Stock subject to an Award, as determined by the Board and contained in the applicable Award Agreement; </w:t>
      </w:r>
      <w:r>
        <w:rPr>
          <w:rFonts w:ascii="Arial" w:cs="Arial" w:eastAsia="Arial" w:hAnsi="Arial"/>
          <w:sz w:val="19"/>
          <w:szCs w:val="19"/>
          <w:i w:val="1"/>
          <w:iCs w:val="1"/>
          <w:color w:val="auto"/>
        </w:rPr>
        <w:t>provided, however</w:t>
      </w:r>
      <w:r>
        <w:rPr>
          <w:rFonts w:ascii="Arial" w:cs="Arial" w:eastAsia="Arial" w:hAnsi="Arial"/>
          <w:sz w:val="19"/>
          <w:szCs w:val="19"/>
          <w:color w:val="auto"/>
        </w:rPr>
        <w:t>, that (i) no dividends or dividend equivalents may be paid with respect to any such shares before the date such shares have vested under the terms of such Award Agreement, (ii) any dividends or dividend equivalents that are credited with respect to any such shares will be subject to all of the terms and conditions applicable to such shares under the terms of such Award Agreement (including, but not limited to, any vesting conditions), and</w:t>
      </w:r>
    </w:p>
    <w:p>
      <w:pPr>
        <w:spacing w:after="0" w:line="1" w:lineRule="exact"/>
        <w:rPr>
          <w:rFonts w:ascii="Arial" w:cs="Arial" w:eastAsia="Arial" w:hAnsi="Arial"/>
          <w:sz w:val="19"/>
          <w:szCs w:val="19"/>
          <w:b w:val="1"/>
          <w:bCs w:val="1"/>
          <w:color w:val="auto"/>
        </w:rPr>
      </w:pPr>
    </w:p>
    <w:p>
      <w:pPr>
        <w:jc w:val="both"/>
        <w:ind w:firstLine="8"/>
        <w:spacing w:after="0" w:line="234" w:lineRule="auto"/>
        <w:tabs>
          <w:tab w:leader="none" w:pos="389" w:val="left"/>
        </w:tabs>
        <w:numPr>
          <w:ilvl w:val="0"/>
          <w:numId w:val="13"/>
        </w:numPr>
        <w:rPr>
          <w:rFonts w:ascii="Arial" w:cs="Arial" w:eastAsia="Arial" w:hAnsi="Arial"/>
          <w:sz w:val="22"/>
          <w:szCs w:val="22"/>
          <w:color w:val="auto"/>
        </w:rPr>
      </w:pPr>
      <w:r>
        <w:rPr>
          <w:rFonts w:ascii="Arial" w:cs="Arial" w:eastAsia="Arial" w:hAnsi="Arial"/>
          <w:sz w:val="22"/>
          <w:szCs w:val="22"/>
          <w:color w:val="auto"/>
        </w:rPr>
        <w:t>any dividends or dividend equivalents that are credited with respect to any such shares will be forfeited to the Company on the date, if any, such shares are forfeited to or repurchased by the Company due to a failure to meet any vesting conditions under the terms of such Award Agreement.</w:t>
      </w:r>
    </w:p>
    <w:p>
      <w:pPr>
        <w:spacing w:after="0" w:line="181" w:lineRule="exact"/>
        <w:rPr>
          <w:rFonts w:ascii="Arial" w:cs="Arial" w:eastAsia="Arial" w:hAnsi="Arial"/>
          <w:sz w:val="22"/>
          <w:szCs w:val="22"/>
          <w:color w:val="auto"/>
        </w:rPr>
      </w:pPr>
    </w:p>
    <w:p>
      <w:pPr>
        <w:jc w:val="both"/>
        <w:ind w:firstLine="1735"/>
        <w:spacing w:after="0" w:line="245" w:lineRule="auto"/>
        <w:tabs>
          <w:tab w:leader="none" w:pos="2687" w:val="left"/>
        </w:tabs>
        <w:numPr>
          <w:ilvl w:val="1"/>
          <w:numId w:val="13"/>
        </w:numPr>
        <w:rPr>
          <w:rFonts w:ascii="Arial" w:cs="Arial" w:eastAsia="Arial" w:hAnsi="Arial"/>
          <w:sz w:val="21"/>
          <w:szCs w:val="21"/>
          <w:b w:val="1"/>
          <w:bCs w:val="1"/>
          <w:color w:val="auto"/>
        </w:rPr>
      </w:pPr>
      <w:r>
        <w:rPr>
          <w:rFonts w:ascii="Arial" w:cs="Arial" w:eastAsia="Arial" w:hAnsi="Arial"/>
          <w:sz w:val="21"/>
          <w:szCs w:val="21"/>
          <w:b w:val="1"/>
          <w:bCs w:val="1"/>
          <w:color w:val="auto"/>
        </w:rPr>
        <w:t>Minimum Vesting Requirements</w:t>
      </w:r>
      <w:r>
        <w:rPr>
          <w:rFonts w:ascii="Arial" w:cs="Arial" w:eastAsia="Arial" w:hAnsi="Arial"/>
          <w:sz w:val="21"/>
          <w:szCs w:val="21"/>
          <w:color w:val="auto"/>
        </w:rPr>
        <w:t>. The vesting period for each Award granted following the</w:t>
      </w:r>
      <w:r>
        <w:rPr>
          <w:rFonts w:ascii="Arial" w:cs="Arial" w:eastAsia="Arial" w:hAnsi="Arial"/>
          <w:sz w:val="21"/>
          <w:szCs w:val="21"/>
          <w:b w:val="1"/>
          <w:bCs w:val="1"/>
          <w:color w:val="auto"/>
        </w:rPr>
        <w:t xml:space="preserve"> </w:t>
      </w:r>
      <w:r>
        <w:rPr>
          <w:rFonts w:ascii="Arial" w:cs="Arial" w:eastAsia="Arial" w:hAnsi="Arial"/>
          <w:sz w:val="21"/>
          <w:szCs w:val="21"/>
          <w:color w:val="auto"/>
        </w:rPr>
        <w:t>Effective Date, other than an Excepted Award (as defined below), must be at least equal to twelve months; provided, however, nothing in this Section 3(b)(vi) shall limit the Administrator’s authority to accelerate the vesting of Awards as set forth in Section 6 or Section 7; and, provided further, notwithstanding the foregoing, (i) up to 5% of the shares of Common Stock authorized for issuance under the Plan may be utilized for Awards with a vesting period that is less than twelve months, (ii) Awards may granted as substitute Awards in replacement of other Awards (or awards previously granted by an entity being acquired (or assets of which are being acquired)) that were scheduled to vest within the twelve month period following the grant date or (iii) Awards may be granted in connection with an elective deferral of cash compensation that, absent a deferral election, otherwise would have been paid to the grantee within the twelve month period following the grant date (each such Award, an “</w:t>
      </w:r>
      <w:r>
        <w:rPr>
          <w:rFonts w:ascii="Arial" w:cs="Arial" w:eastAsia="Arial" w:hAnsi="Arial"/>
          <w:sz w:val="21"/>
          <w:szCs w:val="21"/>
          <w:b w:val="1"/>
          <w:bCs w:val="1"/>
          <w:i w:val="1"/>
          <w:iCs w:val="1"/>
          <w:color w:val="auto"/>
        </w:rPr>
        <w:t>Excepted Award</w:t>
      </w:r>
      <w:r>
        <w:rPr>
          <w:rFonts w:ascii="Arial" w:cs="Arial" w:eastAsia="Arial" w:hAnsi="Arial"/>
          <w:sz w:val="21"/>
          <w:szCs w:val="21"/>
          <w:color w:val="auto"/>
        </w:rPr>
        <w:t>”).</w:t>
      </w:r>
    </w:p>
    <w:p>
      <w:pPr>
        <w:spacing w:after="0" w:line="181" w:lineRule="exact"/>
        <w:rPr>
          <w:sz w:val="20"/>
          <w:szCs w:val="20"/>
          <w:color w:val="auto"/>
        </w:rPr>
      </w:pPr>
    </w:p>
    <w:p>
      <w:pPr>
        <w:jc w:val="both"/>
        <w:ind w:firstLine="1735"/>
        <w:spacing w:after="0" w:line="243" w:lineRule="auto"/>
        <w:tabs>
          <w:tab w:leader="none" w:pos="2615" w:val="left"/>
        </w:tabs>
        <w:numPr>
          <w:ilvl w:val="0"/>
          <w:numId w:val="1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Aggregate Incentive Stock Option Limit. </w:t>
      </w:r>
      <w:r>
        <w:rPr>
          <w:rFonts w:ascii="Arial" w:cs="Arial" w:eastAsia="Arial" w:hAnsi="Arial"/>
          <w:sz w:val="22"/>
          <w:szCs w:val="22"/>
          <w:color w:val="auto"/>
        </w:rPr>
        <w:t>The aggregate maximum number of shares of</w:t>
      </w:r>
      <w:r>
        <w:rPr>
          <w:rFonts w:ascii="Arial" w:cs="Arial" w:eastAsia="Arial" w:hAnsi="Arial"/>
          <w:sz w:val="22"/>
          <w:szCs w:val="22"/>
          <w:b w:val="1"/>
          <w:bCs w:val="1"/>
          <w:color w:val="auto"/>
        </w:rPr>
        <w:t xml:space="preserve"> </w:t>
      </w:r>
      <w:r>
        <w:rPr>
          <w:rFonts w:ascii="Arial" w:cs="Arial" w:eastAsia="Arial" w:hAnsi="Arial"/>
          <w:sz w:val="22"/>
          <w:szCs w:val="22"/>
          <w:color w:val="auto"/>
        </w:rPr>
        <w:t>Common Stock that may be issued pursuant to the exercise of Incentive Stock Options is the number of shares specified in Section 2(b).</w:t>
      </w:r>
    </w:p>
    <w:p>
      <w:pPr>
        <w:spacing w:after="0" w:line="176" w:lineRule="exact"/>
        <w:rPr>
          <w:rFonts w:ascii="Arial" w:cs="Arial" w:eastAsia="Arial" w:hAnsi="Arial"/>
          <w:sz w:val="22"/>
          <w:szCs w:val="22"/>
          <w:b w:val="1"/>
          <w:bCs w:val="1"/>
          <w:color w:val="auto"/>
        </w:rPr>
      </w:pPr>
    </w:p>
    <w:p>
      <w:pPr>
        <w:jc w:val="both"/>
        <w:ind w:firstLine="1735"/>
        <w:spacing w:after="0" w:line="236" w:lineRule="auto"/>
        <w:tabs>
          <w:tab w:leader="none" w:pos="2639" w:val="left"/>
        </w:tabs>
        <w:numPr>
          <w:ilvl w:val="0"/>
          <w:numId w:val="1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Non-Employee Director Compensation Limit. </w:t>
      </w:r>
      <w:r>
        <w:rPr>
          <w:rFonts w:ascii="Arial" w:cs="Arial" w:eastAsia="Arial" w:hAnsi="Arial"/>
          <w:sz w:val="22"/>
          <w:szCs w:val="22"/>
          <w:color w:val="auto"/>
        </w:rPr>
        <w:t>The aggregate value of all compensation granted</w:t>
      </w:r>
      <w:r>
        <w:rPr>
          <w:rFonts w:ascii="Arial" w:cs="Arial" w:eastAsia="Arial" w:hAnsi="Arial"/>
          <w:sz w:val="22"/>
          <w:szCs w:val="22"/>
          <w:b w:val="1"/>
          <w:bCs w:val="1"/>
          <w:color w:val="auto"/>
        </w:rPr>
        <w:t xml:space="preserve"> </w:t>
      </w:r>
      <w:r>
        <w:rPr>
          <w:rFonts w:ascii="Arial" w:cs="Arial" w:eastAsia="Arial" w:hAnsi="Arial"/>
          <w:sz w:val="22"/>
          <w:szCs w:val="22"/>
          <w:color w:val="auto"/>
        </w:rPr>
        <w:t>or paid, as applicable, to any individual for service as a Non-Employee Director with respect to any calendar year, including Awards granted and cash fees paid by the Company to such Non-Employee Director, will not exceed (i) $500,000 in total value or (ii) in the event such Non-Employee Director is first appointed or elected to the Board during such calendar year, $750,000 in total value, in each case calculating the value of any equity awards based on the grant date fair value of such equity awards for financial reporting purposes.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9" w:name="page40"/>
    <w:bookmarkEnd w:id="39"/>
    <w:p>
      <w:pPr>
        <w:ind w:left="820" w:hanging="812"/>
        <w:spacing w:after="0"/>
        <w:tabs>
          <w:tab w:leader="none" w:pos="820" w:val="left"/>
        </w:tabs>
        <w:numPr>
          <w:ilvl w:val="0"/>
          <w:numId w:val="15"/>
        </w:numPr>
        <w:rPr>
          <w:rFonts w:ascii="Arial" w:cs="Arial" w:eastAsia="Arial" w:hAnsi="Arial"/>
          <w:sz w:val="22"/>
          <w:szCs w:val="22"/>
          <w:b w:val="1"/>
          <w:bCs w:val="1"/>
          <w:color w:val="auto"/>
        </w:rPr>
      </w:pPr>
      <w:r>
        <w:rPr>
          <w:rFonts w:ascii="Arial" w:cs="Arial" w:eastAsia="Arial" w:hAnsi="Arial"/>
          <w:sz w:val="22"/>
          <w:szCs w:val="22"/>
          <w:b w:val="1"/>
          <w:bCs w:val="1"/>
          <w:color w:val="auto"/>
        </w:rPr>
        <w:t>O</w:t>
      </w:r>
      <w:r>
        <w:rPr>
          <w:rFonts w:ascii="Arial" w:cs="Arial" w:eastAsia="Arial" w:hAnsi="Arial"/>
          <w:sz w:val="14"/>
          <w:szCs w:val="14"/>
          <w:b w:val="1"/>
          <w:bCs w:val="1"/>
          <w:color w:val="auto"/>
        </w:rPr>
        <w:t>PTIONS AND</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PPRECIATION</w:t>
      </w:r>
      <w:r>
        <w:rPr>
          <w:rFonts w:ascii="Arial" w:cs="Arial" w:eastAsia="Arial" w:hAnsi="Arial"/>
          <w:sz w:val="22"/>
          <w:szCs w:val="22"/>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22"/>
          <w:szCs w:val="22"/>
          <w:b w:val="1"/>
          <w:bCs w:val="1"/>
          <w:color w:val="auto"/>
        </w:rPr>
        <w:t>.</w:t>
      </w:r>
    </w:p>
    <w:p>
      <w:pPr>
        <w:spacing w:after="0" w:line="212"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1"/>
          <w:szCs w:val="21"/>
          <w:color w:val="auto"/>
        </w:rPr>
        <w:t>Each Option and SAR will have such terms and conditions as determined by the Board. Each Option will be designated in writing as an Incentive Stock Option or Nonstatutory Stock Option at the time of grant; provided, however, that if an Option is not so designated, then such Option will be a Nonstatutory Stock Option, and the shares purchased upon exercise of each type of Option will be separately accounted for. Each SAR will be denominated in shares of Common Stock equivalents. The terms and conditions of separate Options and SARs need not be identical; provided, however, that each Option Agreement and SAR Agreement will conform (through incorporation of provisions hereof by reference in the Award Agreement or otherwise) to the substance of each of the following provisions:</w:t>
      </w:r>
    </w:p>
    <w:p>
      <w:pPr>
        <w:spacing w:after="0" w:line="178" w:lineRule="exact"/>
        <w:rPr>
          <w:sz w:val="20"/>
          <w:szCs w:val="20"/>
          <w:color w:val="auto"/>
        </w:rPr>
      </w:pPr>
    </w:p>
    <w:p>
      <w:pPr>
        <w:ind w:firstLine="872"/>
        <w:spacing w:after="0" w:line="334" w:lineRule="auto"/>
        <w:tabs>
          <w:tab w:leader="none" w:pos="1763" w:val="left"/>
        </w:tabs>
        <w:numPr>
          <w:ilvl w:val="0"/>
          <w:numId w:val="16"/>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Term. </w:t>
      </w:r>
      <w:r>
        <w:rPr>
          <w:rFonts w:ascii="Arial" w:cs="Arial" w:eastAsia="Arial" w:hAnsi="Arial"/>
          <w:sz w:val="19"/>
          <w:szCs w:val="19"/>
          <w:color w:val="auto"/>
        </w:rPr>
        <w:t>Subject to Section 3(b)(iii) regarding Ten Percent Stockholders, no Option or SAR will be exercisable</w:t>
      </w:r>
      <w:r>
        <w:rPr>
          <w:rFonts w:ascii="Arial" w:cs="Arial" w:eastAsia="Arial" w:hAnsi="Arial"/>
          <w:sz w:val="19"/>
          <w:szCs w:val="19"/>
          <w:b w:val="1"/>
          <w:bCs w:val="1"/>
          <w:color w:val="auto"/>
        </w:rPr>
        <w:t xml:space="preserve"> </w:t>
      </w:r>
      <w:r>
        <w:rPr>
          <w:rFonts w:ascii="Arial" w:cs="Arial" w:eastAsia="Arial" w:hAnsi="Arial"/>
          <w:sz w:val="19"/>
          <w:szCs w:val="19"/>
          <w:color w:val="auto"/>
        </w:rPr>
        <w:t>after the expiration of ten years from the date of grant of such Award or such shorter period specified in the Award Agreement.</w:t>
      </w:r>
    </w:p>
    <w:p>
      <w:pPr>
        <w:spacing w:after="0" w:line="93" w:lineRule="exact"/>
        <w:rPr>
          <w:rFonts w:ascii="Arial" w:cs="Arial" w:eastAsia="Arial" w:hAnsi="Arial"/>
          <w:sz w:val="19"/>
          <w:szCs w:val="19"/>
          <w:b w:val="1"/>
          <w:bCs w:val="1"/>
          <w:color w:val="auto"/>
        </w:rPr>
      </w:pPr>
    </w:p>
    <w:p>
      <w:pPr>
        <w:jc w:val="both"/>
        <w:ind w:firstLine="872"/>
        <w:spacing w:after="0" w:line="236" w:lineRule="auto"/>
        <w:tabs>
          <w:tab w:leader="none" w:pos="1775" w:val="left"/>
        </w:tabs>
        <w:numPr>
          <w:ilvl w:val="0"/>
          <w:numId w:val="1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Exercise or Strike Price. </w:t>
      </w:r>
      <w:r>
        <w:rPr>
          <w:rFonts w:ascii="Arial" w:cs="Arial" w:eastAsia="Arial" w:hAnsi="Arial"/>
          <w:sz w:val="22"/>
          <w:szCs w:val="22"/>
          <w:color w:val="auto"/>
        </w:rPr>
        <w:t>Subject to Section 3(b)(iii) regarding Ten Percent Stockholders, the exercise or</w:t>
      </w:r>
      <w:r>
        <w:rPr>
          <w:rFonts w:ascii="Arial" w:cs="Arial" w:eastAsia="Arial" w:hAnsi="Arial"/>
          <w:sz w:val="22"/>
          <w:szCs w:val="22"/>
          <w:b w:val="1"/>
          <w:bCs w:val="1"/>
          <w:color w:val="auto"/>
        </w:rPr>
        <w:t xml:space="preserve"> </w:t>
      </w:r>
      <w:r>
        <w:rPr>
          <w:rFonts w:ascii="Arial" w:cs="Arial" w:eastAsia="Arial" w:hAnsi="Arial"/>
          <w:sz w:val="22"/>
          <w:szCs w:val="22"/>
          <w:color w:val="auto"/>
        </w:rPr>
        <w:t>strike price of each Option or SAR will not be less than 100% of the Fair Market Value on the date of grant of such Award. Notwithstanding the foregoing, an Option or SAR may be granted with an exercise or strike price lower than 100% of the Fair Market Value on the date of grant of such Award if such Award is granted pursuant to an assumption of or substitution for another option or stock appreciation right pursuant to a Change in Control and in a manner consistent with the provisions of Sections 409A and, if applicable, 424(a) of the Code.</w:t>
      </w:r>
    </w:p>
    <w:p>
      <w:pPr>
        <w:spacing w:after="0" w:line="181" w:lineRule="exact"/>
        <w:rPr>
          <w:rFonts w:ascii="Arial" w:cs="Arial" w:eastAsia="Arial" w:hAnsi="Arial"/>
          <w:sz w:val="22"/>
          <w:szCs w:val="22"/>
          <w:b w:val="1"/>
          <w:bCs w:val="1"/>
          <w:color w:val="auto"/>
        </w:rPr>
      </w:pPr>
    </w:p>
    <w:p>
      <w:pPr>
        <w:jc w:val="both"/>
        <w:ind w:firstLine="872"/>
        <w:spacing w:after="0" w:line="235" w:lineRule="auto"/>
        <w:tabs>
          <w:tab w:leader="none" w:pos="1751" w:val="left"/>
        </w:tabs>
        <w:numPr>
          <w:ilvl w:val="0"/>
          <w:numId w:val="1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Exercise Procedure and Payment of Exercise Price for Options. </w:t>
      </w:r>
      <w:r>
        <w:rPr>
          <w:rFonts w:ascii="Arial" w:cs="Arial" w:eastAsia="Arial" w:hAnsi="Arial"/>
          <w:sz w:val="22"/>
          <w:szCs w:val="22"/>
          <w:color w:val="auto"/>
        </w:rPr>
        <w:t>In order to exercise an Option, the</w:t>
      </w:r>
      <w:r>
        <w:rPr>
          <w:rFonts w:ascii="Arial" w:cs="Arial" w:eastAsia="Arial" w:hAnsi="Arial"/>
          <w:sz w:val="22"/>
          <w:szCs w:val="22"/>
          <w:b w:val="1"/>
          <w:bCs w:val="1"/>
          <w:color w:val="auto"/>
        </w:rPr>
        <w:t xml:space="preserve"> </w:t>
      </w:r>
      <w:r>
        <w:rPr>
          <w:rFonts w:ascii="Arial" w:cs="Arial" w:eastAsia="Arial" w:hAnsi="Arial"/>
          <w:sz w:val="22"/>
          <w:szCs w:val="22"/>
          <w:color w:val="auto"/>
        </w:rPr>
        <w:t>Participant must provide notice of exercise to the Plan Administrator in accordance with the procedures specified in the Option Agreement or otherwise provided by the Company. The Board has the authority to grant Options that do not permit all of the following methods of payment (or otherwise restrict the ability to use certain methods) and to grant Options that require the consent of the Company to utilize a particular method of payment. The exercise price of an Option may be paid, to the extent permitted by Applicable Law and as determined by the Board, by one or more of the following methods of payment to the extent set forth in the Option Agreement:</w:t>
      </w:r>
    </w:p>
    <w:p>
      <w:pPr>
        <w:spacing w:after="0" w:line="189" w:lineRule="exact"/>
        <w:rPr>
          <w:rFonts w:ascii="Arial" w:cs="Arial" w:eastAsia="Arial" w:hAnsi="Arial"/>
          <w:sz w:val="22"/>
          <w:szCs w:val="22"/>
          <w:b w:val="1"/>
          <w:bCs w:val="1"/>
          <w:color w:val="auto"/>
        </w:rPr>
      </w:pPr>
    </w:p>
    <w:p>
      <w:pPr>
        <w:ind w:left="2580" w:hanging="845"/>
        <w:spacing w:after="0"/>
        <w:tabs>
          <w:tab w:leader="none" w:pos="2580" w:val="left"/>
        </w:tabs>
        <w:numPr>
          <w:ilvl w:val="1"/>
          <w:numId w:val="16"/>
        </w:numPr>
        <w:rPr>
          <w:rFonts w:ascii="Arial" w:cs="Arial" w:eastAsia="Arial" w:hAnsi="Arial"/>
          <w:sz w:val="22"/>
          <w:szCs w:val="22"/>
          <w:b w:val="1"/>
          <w:bCs w:val="1"/>
          <w:color w:val="auto"/>
        </w:rPr>
      </w:pPr>
      <w:r>
        <w:rPr>
          <w:rFonts w:ascii="Arial" w:cs="Arial" w:eastAsia="Arial" w:hAnsi="Arial"/>
          <w:sz w:val="22"/>
          <w:szCs w:val="22"/>
          <w:color w:val="auto"/>
        </w:rPr>
        <w:t>by cash or check, bank draft or money order payable to the Company;</w:t>
      </w:r>
    </w:p>
    <w:p>
      <w:pPr>
        <w:spacing w:after="0" w:line="206" w:lineRule="exact"/>
        <w:rPr>
          <w:rFonts w:ascii="Arial" w:cs="Arial" w:eastAsia="Arial" w:hAnsi="Arial"/>
          <w:sz w:val="22"/>
          <w:szCs w:val="22"/>
          <w:b w:val="1"/>
          <w:bCs w:val="1"/>
          <w:color w:val="auto"/>
        </w:rPr>
      </w:pPr>
    </w:p>
    <w:p>
      <w:pPr>
        <w:jc w:val="both"/>
        <w:ind w:firstLine="1735"/>
        <w:spacing w:after="0" w:line="238" w:lineRule="auto"/>
        <w:tabs>
          <w:tab w:leader="none" w:pos="2639" w:val="left"/>
        </w:tabs>
        <w:numPr>
          <w:ilvl w:val="1"/>
          <w:numId w:val="16"/>
        </w:numPr>
        <w:rPr>
          <w:rFonts w:ascii="Arial" w:cs="Arial" w:eastAsia="Arial" w:hAnsi="Arial"/>
          <w:sz w:val="22"/>
          <w:szCs w:val="22"/>
          <w:b w:val="1"/>
          <w:bCs w:val="1"/>
          <w:color w:val="auto"/>
        </w:rPr>
      </w:pPr>
      <w:r>
        <w:rPr>
          <w:rFonts w:ascii="Arial" w:cs="Arial" w:eastAsia="Arial" w:hAnsi="Arial"/>
          <w:sz w:val="22"/>
          <w:szCs w:val="22"/>
          <w:color w:val="auto"/>
        </w:rPr>
        <w:t>pursuant to a “cashless exercise” program developed under Regulation T as promulgated by the Federal Reserve Board that, prior to the issuance of the Common Stock subject to the Option, results in either the receipt of cash (or check) by the Company or the receipt of irrevocable instructions to pay the exercise price to the Company from the sales proceeds;</w:t>
      </w:r>
    </w:p>
    <w:p>
      <w:pPr>
        <w:spacing w:after="0" w:line="184" w:lineRule="exact"/>
        <w:rPr>
          <w:rFonts w:ascii="Arial" w:cs="Arial" w:eastAsia="Arial" w:hAnsi="Arial"/>
          <w:sz w:val="22"/>
          <w:szCs w:val="22"/>
          <w:b w:val="1"/>
          <w:bCs w:val="1"/>
          <w:color w:val="auto"/>
        </w:rPr>
      </w:pPr>
    </w:p>
    <w:p>
      <w:pPr>
        <w:jc w:val="both"/>
        <w:ind w:firstLine="1735"/>
        <w:spacing w:after="0" w:line="246" w:lineRule="auto"/>
        <w:tabs>
          <w:tab w:leader="none" w:pos="2699" w:val="left"/>
        </w:tabs>
        <w:numPr>
          <w:ilvl w:val="1"/>
          <w:numId w:val="16"/>
        </w:numPr>
        <w:rPr>
          <w:rFonts w:ascii="Arial" w:cs="Arial" w:eastAsia="Arial" w:hAnsi="Arial"/>
          <w:sz w:val="21"/>
          <w:szCs w:val="21"/>
          <w:b w:val="1"/>
          <w:bCs w:val="1"/>
          <w:color w:val="auto"/>
        </w:rPr>
      </w:pPr>
      <w:r>
        <w:rPr>
          <w:rFonts w:ascii="Arial" w:cs="Arial" w:eastAsia="Arial" w:hAnsi="Arial"/>
          <w:sz w:val="21"/>
          <w:szCs w:val="21"/>
          <w:color w:val="auto"/>
        </w:rPr>
        <w:t>by delivery to the Company (either by actual delivery or attestation) of shares of Common Stock that are already owned by the Participant free and clear of any liens, claims, encumbrances or security interests, with a Fair Market Value on the date of exercise that does not exceed the exercise price, provided that (1) at the time of exercise the Common Stock is publicly traded, (2) any remaining balance of the exercise price not satisfied by such delivery is paid by the Participant in cash or other permitted form of payment, (3) such delivery would not violate any Applicable Law or agreement restricting the redemption of the Common Stock, (4) any certificated shares are endorsed or accompanied by an executed assignment separate from certificate, and (5) such shares have been held by the Participant for any minimum period necessary to avoid adverse accounting treatment as a result of such delivery;</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40" w:name="page41"/>
    <w:bookmarkEnd w:id="40"/>
    <w:p>
      <w:pPr>
        <w:jc w:val="both"/>
        <w:ind w:firstLine="1735"/>
        <w:spacing w:after="0" w:line="249" w:lineRule="auto"/>
        <w:tabs>
          <w:tab w:leader="none" w:pos="2687" w:val="left"/>
        </w:tabs>
        <w:numPr>
          <w:ilvl w:val="1"/>
          <w:numId w:val="17"/>
        </w:numPr>
        <w:rPr>
          <w:rFonts w:ascii="Arial" w:cs="Arial" w:eastAsia="Arial" w:hAnsi="Arial"/>
          <w:sz w:val="21"/>
          <w:szCs w:val="21"/>
          <w:b w:val="1"/>
          <w:bCs w:val="1"/>
          <w:color w:val="auto"/>
        </w:rPr>
      </w:pPr>
      <w:r>
        <w:rPr>
          <w:rFonts w:ascii="Arial" w:cs="Arial" w:eastAsia="Arial" w:hAnsi="Arial"/>
          <w:sz w:val="21"/>
          <w:szCs w:val="21"/>
          <w:color w:val="auto"/>
        </w:rPr>
        <w:t>if the Option is a Nonstatutory Stock Option, by a “net exercise” arrangement pursuant to which the Company will reduce the number of shares of Common Stock issuable upon exercise by the largest whole number of shares with a Fair Market Value on the date of exercise that does not exceed the exercise price, provided that (1) such shares used to pay the exercise price will not be exercisable thereafter and (2) any remaining balance of the exercise price not satisfied by such net exercise is paid by the Participant in cash or other permitted form of payment; or</w:t>
      </w:r>
    </w:p>
    <w:p>
      <w:pPr>
        <w:spacing w:after="0" w:line="178" w:lineRule="exact"/>
        <w:rPr>
          <w:rFonts w:ascii="Arial" w:cs="Arial" w:eastAsia="Arial" w:hAnsi="Arial"/>
          <w:sz w:val="21"/>
          <w:szCs w:val="21"/>
          <w:b w:val="1"/>
          <w:bCs w:val="1"/>
          <w:color w:val="auto"/>
        </w:rPr>
      </w:pPr>
    </w:p>
    <w:p>
      <w:pPr>
        <w:ind w:left="2640" w:hanging="905"/>
        <w:spacing w:after="0"/>
        <w:tabs>
          <w:tab w:leader="none" w:pos="2640" w:val="left"/>
        </w:tabs>
        <w:numPr>
          <w:ilvl w:val="1"/>
          <w:numId w:val="17"/>
        </w:numPr>
        <w:rPr>
          <w:rFonts w:ascii="Arial" w:cs="Arial" w:eastAsia="Arial" w:hAnsi="Arial"/>
          <w:sz w:val="19"/>
          <w:szCs w:val="19"/>
          <w:b w:val="1"/>
          <w:bCs w:val="1"/>
          <w:color w:val="auto"/>
        </w:rPr>
      </w:pPr>
      <w:r>
        <w:rPr>
          <w:rFonts w:ascii="Arial" w:cs="Arial" w:eastAsia="Arial" w:hAnsi="Arial"/>
          <w:sz w:val="19"/>
          <w:szCs w:val="19"/>
          <w:color w:val="auto"/>
        </w:rPr>
        <w:t>in any other form of consideration that may be acceptable to the Board and permissible under</w:t>
      </w:r>
    </w:p>
    <w:p>
      <w:pPr>
        <w:spacing w:after="0" w:line="42"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Applicable Law.</w:t>
      </w:r>
    </w:p>
    <w:p>
      <w:pPr>
        <w:spacing w:after="0" w:line="182" w:lineRule="exact"/>
        <w:rPr>
          <w:rFonts w:ascii="Arial" w:cs="Arial" w:eastAsia="Arial" w:hAnsi="Arial"/>
          <w:sz w:val="19"/>
          <w:szCs w:val="19"/>
          <w:b w:val="1"/>
          <w:bCs w:val="1"/>
          <w:color w:val="auto"/>
        </w:rPr>
      </w:pPr>
    </w:p>
    <w:p>
      <w:pPr>
        <w:jc w:val="both"/>
        <w:ind w:firstLine="872"/>
        <w:spacing w:after="0" w:line="278" w:lineRule="auto"/>
        <w:tabs>
          <w:tab w:leader="none" w:pos="1775" w:val="left"/>
        </w:tabs>
        <w:numPr>
          <w:ilvl w:val="0"/>
          <w:numId w:val="18"/>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Exercise Procedure and Payment of Appreciation Distribution for SARs. </w:t>
      </w:r>
      <w:r>
        <w:rPr>
          <w:rFonts w:ascii="Arial" w:cs="Arial" w:eastAsia="Arial" w:hAnsi="Arial"/>
          <w:sz w:val="19"/>
          <w:szCs w:val="19"/>
          <w:color w:val="auto"/>
        </w:rPr>
        <w:t>In order to exercise any SAR,</w:t>
      </w:r>
      <w:r>
        <w:rPr>
          <w:rFonts w:ascii="Arial" w:cs="Arial" w:eastAsia="Arial" w:hAnsi="Arial"/>
          <w:sz w:val="19"/>
          <w:szCs w:val="19"/>
          <w:b w:val="1"/>
          <w:bCs w:val="1"/>
          <w:color w:val="auto"/>
        </w:rPr>
        <w:t xml:space="preserve"> </w:t>
      </w:r>
      <w:r>
        <w:rPr>
          <w:rFonts w:ascii="Arial" w:cs="Arial" w:eastAsia="Arial" w:hAnsi="Arial"/>
          <w:sz w:val="19"/>
          <w:szCs w:val="19"/>
          <w:color w:val="auto"/>
        </w:rPr>
        <w:t>the Participant must provide notice of exercise to the Plan Administrator in accordance with the SAR Agreement. The appreciation distribution payable to a Participant upon the exercise of a SAR will not be greater than an amount equal to the excess of (i) the aggregate Fair Market Value on the date of exercise of a number of shares of Common Stock equal to the number of Common Stock equivalents that are vested and being exercised under such SAR, over (ii) the strike price of such SAR. Such appreciation distribution may be paid to the Participant in the form of Common Stock or cash (or any combination of Common Stock and cash) or in any other form of payment, as determined by the Board and specified in the SAR Agreement.</w:t>
      </w:r>
    </w:p>
    <w:p>
      <w:pPr>
        <w:spacing w:after="0" w:line="145" w:lineRule="exact"/>
        <w:rPr>
          <w:rFonts w:ascii="Arial" w:cs="Arial" w:eastAsia="Arial" w:hAnsi="Arial"/>
          <w:sz w:val="19"/>
          <w:szCs w:val="19"/>
          <w:b w:val="1"/>
          <w:bCs w:val="1"/>
          <w:color w:val="auto"/>
        </w:rPr>
      </w:pPr>
    </w:p>
    <w:p>
      <w:pPr>
        <w:jc w:val="both"/>
        <w:ind w:firstLine="872"/>
        <w:spacing w:after="0" w:line="236" w:lineRule="auto"/>
        <w:tabs>
          <w:tab w:leader="none" w:pos="1751" w:val="left"/>
        </w:tabs>
        <w:numPr>
          <w:ilvl w:val="0"/>
          <w:numId w:val="1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Transferability. </w:t>
      </w:r>
      <w:r>
        <w:rPr>
          <w:rFonts w:ascii="Arial" w:cs="Arial" w:eastAsia="Arial" w:hAnsi="Arial"/>
          <w:sz w:val="22"/>
          <w:szCs w:val="22"/>
          <w:color w:val="auto"/>
        </w:rPr>
        <w:t>Options and SARs may not be transferred to third party financial institutions for value. The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Board may impose such additional limitations on the transferability of an Option or SAR as it determines. In the absence of any such determination by the Board, the following restrictions on the transferability of Options and SARs will apply, provided that except as explicitly provided herein, neither an Option nor a SAR may be transferred for consideration and </w:t>
      </w:r>
      <w:r>
        <w:rPr>
          <w:rFonts w:ascii="Arial" w:cs="Arial" w:eastAsia="Arial" w:hAnsi="Arial"/>
          <w:sz w:val="22"/>
          <w:szCs w:val="22"/>
          <w:i w:val="1"/>
          <w:iCs w:val="1"/>
          <w:color w:val="auto"/>
        </w:rPr>
        <w:t>provided, further</w:t>
      </w:r>
      <w:r>
        <w:rPr>
          <w:rFonts w:ascii="Arial" w:cs="Arial" w:eastAsia="Arial" w:hAnsi="Arial"/>
          <w:sz w:val="22"/>
          <w:szCs w:val="22"/>
          <w:color w:val="auto"/>
        </w:rPr>
        <w:t>, that if an Option is an Incentive Stock Option, such Option may be deemed to be a Nonstatutory Stock Option as a result of such transfer:</w:t>
      </w:r>
    </w:p>
    <w:p>
      <w:pPr>
        <w:spacing w:after="0" w:line="181" w:lineRule="exact"/>
        <w:rPr>
          <w:rFonts w:ascii="Arial" w:cs="Arial" w:eastAsia="Arial" w:hAnsi="Arial"/>
          <w:sz w:val="22"/>
          <w:szCs w:val="22"/>
          <w:b w:val="1"/>
          <w:bCs w:val="1"/>
          <w:color w:val="auto"/>
        </w:rPr>
      </w:pPr>
    </w:p>
    <w:p>
      <w:pPr>
        <w:jc w:val="both"/>
        <w:ind w:firstLine="1735"/>
        <w:spacing w:after="0" w:line="280" w:lineRule="auto"/>
        <w:tabs>
          <w:tab w:leader="none" w:pos="2579" w:val="left"/>
        </w:tabs>
        <w:numPr>
          <w:ilvl w:val="1"/>
          <w:numId w:val="18"/>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Restrictions on Transfer. </w:t>
      </w:r>
      <w:r>
        <w:rPr>
          <w:rFonts w:ascii="Arial" w:cs="Arial" w:eastAsia="Arial" w:hAnsi="Arial"/>
          <w:sz w:val="19"/>
          <w:szCs w:val="19"/>
          <w:color w:val="auto"/>
        </w:rPr>
        <w:t>An Option or SAR will not be transferable, except by will or by the laws</w:t>
      </w:r>
      <w:r>
        <w:rPr>
          <w:rFonts w:ascii="Arial" w:cs="Arial" w:eastAsia="Arial" w:hAnsi="Arial"/>
          <w:sz w:val="19"/>
          <w:szCs w:val="19"/>
          <w:b w:val="1"/>
          <w:bCs w:val="1"/>
          <w:color w:val="auto"/>
        </w:rPr>
        <w:t xml:space="preserve"> </w:t>
      </w:r>
      <w:r>
        <w:rPr>
          <w:rFonts w:ascii="Arial" w:cs="Arial" w:eastAsia="Arial" w:hAnsi="Arial"/>
          <w:sz w:val="19"/>
          <w:szCs w:val="19"/>
          <w:color w:val="auto"/>
        </w:rPr>
        <w:t>of descent and distribution, and will be exercisable during the lifetime of the Participant only by the Participant; provided, however, that the Board may permit transfer of an Option or SAR in a manner that is not prohibited by applicable tax and securities laws upon the Participant’s request, including to a trust if the Participant is considered to be the sole beneficial owner of such trust (as determined under Section 671 of the Code and applicable state law) while such Option or SAR is held in such trust, provided that the Participant and the trustee enter into a transfer and other agreements required by the Company.</w:t>
      </w:r>
    </w:p>
    <w:p>
      <w:pPr>
        <w:spacing w:after="0" w:line="144" w:lineRule="exact"/>
        <w:rPr>
          <w:rFonts w:ascii="Arial" w:cs="Arial" w:eastAsia="Arial" w:hAnsi="Arial"/>
          <w:sz w:val="19"/>
          <w:szCs w:val="19"/>
          <w:b w:val="1"/>
          <w:bCs w:val="1"/>
          <w:color w:val="auto"/>
        </w:rPr>
      </w:pPr>
    </w:p>
    <w:p>
      <w:pPr>
        <w:jc w:val="both"/>
        <w:ind w:firstLine="1735"/>
        <w:spacing w:after="0" w:line="243" w:lineRule="auto"/>
        <w:tabs>
          <w:tab w:leader="none" w:pos="2639" w:val="left"/>
        </w:tabs>
        <w:numPr>
          <w:ilvl w:val="1"/>
          <w:numId w:val="1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Domestic Relations Orders. </w:t>
      </w:r>
      <w:r>
        <w:rPr>
          <w:rFonts w:ascii="Arial" w:cs="Arial" w:eastAsia="Arial" w:hAnsi="Arial"/>
          <w:sz w:val="22"/>
          <w:szCs w:val="22"/>
          <w:color w:val="auto"/>
        </w:rPr>
        <w:t>Notwithstanding the foregoing, subject to the execution of transfer</w:t>
      </w:r>
      <w:r>
        <w:rPr>
          <w:rFonts w:ascii="Arial" w:cs="Arial" w:eastAsia="Arial" w:hAnsi="Arial"/>
          <w:sz w:val="22"/>
          <w:szCs w:val="22"/>
          <w:b w:val="1"/>
          <w:bCs w:val="1"/>
          <w:color w:val="auto"/>
        </w:rPr>
        <w:t xml:space="preserve"> </w:t>
      </w:r>
      <w:r>
        <w:rPr>
          <w:rFonts w:ascii="Arial" w:cs="Arial" w:eastAsia="Arial" w:hAnsi="Arial"/>
          <w:sz w:val="22"/>
          <w:szCs w:val="22"/>
          <w:color w:val="auto"/>
        </w:rPr>
        <w:t>documentation in a format acceptable to the Company and subject to the approval of the Board or a duly authorized Officer, an Option or SAR may be transferred pursuant to a domestic relations order.</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41" w:name="page42"/>
    <w:bookmarkEnd w:id="41"/>
    <w:p>
      <w:pPr>
        <w:jc w:val="both"/>
        <w:ind w:firstLine="872"/>
        <w:spacing w:after="0" w:line="239" w:lineRule="auto"/>
        <w:tabs>
          <w:tab w:leader="none" w:pos="1727" w:val="left"/>
        </w:tabs>
        <w:numPr>
          <w:ilvl w:val="0"/>
          <w:numId w:val="19"/>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Vesting. </w:t>
      </w:r>
      <w:r>
        <w:rPr>
          <w:rFonts w:ascii="Arial" w:cs="Arial" w:eastAsia="Arial" w:hAnsi="Arial"/>
          <w:sz w:val="22"/>
          <w:szCs w:val="22"/>
          <w:color w:val="auto"/>
        </w:rPr>
        <w:t>Subject to Section 3(b)(vi), the Board may impose such restrictions on or conditions to the vesting</w:t>
      </w:r>
      <w:r>
        <w:rPr>
          <w:rFonts w:ascii="Arial" w:cs="Arial" w:eastAsia="Arial" w:hAnsi="Arial"/>
          <w:sz w:val="22"/>
          <w:szCs w:val="22"/>
          <w:b w:val="1"/>
          <w:bCs w:val="1"/>
          <w:color w:val="auto"/>
        </w:rPr>
        <w:t xml:space="preserve"> </w:t>
      </w:r>
      <w:r>
        <w:rPr>
          <w:rFonts w:ascii="Arial" w:cs="Arial" w:eastAsia="Arial" w:hAnsi="Arial"/>
          <w:sz w:val="22"/>
          <w:szCs w:val="22"/>
          <w:color w:val="auto"/>
        </w:rPr>
        <w:t>and/or exercisability of an Option or SAR as determined by the Board. Except as otherwise provided in the Award Agreement or other written agreement between a Participant and the Company or an Affiliate, vesting of Options and SARs will cease upon termination of the Participant’s Continuous Service.</w:t>
      </w:r>
    </w:p>
    <w:p>
      <w:pPr>
        <w:spacing w:after="0" w:line="180" w:lineRule="exact"/>
        <w:rPr>
          <w:rFonts w:ascii="Arial" w:cs="Arial" w:eastAsia="Arial" w:hAnsi="Arial"/>
          <w:sz w:val="22"/>
          <w:szCs w:val="22"/>
          <w:b w:val="1"/>
          <w:bCs w:val="1"/>
          <w:color w:val="auto"/>
        </w:rPr>
      </w:pPr>
    </w:p>
    <w:p>
      <w:pPr>
        <w:jc w:val="both"/>
        <w:ind w:firstLine="872"/>
        <w:spacing w:after="0" w:line="235" w:lineRule="auto"/>
        <w:tabs>
          <w:tab w:leader="none" w:pos="1763" w:val="left"/>
        </w:tabs>
        <w:numPr>
          <w:ilvl w:val="0"/>
          <w:numId w:val="19"/>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Termination of Continuous Service for Cause. </w:t>
      </w:r>
      <w:r>
        <w:rPr>
          <w:rFonts w:ascii="Arial" w:cs="Arial" w:eastAsia="Arial" w:hAnsi="Arial"/>
          <w:sz w:val="22"/>
          <w:szCs w:val="22"/>
          <w:color w:val="auto"/>
        </w:rPr>
        <w:t>Except as explicitly otherwise provided in the Award</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or other written agreement between a Participant and the Company or an Affiliate, if a Participant’s Continuous Service is terminated for Cause, the Participant’s Options and SARs will terminate and be forfeited immediately upon such termination of Continuous Service, and the Participant will be prohibited from exercising any portion (including any vested portion) of such Awards on and after the date of such termination of Continuous Service and the Participant will have no further right, title or interest in such forfeited Award, the shares of Common Stock subject to the forfeited Award, or any consideration in respect of the forfeited Award.</w:t>
      </w:r>
    </w:p>
    <w:p>
      <w:pPr>
        <w:spacing w:after="0" w:line="183" w:lineRule="exact"/>
        <w:rPr>
          <w:rFonts w:ascii="Arial" w:cs="Arial" w:eastAsia="Arial" w:hAnsi="Arial"/>
          <w:sz w:val="22"/>
          <w:szCs w:val="22"/>
          <w:b w:val="1"/>
          <w:bCs w:val="1"/>
          <w:color w:val="auto"/>
        </w:rPr>
      </w:pPr>
    </w:p>
    <w:p>
      <w:pPr>
        <w:jc w:val="both"/>
        <w:ind w:firstLine="872"/>
        <w:spacing w:after="0" w:line="236" w:lineRule="auto"/>
        <w:tabs>
          <w:tab w:leader="none" w:pos="1775" w:val="left"/>
        </w:tabs>
        <w:numPr>
          <w:ilvl w:val="0"/>
          <w:numId w:val="19"/>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Post-Termination Exercise Period Following Termination of Continuous Service for Reasons Other than Cause. </w:t>
      </w:r>
      <w:r>
        <w:rPr>
          <w:rFonts w:ascii="Arial" w:cs="Arial" w:eastAsia="Arial" w:hAnsi="Arial"/>
          <w:sz w:val="22"/>
          <w:szCs w:val="22"/>
          <w:color w:val="auto"/>
        </w:rPr>
        <w:t>Subject to Section 4(i), if a Participant’s Continuous Service terminates for any reason other than for Cause, the</w:t>
      </w:r>
      <w:r>
        <w:rPr>
          <w:rFonts w:ascii="Arial" w:cs="Arial" w:eastAsia="Arial" w:hAnsi="Arial"/>
          <w:sz w:val="22"/>
          <w:szCs w:val="22"/>
          <w:b w:val="1"/>
          <w:bCs w:val="1"/>
          <w:color w:val="auto"/>
        </w:rPr>
        <w:t xml:space="preserve"> </w:t>
      </w:r>
      <w:r>
        <w:rPr>
          <w:rFonts w:ascii="Arial" w:cs="Arial" w:eastAsia="Arial" w:hAnsi="Arial"/>
          <w:sz w:val="22"/>
          <w:szCs w:val="22"/>
          <w:color w:val="auto"/>
        </w:rPr>
        <w:t>Participant may exercise his or her Option or SAR to the extent vested, but only within the following period of time or, if applicable, such other period of time provided in the Award Agreement or other written agreement between a Participant and the Company or an Affiliate; provided, however, that in no event may such Award be exercised after the expiration of its maximum term (as set forth in Section 4(a)):</w:t>
      </w:r>
    </w:p>
    <w:p>
      <w:pPr>
        <w:spacing w:after="0" w:line="187" w:lineRule="exact"/>
        <w:rPr>
          <w:rFonts w:ascii="Arial" w:cs="Arial" w:eastAsia="Arial" w:hAnsi="Arial"/>
          <w:sz w:val="22"/>
          <w:szCs w:val="22"/>
          <w:b w:val="1"/>
          <w:bCs w:val="1"/>
          <w:color w:val="auto"/>
        </w:rPr>
      </w:pPr>
    </w:p>
    <w:p>
      <w:pPr>
        <w:ind w:firstLine="1735"/>
        <w:spacing w:after="0" w:line="250" w:lineRule="auto"/>
        <w:tabs>
          <w:tab w:leader="none" w:pos="2579" w:val="left"/>
        </w:tabs>
        <w:numPr>
          <w:ilvl w:val="1"/>
          <w:numId w:val="19"/>
        </w:numPr>
        <w:rPr>
          <w:rFonts w:ascii="Arial" w:cs="Arial" w:eastAsia="Arial" w:hAnsi="Arial"/>
          <w:sz w:val="22"/>
          <w:szCs w:val="22"/>
          <w:b w:val="1"/>
          <w:bCs w:val="1"/>
          <w:color w:val="auto"/>
        </w:rPr>
      </w:pPr>
      <w:r>
        <w:rPr>
          <w:rFonts w:ascii="Arial" w:cs="Arial" w:eastAsia="Arial" w:hAnsi="Arial"/>
          <w:sz w:val="22"/>
          <w:szCs w:val="22"/>
          <w:color w:val="auto"/>
        </w:rPr>
        <w:t>three months following the date of such termination if such termination is a termination without Cause (other than any termination due to the Participant’s Disability or death);</w:t>
      </w:r>
    </w:p>
    <w:p>
      <w:pPr>
        <w:spacing w:after="0" w:line="174" w:lineRule="exact"/>
        <w:rPr>
          <w:rFonts w:ascii="Arial" w:cs="Arial" w:eastAsia="Arial" w:hAnsi="Arial"/>
          <w:sz w:val="22"/>
          <w:szCs w:val="22"/>
          <w:b w:val="1"/>
          <w:bCs w:val="1"/>
          <w:color w:val="auto"/>
        </w:rPr>
      </w:pPr>
    </w:p>
    <w:p>
      <w:pPr>
        <w:ind w:left="2640" w:hanging="905"/>
        <w:spacing w:after="0"/>
        <w:tabs>
          <w:tab w:leader="none" w:pos="2640" w:val="left"/>
        </w:tabs>
        <w:numPr>
          <w:ilvl w:val="1"/>
          <w:numId w:val="19"/>
        </w:numPr>
        <w:rPr>
          <w:rFonts w:ascii="Arial" w:cs="Arial" w:eastAsia="Arial" w:hAnsi="Arial"/>
          <w:sz w:val="19"/>
          <w:szCs w:val="19"/>
          <w:b w:val="1"/>
          <w:bCs w:val="1"/>
          <w:color w:val="auto"/>
        </w:rPr>
      </w:pPr>
      <w:r>
        <w:rPr>
          <w:rFonts w:ascii="Arial" w:cs="Arial" w:eastAsia="Arial" w:hAnsi="Arial"/>
          <w:sz w:val="19"/>
          <w:szCs w:val="19"/>
          <w:color w:val="auto"/>
        </w:rPr>
        <w:t>12 months following the date of such termination if such termination is due to the Participant’s</w:t>
      </w:r>
    </w:p>
    <w:p>
      <w:pPr>
        <w:spacing w:after="0" w:line="42"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Disability;</w:t>
      </w:r>
    </w:p>
    <w:p>
      <w:pPr>
        <w:spacing w:after="0" w:line="188" w:lineRule="exact"/>
        <w:rPr>
          <w:rFonts w:ascii="Arial" w:cs="Arial" w:eastAsia="Arial" w:hAnsi="Arial"/>
          <w:sz w:val="19"/>
          <w:szCs w:val="19"/>
          <w:b w:val="1"/>
          <w:bCs w:val="1"/>
          <w:color w:val="auto"/>
        </w:rPr>
      </w:pPr>
    </w:p>
    <w:p>
      <w:pPr>
        <w:ind w:left="2700" w:hanging="965"/>
        <w:spacing w:after="0"/>
        <w:tabs>
          <w:tab w:leader="none" w:pos="2700" w:val="left"/>
        </w:tabs>
        <w:numPr>
          <w:ilvl w:val="1"/>
          <w:numId w:val="19"/>
        </w:numPr>
        <w:rPr>
          <w:rFonts w:ascii="Arial" w:cs="Arial" w:eastAsia="Arial" w:hAnsi="Arial"/>
          <w:sz w:val="19"/>
          <w:szCs w:val="19"/>
          <w:b w:val="1"/>
          <w:bCs w:val="1"/>
          <w:color w:val="auto"/>
        </w:rPr>
      </w:pPr>
      <w:r>
        <w:rPr>
          <w:rFonts w:ascii="Arial" w:cs="Arial" w:eastAsia="Arial" w:hAnsi="Arial"/>
          <w:sz w:val="19"/>
          <w:szCs w:val="19"/>
          <w:color w:val="auto"/>
        </w:rPr>
        <w:t>18 months following the date of such termination if such termination is due to the Participant’s</w:t>
      </w:r>
    </w:p>
    <w:p>
      <w:pPr>
        <w:spacing w:after="0" w:line="42"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death; or</w:t>
      </w:r>
    </w:p>
    <w:p>
      <w:pPr>
        <w:spacing w:after="0" w:line="188" w:lineRule="exact"/>
        <w:rPr>
          <w:rFonts w:ascii="Arial" w:cs="Arial" w:eastAsia="Arial" w:hAnsi="Arial"/>
          <w:sz w:val="19"/>
          <w:szCs w:val="19"/>
          <w:b w:val="1"/>
          <w:bCs w:val="1"/>
          <w:color w:val="auto"/>
        </w:rPr>
      </w:pPr>
    </w:p>
    <w:p>
      <w:pPr>
        <w:ind w:firstLine="1735"/>
        <w:spacing w:after="0" w:line="274" w:lineRule="auto"/>
        <w:tabs>
          <w:tab w:leader="none" w:pos="2687" w:val="left"/>
        </w:tabs>
        <w:numPr>
          <w:ilvl w:val="1"/>
          <w:numId w:val="19"/>
        </w:numPr>
        <w:rPr>
          <w:rFonts w:ascii="Arial" w:cs="Arial" w:eastAsia="Arial" w:hAnsi="Arial"/>
          <w:sz w:val="21"/>
          <w:szCs w:val="21"/>
          <w:b w:val="1"/>
          <w:bCs w:val="1"/>
          <w:color w:val="auto"/>
        </w:rPr>
      </w:pPr>
      <w:r>
        <w:rPr>
          <w:rFonts w:ascii="Arial" w:cs="Arial" w:eastAsia="Arial" w:hAnsi="Arial"/>
          <w:sz w:val="21"/>
          <w:szCs w:val="21"/>
          <w:color w:val="auto"/>
        </w:rPr>
        <w:t>18 months following the date of the Participant’s death if such death occurs following the date of such termination but during the period such Award is otherwise exercisable (as provided in (i) or (ii) above).</w:t>
      </w:r>
    </w:p>
    <w:p>
      <w:pPr>
        <w:spacing w:after="0" w:line="151"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Following the date of such termination, to the extent the Participant does not exercise such Award within the applicable Post-Termination Exercise Period (or, if earlier, prior to the expiration of the maximum term of such Award), such unexercised portion of the Award will terminate, and the Participant will have no further right, title or interest in the terminated Award, the shares of Common Stock subject to the terminated Award, or any consideration in respect of the terminated Award.</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42" w:name="page43"/>
    <w:bookmarkEnd w:id="42"/>
    <w:p>
      <w:pPr>
        <w:jc w:val="both"/>
        <w:ind w:firstLine="872"/>
        <w:spacing w:after="0" w:line="273" w:lineRule="auto"/>
        <w:tabs>
          <w:tab w:leader="none" w:pos="1715" w:val="left"/>
        </w:tabs>
        <w:numPr>
          <w:ilvl w:val="1"/>
          <w:numId w:val="20"/>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Restrictions on Exercise; Extension of Exercisability. </w:t>
      </w:r>
      <w:r>
        <w:rPr>
          <w:rFonts w:ascii="Arial" w:cs="Arial" w:eastAsia="Arial" w:hAnsi="Arial"/>
          <w:sz w:val="19"/>
          <w:szCs w:val="19"/>
          <w:color w:val="auto"/>
        </w:rPr>
        <w:t>A Participant may not exercise an Option or SAR at</w:t>
      </w:r>
      <w:r>
        <w:rPr>
          <w:rFonts w:ascii="Arial" w:cs="Arial" w:eastAsia="Arial" w:hAnsi="Arial"/>
          <w:sz w:val="19"/>
          <w:szCs w:val="19"/>
          <w:b w:val="1"/>
          <w:bCs w:val="1"/>
          <w:color w:val="auto"/>
        </w:rPr>
        <w:t xml:space="preserve"> </w:t>
      </w:r>
      <w:r>
        <w:rPr>
          <w:rFonts w:ascii="Arial" w:cs="Arial" w:eastAsia="Arial" w:hAnsi="Arial"/>
          <w:sz w:val="19"/>
          <w:szCs w:val="19"/>
          <w:color w:val="auto"/>
        </w:rPr>
        <w:t>any time that the issuance of shares of Common Stock upon such exercise would violate Applicable Law. Except as otherwise provided in the Award Agreement or other written agreement between a Participant and the Company or an Affiliate, if a Participant’s Continuous Service terminates for any reason other than for Cause and, at any time during the last thirty days of the applicable Post-Termination Exercise Period: (i) the exercise of the Participant’s Option or SAR would be prohibited solely because the issuance of shares of Common Stock upon such exercise would violate Applicable Law, or (ii) the immediate sale of any shares of Common Stock issued upon such exercise would violate the Company’s Trading Policy, then the applicable Post-Termination Exercise Period will be extended to the last day of the calendar month that commences following the date the Award would otherwise expire, with an additional extension of the exercise period to the last day of the next calendar month to apply if any of the foregoing restrictions apply at any time during such extended exercise period, generally without limitation as to the maximum permitted number of extensions); provided, however, that in no event may such Award be exercised after the expiration of its maximum term (as set forth in Section 4(a)).</w:t>
      </w:r>
    </w:p>
    <w:p>
      <w:pPr>
        <w:spacing w:after="0" w:line="149" w:lineRule="exact"/>
        <w:rPr>
          <w:rFonts w:ascii="Arial" w:cs="Arial" w:eastAsia="Arial" w:hAnsi="Arial"/>
          <w:sz w:val="19"/>
          <w:szCs w:val="19"/>
          <w:b w:val="1"/>
          <w:bCs w:val="1"/>
          <w:color w:val="auto"/>
        </w:rPr>
      </w:pPr>
    </w:p>
    <w:p>
      <w:pPr>
        <w:jc w:val="both"/>
        <w:ind w:firstLine="872"/>
        <w:spacing w:after="0" w:line="245" w:lineRule="auto"/>
        <w:tabs>
          <w:tab w:leader="none" w:pos="1727" w:val="left"/>
        </w:tabs>
        <w:numPr>
          <w:ilvl w:val="1"/>
          <w:numId w:val="20"/>
        </w:numPr>
        <w:rPr>
          <w:rFonts w:ascii="Arial" w:cs="Arial" w:eastAsia="Arial" w:hAnsi="Arial"/>
          <w:sz w:val="21"/>
          <w:szCs w:val="21"/>
          <w:b w:val="1"/>
          <w:bCs w:val="1"/>
          <w:color w:val="auto"/>
        </w:rPr>
      </w:pPr>
      <w:r>
        <w:rPr>
          <w:rFonts w:ascii="Arial" w:cs="Arial" w:eastAsia="Arial" w:hAnsi="Arial"/>
          <w:sz w:val="21"/>
          <w:szCs w:val="21"/>
          <w:b w:val="1"/>
          <w:bCs w:val="1"/>
          <w:color w:val="auto"/>
        </w:rPr>
        <w:t>Non-Exempt Employees</w:t>
      </w:r>
      <w:r>
        <w:rPr>
          <w:rFonts w:ascii="Arial" w:cs="Arial" w:eastAsia="Arial" w:hAnsi="Arial"/>
          <w:sz w:val="21"/>
          <w:szCs w:val="21"/>
          <w:color w:val="auto"/>
        </w:rPr>
        <w:t>. No Option or SAR, whether or not vested, granted to an Employee who is a non-exempt employee for purposes of the Fair Labor Standards Act of 1938, as amended, will be first exercisable for any shares of Common Stock until at least six months following the date of grant of such Award. Notwithstanding the foregoing, in accordance with the provisions of the Worker Economic Opportunity Act, any vested portion of such Award may be exercised earlier than six months following the date of grant of such Award in the event of (i) such Participant’s death or Disability, (ii) a Change in Control in which such Award is not assumed, continued or substituted, or (iii) such Participant’s retirement (as such term may be defined in the Award Agreement or another applicable agreement or, in the absence of any such definition, in accordance with the Company’s then current employment policies and guidelines). This Section 4(j) is intended to operate so that any income derived by a non-exempt employee in connection with the exercise or vesting of an Option or SAR will be exempt from his or her regular rate of pay.</w:t>
      </w:r>
    </w:p>
    <w:p>
      <w:pPr>
        <w:spacing w:after="0" w:line="180" w:lineRule="exact"/>
        <w:rPr>
          <w:rFonts w:ascii="Arial" w:cs="Arial" w:eastAsia="Arial" w:hAnsi="Arial"/>
          <w:sz w:val="21"/>
          <w:szCs w:val="21"/>
          <w:b w:val="1"/>
          <w:bCs w:val="1"/>
          <w:color w:val="auto"/>
        </w:rPr>
      </w:pPr>
    </w:p>
    <w:p>
      <w:pPr>
        <w:ind w:left="1780" w:hanging="908"/>
        <w:spacing w:after="0"/>
        <w:tabs>
          <w:tab w:leader="none" w:pos="1780" w:val="left"/>
        </w:tabs>
        <w:numPr>
          <w:ilvl w:val="1"/>
          <w:numId w:val="20"/>
        </w:numPr>
        <w:rPr>
          <w:rFonts w:ascii="Arial" w:cs="Arial" w:eastAsia="Arial" w:hAnsi="Arial"/>
          <w:sz w:val="19"/>
          <w:szCs w:val="19"/>
          <w:b w:val="1"/>
          <w:bCs w:val="1"/>
          <w:color w:val="auto"/>
        </w:rPr>
      </w:pPr>
      <w:r>
        <w:rPr>
          <w:rFonts w:ascii="Arial" w:cs="Arial" w:eastAsia="Arial" w:hAnsi="Arial"/>
          <w:sz w:val="19"/>
          <w:szCs w:val="19"/>
          <w:b w:val="1"/>
          <w:bCs w:val="1"/>
          <w:color w:val="auto"/>
        </w:rPr>
        <w:t>Whole Shares</w:t>
      </w:r>
      <w:r>
        <w:rPr>
          <w:rFonts w:ascii="Arial" w:cs="Arial" w:eastAsia="Arial" w:hAnsi="Arial"/>
          <w:sz w:val="19"/>
          <w:szCs w:val="19"/>
          <w:color w:val="auto"/>
        </w:rPr>
        <w:t>. Options and SARs may be exercised only with respect to whole shares of Common Stock or</w:t>
      </w:r>
    </w:p>
    <w:p>
      <w:pPr>
        <w:spacing w:after="0" w:line="48"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their equivalents.</w:t>
      </w:r>
    </w:p>
    <w:p>
      <w:pPr>
        <w:spacing w:after="0" w:line="182" w:lineRule="exact"/>
        <w:rPr>
          <w:rFonts w:ascii="Arial" w:cs="Arial" w:eastAsia="Arial" w:hAnsi="Arial"/>
          <w:sz w:val="19"/>
          <w:szCs w:val="19"/>
          <w:b w:val="1"/>
          <w:bCs w:val="1"/>
          <w:color w:val="auto"/>
        </w:rPr>
      </w:pPr>
    </w:p>
    <w:p>
      <w:pPr>
        <w:ind w:left="820" w:hanging="812"/>
        <w:spacing w:after="0"/>
        <w:tabs>
          <w:tab w:leader="none" w:pos="820" w:val="left"/>
        </w:tabs>
        <w:numPr>
          <w:ilvl w:val="0"/>
          <w:numId w:val="21"/>
        </w:numPr>
        <w:rPr>
          <w:rFonts w:ascii="Arial" w:cs="Arial" w:eastAsia="Arial" w:hAnsi="Arial"/>
          <w:sz w:val="22"/>
          <w:szCs w:val="22"/>
          <w:b w:val="1"/>
          <w:bCs w:val="1"/>
          <w:color w:val="auto"/>
        </w:rPr>
      </w:pPr>
      <w:r>
        <w:rPr>
          <w:rFonts w:ascii="Arial" w:cs="Arial" w:eastAsia="Arial" w:hAnsi="Arial"/>
          <w:sz w:val="22"/>
          <w:szCs w:val="22"/>
          <w:b w:val="1"/>
          <w:bCs w:val="1"/>
          <w:color w:val="auto"/>
        </w:rPr>
        <w:t>A</w:t>
      </w:r>
      <w:r>
        <w:rPr>
          <w:rFonts w:ascii="Arial" w:cs="Arial" w:eastAsia="Arial" w:hAnsi="Arial"/>
          <w:sz w:val="14"/>
          <w:szCs w:val="14"/>
          <w:b w:val="1"/>
          <w:bCs w:val="1"/>
          <w:color w:val="auto"/>
        </w:rPr>
        <w:t>WARDS</w:t>
      </w:r>
      <w:r>
        <w:rPr>
          <w:rFonts w:ascii="Arial" w:cs="Arial" w:eastAsia="Arial" w:hAnsi="Arial"/>
          <w:sz w:val="22"/>
          <w:szCs w:val="22"/>
          <w:b w:val="1"/>
          <w:bCs w:val="1"/>
          <w:color w:val="auto"/>
        </w:rPr>
        <w:t xml:space="preserve"> O</w:t>
      </w:r>
      <w:r>
        <w:rPr>
          <w:rFonts w:ascii="Arial" w:cs="Arial" w:eastAsia="Arial" w:hAnsi="Arial"/>
          <w:sz w:val="14"/>
          <w:szCs w:val="14"/>
          <w:b w:val="1"/>
          <w:bCs w:val="1"/>
          <w:color w:val="auto"/>
        </w:rPr>
        <w:t>THER</w:t>
      </w:r>
      <w:r>
        <w:rPr>
          <w:rFonts w:ascii="Arial" w:cs="Arial" w:eastAsia="Arial" w:hAnsi="Arial"/>
          <w:sz w:val="22"/>
          <w:szCs w:val="22"/>
          <w:b w:val="1"/>
          <w:bCs w:val="1"/>
          <w:color w:val="auto"/>
        </w:rPr>
        <w:t xml:space="preserve"> T</w:t>
      </w:r>
      <w:r>
        <w:rPr>
          <w:rFonts w:ascii="Arial" w:cs="Arial" w:eastAsia="Arial" w:hAnsi="Arial"/>
          <w:sz w:val="14"/>
          <w:szCs w:val="14"/>
          <w:b w:val="1"/>
          <w:bCs w:val="1"/>
          <w:color w:val="auto"/>
        </w:rPr>
        <w:t>HAN</w:t>
      </w:r>
      <w:r>
        <w:rPr>
          <w:rFonts w:ascii="Arial" w:cs="Arial" w:eastAsia="Arial" w:hAnsi="Arial"/>
          <w:sz w:val="22"/>
          <w:szCs w:val="22"/>
          <w:b w:val="1"/>
          <w:bCs w:val="1"/>
          <w:color w:val="auto"/>
        </w:rPr>
        <w:t xml:space="preserve"> O</w:t>
      </w:r>
      <w:r>
        <w:rPr>
          <w:rFonts w:ascii="Arial" w:cs="Arial" w:eastAsia="Arial" w:hAnsi="Arial"/>
          <w:sz w:val="14"/>
          <w:szCs w:val="14"/>
          <w:b w:val="1"/>
          <w:bCs w:val="1"/>
          <w:color w:val="auto"/>
        </w:rPr>
        <w:t>PTIONS AND</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PPRECIATION</w:t>
      </w:r>
      <w:r>
        <w:rPr>
          <w:rFonts w:ascii="Arial" w:cs="Arial" w:eastAsia="Arial" w:hAnsi="Arial"/>
          <w:sz w:val="22"/>
          <w:szCs w:val="22"/>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22"/>
          <w:szCs w:val="22"/>
          <w:b w:val="1"/>
          <w:bCs w:val="1"/>
          <w:color w:val="auto"/>
        </w:rPr>
        <w:t>.</w:t>
      </w:r>
    </w:p>
    <w:p>
      <w:pPr>
        <w:spacing w:after="0" w:line="206" w:lineRule="exact"/>
        <w:rPr>
          <w:rFonts w:ascii="Arial" w:cs="Arial" w:eastAsia="Arial" w:hAnsi="Arial"/>
          <w:sz w:val="22"/>
          <w:szCs w:val="22"/>
          <w:b w:val="1"/>
          <w:bCs w:val="1"/>
          <w:color w:val="auto"/>
        </w:rPr>
      </w:pPr>
    </w:p>
    <w:p>
      <w:pPr>
        <w:jc w:val="both"/>
        <w:ind w:firstLine="872"/>
        <w:spacing w:after="0" w:line="239" w:lineRule="auto"/>
        <w:tabs>
          <w:tab w:leader="none" w:pos="1763" w:val="left"/>
        </w:tabs>
        <w:numPr>
          <w:ilvl w:val="1"/>
          <w:numId w:val="2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Restricted Stock Awards and RSU Awards. </w:t>
      </w:r>
      <w:r>
        <w:rPr>
          <w:rFonts w:ascii="Arial" w:cs="Arial" w:eastAsia="Arial" w:hAnsi="Arial"/>
          <w:sz w:val="22"/>
          <w:szCs w:val="22"/>
          <w:color w:val="auto"/>
        </w:rPr>
        <w:t>Each Restricted Stock Award and RSU Award will have such</w:t>
      </w:r>
      <w:r>
        <w:rPr>
          <w:rFonts w:ascii="Arial" w:cs="Arial" w:eastAsia="Arial" w:hAnsi="Arial"/>
          <w:sz w:val="22"/>
          <w:szCs w:val="22"/>
          <w:b w:val="1"/>
          <w:bCs w:val="1"/>
          <w:color w:val="auto"/>
        </w:rPr>
        <w:t xml:space="preserve"> </w:t>
      </w:r>
      <w:r>
        <w:rPr>
          <w:rFonts w:ascii="Arial" w:cs="Arial" w:eastAsia="Arial" w:hAnsi="Arial"/>
          <w:sz w:val="22"/>
          <w:szCs w:val="22"/>
          <w:color w:val="auto"/>
        </w:rPr>
        <w:t>terms and conditions as determined by the Board; provided, however, that each Restricted Stock Award Agreement and RSU Award Agreement will conform (through incorporation of the provisions hereof by reference in the Award Agreement or otherwise) to the substance of each of the following provisions:</w:t>
      </w:r>
    </w:p>
    <w:p>
      <w:pPr>
        <w:spacing w:after="0" w:line="180" w:lineRule="exact"/>
        <w:rPr>
          <w:rFonts w:ascii="Arial" w:cs="Arial" w:eastAsia="Arial" w:hAnsi="Arial"/>
          <w:sz w:val="22"/>
          <w:szCs w:val="22"/>
          <w:b w:val="1"/>
          <w:bCs w:val="1"/>
          <w:color w:val="auto"/>
        </w:rPr>
      </w:pPr>
    </w:p>
    <w:p>
      <w:pPr>
        <w:ind w:left="2580" w:hanging="845"/>
        <w:spacing w:after="0"/>
        <w:tabs>
          <w:tab w:leader="none" w:pos="2580" w:val="left"/>
        </w:tabs>
        <w:numPr>
          <w:ilvl w:val="2"/>
          <w:numId w:val="21"/>
        </w:numPr>
        <w:rPr>
          <w:rFonts w:ascii="Arial" w:cs="Arial" w:eastAsia="Arial" w:hAnsi="Arial"/>
          <w:sz w:val="22"/>
          <w:szCs w:val="22"/>
          <w:b w:val="1"/>
          <w:bCs w:val="1"/>
          <w:color w:val="auto"/>
        </w:rPr>
      </w:pPr>
      <w:r>
        <w:rPr>
          <w:rFonts w:ascii="Arial" w:cs="Arial" w:eastAsia="Arial" w:hAnsi="Arial"/>
          <w:sz w:val="22"/>
          <w:szCs w:val="22"/>
          <w:b w:val="1"/>
          <w:bCs w:val="1"/>
          <w:color w:val="auto"/>
        </w:rPr>
        <w:t>Form of Award.</w:t>
      </w:r>
    </w:p>
    <w:p>
      <w:pPr>
        <w:spacing w:after="0" w:line="212" w:lineRule="exact"/>
        <w:rPr>
          <w:rFonts w:ascii="Arial" w:cs="Arial" w:eastAsia="Arial" w:hAnsi="Arial"/>
          <w:sz w:val="22"/>
          <w:szCs w:val="22"/>
          <w:b w:val="1"/>
          <w:bCs w:val="1"/>
          <w:color w:val="auto"/>
        </w:rPr>
      </w:pPr>
    </w:p>
    <w:p>
      <w:pPr>
        <w:jc w:val="both"/>
        <w:ind w:firstLine="2600"/>
        <w:spacing w:after="0" w:line="282" w:lineRule="auto"/>
        <w:tabs>
          <w:tab w:leader="none" w:pos="3492" w:val="left"/>
        </w:tabs>
        <w:numPr>
          <w:ilvl w:val="3"/>
          <w:numId w:val="21"/>
        </w:numPr>
        <w:rPr>
          <w:rFonts w:ascii="Arial" w:cs="Arial" w:eastAsia="Arial" w:hAnsi="Arial"/>
          <w:sz w:val="19"/>
          <w:szCs w:val="19"/>
          <w:b w:val="1"/>
          <w:bCs w:val="1"/>
          <w:color w:val="auto"/>
        </w:rPr>
      </w:pPr>
      <w:r>
        <w:rPr>
          <w:rFonts w:ascii="Arial" w:cs="Arial" w:eastAsia="Arial" w:hAnsi="Arial"/>
          <w:sz w:val="19"/>
          <w:szCs w:val="19"/>
          <w:color w:val="auto"/>
        </w:rPr>
        <w:t>RSAs: To the extent consistent with the Company’s Bylaws, at the Board’s election, shares of Common Stock subject to a Restricted Stock Award may be (i) held in book entry form subject to the Company’s instructions until such shares become vested or any other restrictions lapse, or (ii) evidenced by a certificate, which certificate will be held in such form and manner as determined by the Board. Unless otherwise determined by the Board, a Participant will have voting and other rights as a stockholder of the Company with respect to any shares subject to a Restricted Stock Award.</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43" w:name="page44"/>
    <w:bookmarkEnd w:id="43"/>
    <w:p>
      <w:pPr>
        <w:jc w:val="both"/>
        <w:ind w:firstLine="2600"/>
        <w:spacing w:after="0" w:line="234" w:lineRule="auto"/>
        <w:tabs>
          <w:tab w:leader="none" w:pos="3492" w:val="left"/>
        </w:tabs>
        <w:numPr>
          <w:ilvl w:val="1"/>
          <w:numId w:val="22"/>
        </w:numPr>
        <w:rPr>
          <w:rFonts w:ascii="Arial" w:cs="Arial" w:eastAsia="Arial" w:hAnsi="Arial"/>
          <w:sz w:val="22"/>
          <w:szCs w:val="22"/>
          <w:b w:val="1"/>
          <w:bCs w:val="1"/>
          <w:color w:val="auto"/>
        </w:rPr>
      </w:pPr>
      <w:r>
        <w:rPr>
          <w:rFonts w:ascii="Arial" w:cs="Arial" w:eastAsia="Arial" w:hAnsi="Arial"/>
          <w:sz w:val="22"/>
          <w:szCs w:val="22"/>
          <w:color w:val="auto"/>
        </w:rPr>
        <w:t>RSUs: A RSU Award represents a Participant’s right to be issued on a future date the number of shares of Common Stock that is equal to the number of restricted stock units subject to the RSU Award. As a holder of a RSU Award, a Participant is an unsecured creditor of the Company with respect to the Company's unfunded obligation, if any, to issue shares of Common Stock in settlement of such Award and nothing contained in the Plan or any RSU Agreement, and no action taken pursuant to its provisions, will create or be construed to create a trust of any kind or a fiduciary relationship between a Participant and the Company or an Affiliate or any other person. A Participant will not have voting or any other rights as a stockholder of the Company with respect to any RSU Award (unless and until shares are actually issued in settlement of a vested RSU Award).</w:t>
      </w:r>
    </w:p>
    <w:p>
      <w:pPr>
        <w:spacing w:after="0" w:line="180" w:lineRule="exact"/>
        <w:rPr>
          <w:rFonts w:ascii="Arial" w:cs="Arial" w:eastAsia="Arial" w:hAnsi="Arial"/>
          <w:sz w:val="22"/>
          <w:szCs w:val="22"/>
          <w:b w:val="1"/>
          <w:bCs w:val="1"/>
          <w:color w:val="auto"/>
        </w:rPr>
      </w:pPr>
    </w:p>
    <w:p>
      <w:pPr>
        <w:ind w:left="2640" w:hanging="905"/>
        <w:spacing w:after="0"/>
        <w:tabs>
          <w:tab w:leader="none" w:pos="2640" w:val="left"/>
        </w:tabs>
        <w:numPr>
          <w:ilvl w:val="0"/>
          <w:numId w:val="23"/>
        </w:numPr>
        <w:rPr>
          <w:rFonts w:ascii="Arial" w:cs="Arial" w:eastAsia="Arial" w:hAnsi="Arial"/>
          <w:sz w:val="22"/>
          <w:szCs w:val="22"/>
          <w:b w:val="1"/>
          <w:bCs w:val="1"/>
          <w:color w:val="auto"/>
        </w:rPr>
      </w:pPr>
      <w:r>
        <w:rPr>
          <w:rFonts w:ascii="Arial" w:cs="Arial" w:eastAsia="Arial" w:hAnsi="Arial"/>
          <w:sz w:val="22"/>
          <w:szCs w:val="22"/>
          <w:b w:val="1"/>
          <w:bCs w:val="1"/>
          <w:color w:val="auto"/>
        </w:rPr>
        <w:t>Consideration.</w:t>
      </w:r>
    </w:p>
    <w:p>
      <w:pPr>
        <w:spacing w:after="0" w:line="212" w:lineRule="exact"/>
        <w:rPr>
          <w:rFonts w:ascii="Arial" w:cs="Arial" w:eastAsia="Arial" w:hAnsi="Arial"/>
          <w:sz w:val="22"/>
          <w:szCs w:val="22"/>
          <w:b w:val="1"/>
          <w:bCs w:val="1"/>
          <w:color w:val="auto"/>
        </w:rPr>
      </w:pPr>
    </w:p>
    <w:p>
      <w:pPr>
        <w:jc w:val="both"/>
        <w:ind w:firstLine="2600"/>
        <w:spacing w:after="0" w:line="297" w:lineRule="auto"/>
        <w:tabs>
          <w:tab w:leader="none" w:pos="3492" w:val="left"/>
        </w:tabs>
        <w:numPr>
          <w:ilvl w:val="1"/>
          <w:numId w:val="23"/>
        </w:numPr>
        <w:rPr>
          <w:rFonts w:ascii="Arial" w:cs="Arial" w:eastAsia="Arial" w:hAnsi="Arial"/>
          <w:sz w:val="19"/>
          <w:szCs w:val="19"/>
          <w:b w:val="1"/>
          <w:bCs w:val="1"/>
          <w:color w:val="auto"/>
        </w:rPr>
      </w:pPr>
      <w:r>
        <w:rPr>
          <w:rFonts w:ascii="Arial" w:cs="Arial" w:eastAsia="Arial" w:hAnsi="Arial"/>
          <w:sz w:val="19"/>
          <w:szCs w:val="19"/>
          <w:color w:val="auto"/>
        </w:rPr>
        <w:t>RSA: A Restricted Stock Award may be granted in consideration for (A) cash or check, bank draft or money order payable to the Company, (B) past services to the Company or an Affiliate, or (C) any other form of consideration (including future services) as the Board may determine and permissible under Applicable Law.</w:t>
      </w:r>
    </w:p>
    <w:p>
      <w:pPr>
        <w:spacing w:after="0" w:line="133" w:lineRule="exact"/>
        <w:rPr>
          <w:rFonts w:ascii="Arial" w:cs="Arial" w:eastAsia="Arial" w:hAnsi="Arial"/>
          <w:sz w:val="19"/>
          <w:szCs w:val="19"/>
          <w:b w:val="1"/>
          <w:bCs w:val="1"/>
          <w:color w:val="auto"/>
        </w:rPr>
      </w:pPr>
    </w:p>
    <w:p>
      <w:pPr>
        <w:jc w:val="both"/>
        <w:ind w:firstLine="2600"/>
        <w:spacing w:after="0" w:line="277" w:lineRule="auto"/>
        <w:tabs>
          <w:tab w:leader="none" w:pos="3492" w:val="left"/>
        </w:tabs>
        <w:numPr>
          <w:ilvl w:val="1"/>
          <w:numId w:val="23"/>
        </w:numPr>
        <w:rPr>
          <w:rFonts w:ascii="Arial" w:cs="Arial" w:eastAsia="Arial" w:hAnsi="Arial"/>
          <w:sz w:val="19"/>
          <w:szCs w:val="19"/>
          <w:b w:val="1"/>
          <w:bCs w:val="1"/>
          <w:color w:val="auto"/>
        </w:rPr>
      </w:pPr>
      <w:r>
        <w:rPr>
          <w:rFonts w:ascii="Arial" w:cs="Arial" w:eastAsia="Arial" w:hAnsi="Arial"/>
          <w:sz w:val="19"/>
          <w:szCs w:val="19"/>
          <w:color w:val="auto"/>
        </w:rPr>
        <w:t>RSU: Unless otherwise determined by the Board at the time of grant, a RSU Award will be granted in consideration for the Participant’s services to the Company or an Affiliate, such that the Participant will not be required to make any payment to the Company (other than such services) with respect to the grant or vesting of the RSU Award, or the issuance of any shares of Common Stock pursuant to the RSU Award. If, at the time of grant, the Board determines that any consideration must be paid by the Participant (in a form other than the Participant’s services to the Company or an Affiliate) upon the issuance of any shares of Common Stock in settlement of the RSU Award, such consideration may be paid in any form of consideration as the Board may determine and permissible under Applicable Law.</w:t>
      </w:r>
    </w:p>
    <w:p>
      <w:pPr>
        <w:spacing w:after="0" w:line="145" w:lineRule="exact"/>
        <w:rPr>
          <w:rFonts w:ascii="Arial" w:cs="Arial" w:eastAsia="Arial" w:hAnsi="Arial"/>
          <w:sz w:val="19"/>
          <w:szCs w:val="19"/>
          <w:b w:val="1"/>
          <w:bCs w:val="1"/>
          <w:color w:val="auto"/>
        </w:rPr>
      </w:pPr>
    </w:p>
    <w:p>
      <w:pPr>
        <w:jc w:val="both"/>
        <w:ind w:firstLine="1735"/>
        <w:spacing w:after="0" w:line="254" w:lineRule="auto"/>
        <w:tabs>
          <w:tab w:leader="none" w:pos="2699" w:val="left"/>
        </w:tabs>
        <w:numPr>
          <w:ilvl w:val="0"/>
          <w:numId w:val="23"/>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Vesting. </w:t>
      </w:r>
      <w:r>
        <w:rPr>
          <w:rFonts w:ascii="Arial" w:cs="Arial" w:eastAsia="Arial" w:hAnsi="Arial"/>
          <w:sz w:val="21"/>
          <w:szCs w:val="21"/>
          <w:color w:val="auto"/>
        </w:rPr>
        <w:t>Subject to Section 3(b)(vi), the Board may impose such restrictions on or conditions to</w:t>
      </w:r>
      <w:r>
        <w:rPr>
          <w:rFonts w:ascii="Arial" w:cs="Arial" w:eastAsia="Arial" w:hAnsi="Arial"/>
          <w:sz w:val="21"/>
          <w:szCs w:val="21"/>
          <w:b w:val="1"/>
          <w:bCs w:val="1"/>
          <w:color w:val="auto"/>
        </w:rPr>
        <w:t xml:space="preserve"> </w:t>
      </w:r>
      <w:r>
        <w:rPr>
          <w:rFonts w:ascii="Arial" w:cs="Arial" w:eastAsia="Arial" w:hAnsi="Arial"/>
          <w:sz w:val="21"/>
          <w:szCs w:val="21"/>
          <w:color w:val="auto"/>
        </w:rPr>
        <w:t>the vesting of a Restricted Stock Award or RSU Award as determined by the Board. Except as otherwise provided in the Award Agreement or other written agreement between a Participant and the Company or an Affiliate, vesting of Restricted Stock Awards and RSU Awards will cease upon termination of the Participant’s Continuous Service.</w:t>
      </w:r>
    </w:p>
    <w:p>
      <w:pPr>
        <w:spacing w:after="0" w:line="165" w:lineRule="exact"/>
        <w:rPr>
          <w:rFonts w:ascii="Arial" w:cs="Arial" w:eastAsia="Arial" w:hAnsi="Arial"/>
          <w:sz w:val="21"/>
          <w:szCs w:val="21"/>
          <w:b w:val="1"/>
          <w:bCs w:val="1"/>
          <w:color w:val="auto"/>
        </w:rPr>
      </w:pPr>
    </w:p>
    <w:p>
      <w:pPr>
        <w:jc w:val="both"/>
        <w:ind w:firstLine="1735"/>
        <w:spacing w:after="0" w:line="278" w:lineRule="auto"/>
        <w:tabs>
          <w:tab w:leader="none" w:pos="2687" w:val="left"/>
        </w:tabs>
        <w:numPr>
          <w:ilvl w:val="0"/>
          <w:numId w:val="2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Termination of Continuous Service. </w:t>
      </w:r>
      <w:r>
        <w:rPr>
          <w:rFonts w:ascii="Arial" w:cs="Arial" w:eastAsia="Arial" w:hAnsi="Arial"/>
          <w:sz w:val="19"/>
          <w:szCs w:val="19"/>
          <w:color w:val="auto"/>
        </w:rPr>
        <w:t>Except as otherwise provided in the Award Agreement or</w:t>
      </w:r>
      <w:r>
        <w:rPr>
          <w:rFonts w:ascii="Arial" w:cs="Arial" w:eastAsia="Arial" w:hAnsi="Arial"/>
          <w:sz w:val="19"/>
          <w:szCs w:val="19"/>
          <w:b w:val="1"/>
          <w:bCs w:val="1"/>
          <w:color w:val="auto"/>
        </w:rPr>
        <w:t xml:space="preserve"> </w:t>
      </w:r>
      <w:r>
        <w:rPr>
          <w:rFonts w:ascii="Arial" w:cs="Arial" w:eastAsia="Arial" w:hAnsi="Arial"/>
          <w:sz w:val="19"/>
          <w:szCs w:val="19"/>
          <w:color w:val="auto"/>
        </w:rPr>
        <w:t>other written agreement between a Participant and the Company or an Affiliate, if a Participant’s Continuous Service terminates for any reason, (i) the Company may receive through a forfeiture condition or a repurchase right any or all of the shares of Common Stock held by the Participant under his or her Restricted Stock Award that have not vested as of the date of such termination as set forth in the Restricted Stock Award Agreement and (ii) any portion of his or her RSU Award that has not vested will be forfeited upon such termination and the Participant will have no further right, title or interest in the RSU Award, the shares of Common Stock issuable pursuant to the RSU Award, or any consideration in respect of the RSU Award.</w:t>
      </w:r>
    </w:p>
    <w:p>
      <w:pPr>
        <w:spacing w:after="0" w:line="145" w:lineRule="exact"/>
        <w:rPr>
          <w:rFonts w:ascii="Arial" w:cs="Arial" w:eastAsia="Arial" w:hAnsi="Arial"/>
          <w:sz w:val="19"/>
          <w:szCs w:val="19"/>
          <w:b w:val="1"/>
          <w:bCs w:val="1"/>
          <w:color w:val="auto"/>
        </w:rPr>
      </w:pPr>
    </w:p>
    <w:p>
      <w:pPr>
        <w:jc w:val="both"/>
        <w:ind w:firstLine="1735"/>
        <w:spacing w:after="0" w:line="243" w:lineRule="auto"/>
        <w:tabs>
          <w:tab w:leader="none" w:pos="2627" w:val="left"/>
        </w:tabs>
        <w:numPr>
          <w:ilvl w:val="0"/>
          <w:numId w:val="2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Dividends and Dividend Equivalents. </w:t>
      </w:r>
      <w:r>
        <w:rPr>
          <w:rFonts w:ascii="Arial" w:cs="Arial" w:eastAsia="Arial" w:hAnsi="Arial"/>
          <w:sz w:val="22"/>
          <w:szCs w:val="22"/>
          <w:color w:val="auto"/>
        </w:rPr>
        <w:t>Subject to Section 3(b)(v), dividends or dividend</w:t>
      </w:r>
      <w:r>
        <w:rPr>
          <w:rFonts w:ascii="Arial" w:cs="Arial" w:eastAsia="Arial" w:hAnsi="Arial"/>
          <w:sz w:val="22"/>
          <w:szCs w:val="22"/>
          <w:b w:val="1"/>
          <w:bCs w:val="1"/>
          <w:color w:val="auto"/>
        </w:rPr>
        <w:t xml:space="preserve"> </w:t>
      </w:r>
      <w:r>
        <w:rPr>
          <w:rFonts w:ascii="Arial" w:cs="Arial" w:eastAsia="Arial" w:hAnsi="Arial"/>
          <w:sz w:val="22"/>
          <w:szCs w:val="22"/>
          <w:color w:val="auto"/>
        </w:rPr>
        <w:t>equivalents may be paid or credited, as applicable, with respect to any shares of Common Stock subject to a Restricted Stock Award or RSU Award, as determined by the Board and specified in the Award Agreement.</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44" w:name="page45"/>
    <w:bookmarkEnd w:id="44"/>
    <w:p>
      <w:pPr>
        <w:jc w:val="both"/>
        <w:ind w:firstLine="1735"/>
        <w:spacing w:after="0" w:line="239" w:lineRule="auto"/>
        <w:tabs>
          <w:tab w:leader="none" w:pos="2687" w:val="left"/>
        </w:tabs>
        <w:numPr>
          <w:ilvl w:val="2"/>
          <w:numId w:val="24"/>
        </w:numPr>
        <w:rPr>
          <w:rFonts w:ascii="Arial" w:cs="Arial" w:eastAsia="Arial" w:hAnsi="Arial"/>
          <w:sz w:val="22"/>
          <w:szCs w:val="22"/>
          <w:b w:val="1"/>
          <w:bCs w:val="1"/>
          <w:color w:val="auto"/>
        </w:rPr>
      </w:pPr>
      <w:r>
        <w:rPr>
          <w:rFonts w:ascii="Arial" w:cs="Arial" w:eastAsia="Arial" w:hAnsi="Arial"/>
          <w:sz w:val="22"/>
          <w:szCs w:val="22"/>
          <w:b w:val="1"/>
          <w:bCs w:val="1"/>
          <w:color w:val="auto"/>
        </w:rPr>
        <w:t>Settlement of RSU Awards</w:t>
      </w:r>
      <w:r>
        <w:rPr>
          <w:rFonts w:ascii="Arial" w:cs="Arial" w:eastAsia="Arial" w:hAnsi="Arial"/>
          <w:sz w:val="22"/>
          <w:szCs w:val="22"/>
          <w:color w:val="auto"/>
        </w:rPr>
        <w:t>. A RSU Award may be settled by the issuance of shares of Common</w:t>
      </w:r>
      <w:r>
        <w:rPr>
          <w:rFonts w:ascii="Arial" w:cs="Arial" w:eastAsia="Arial" w:hAnsi="Arial"/>
          <w:sz w:val="22"/>
          <w:szCs w:val="22"/>
          <w:b w:val="1"/>
          <w:bCs w:val="1"/>
          <w:color w:val="auto"/>
        </w:rPr>
        <w:t xml:space="preserve"> </w:t>
      </w:r>
      <w:r>
        <w:rPr>
          <w:rFonts w:ascii="Arial" w:cs="Arial" w:eastAsia="Arial" w:hAnsi="Arial"/>
          <w:sz w:val="22"/>
          <w:szCs w:val="22"/>
          <w:color w:val="auto"/>
        </w:rPr>
        <w:t>Stock or cash (or any combination thereof) or in any other form of payment, as determined by the Board and specified in the RSU Award Agreement. At the time of grant, the Board may determine to impose such restrictions or conditions that delay such delivery to a date following the vesting of the RSU Award.</w:t>
      </w:r>
    </w:p>
    <w:p>
      <w:pPr>
        <w:spacing w:after="0" w:line="180" w:lineRule="exact"/>
        <w:rPr>
          <w:rFonts w:ascii="Arial" w:cs="Arial" w:eastAsia="Arial" w:hAnsi="Arial"/>
          <w:sz w:val="22"/>
          <w:szCs w:val="22"/>
          <w:b w:val="1"/>
          <w:bCs w:val="1"/>
          <w:color w:val="auto"/>
        </w:rPr>
      </w:pPr>
    </w:p>
    <w:p>
      <w:pPr>
        <w:jc w:val="both"/>
        <w:ind w:firstLine="872"/>
        <w:spacing w:after="0" w:line="239" w:lineRule="auto"/>
        <w:tabs>
          <w:tab w:leader="none" w:pos="1775" w:val="left"/>
        </w:tabs>
        <w:numPr>
          <w:ilvl w:val="1"/>
          <w:numId w:val="25"/>
        </w:numPr>
        <w:rPr>
          <w:rFonts w:ascii="Arial" w:cs="Arial" w:eastAsia="Arial" w:hAnsi="Arial"/>
          <w:sz w:val="22"/>
          <w:szCs w:val="22"/>
          <w:b w:val="1"/>
          <w:bCs w:val="1"/>
          <w:color w:val="auto"/>
        </w:rPr>
      </w:pPr>
      <w:r>
        <w:rPr>
          <w:rFonts w:ascii="Arial" w:cs="Arial" w:eastAsia="Arial" w:hAnsi="Arial"/>
          <w:sz w:val="22"/>
          <w:szCs w:val="22"/>
          <w:b w:val="1"/>
          <w:bCs w:val="1"/>
          <w:color w:val="auto"/>
        </w:rPr>
        <w:t>Performance Awards</w:t>
      </w:r>
      <w:r>
        <w:rPr>
          <w:rFonts w:ascii="Arial" w:cs="Arial" w:eastAsia="Arial" w:hAnsi="Arial"/>
          <w:sz w:val="22"/>
          <w:szCs w:val="22"/>
          <w:color w:val="auto"/>
        </w:rPr>
        <w:t>. With respect to any Performance Award and subject to Section 3(b)(vi), the length of</w:t>
      </w:r>
      <w:r>
        <w:rPr>
          <w:rFonts w:ascii="Arial" w:cs="Arial" w:eastAsia="Arial" w:hAnsi="Arial"/>
          <w:sz w:val="22"/>
          <w:szCs w:val="22"/>
          <w:b w:val="1"/>
          <w:bCs w:val="1"/>
          <w:color w:val="auto"/>
        </w:rPr>
        <w:t xml:space="preserve"> </w:t>
      </w:r>
      <w:r>
        <w:rPr>
          <w:rFonts w:ascii="Arial" w:cs="Arial" w:eastAsia="Arial" w:hAnsi="Arial"/>
          <w:sz w:val="22"/>
          <w:szCs w:val="22"/>
          <w:color w:val="auto"/>
        </w:rPr>
        <w:t>any Performance Period, the Performance Goals to be achieved during the Performance Period, the other terms and conditions of such Award, and the measure of whether and to what degree such Performance Goals have been attained will be determined by the Board.</w:t>
      </w:r>
    </w:p>
    <w:p>
      <w:pPr>
        <w:spacing w:after="0" w:line="180" w:lineRule="exact"/>
        <w:rPr>
          <w:rFonts w:ascii="Arial" w:cs="Arial" w:eastAsia="Arial" w:hAnsi="Arial"/>
          <w:sz w:val="22"/>
          <w:szCs w:val="22"/>
          <w:b w:val="1"/>
          <w:bCs w:val="1"/>
          <w:color w:val="auto"/>
        </w:rPr>
      </w:pPr>
    </w:p>
    <w:p>
      <w:pPr>
        <w:jc w:val="both"/>
        <w:ind w:firstLine="872"/>
        <w:spacing w:after="0" w:line="278" w:lineRule="auto"/>
        <w:tabs>
          <w:tab w:leader="none" w:pos="1751" w:val="left"/>
        </w:tabs>
        <w:numPr>
          <w:ilvl w:val="1"/>
          <w:numId w:val="25"/>
        </w:numPr>
        <w:rPr>
          <w:rFonts w:ascii="Arial" w:cs="Arial" w:eastAsia="Arial" w:hAnsi="Arial"/>
          <w:sz w:val="19"/>
          <w:szCs w:val="19"/>
          <w:b w:val="1"/>
          <w:bCs w:val="1"/>
          <w:color w:val="auto"/>
        </w:rPr>
      </w:pPr>
      <w:r>
        <w:rPr>
          <w:rFonts w:ascii="Arial" w:cs="Arial" w:eastAsia="Arial" w:hAnsi="Arial"/>
          <w:sz w:val="19"/>
          <w:szCs w:val="19"/>
          <w:b w:val="1"/>
          <w:bCs w:val="1"/>
          <w:color w:val="auto"/>
        </w:rPr>
        <w:t>Other Awards</w:t>
      </w:r>
      <w:r>
        <w:rPr>
          <w:rFonts w:ascii="Arial" w:cs="Arial" w:eastAsia="Arial" w:hAnsi="Arial"/>
          <w:sz w:val="19"/>
          <w:szCs w:val="19"/>
          <w:color w:val="auto"/>
        </w:rPr>
        <w:t>. Other forms of Awards valued in whole or in part by reference to, or otherwise based on,</w:t>
      </w:r>
      <w:r>
        <w:rPr>
          <w:rFonts w:ascii="Arial" w:cs="Arial" w:eastAsia="Arial" w:hAnsi="Arial"/>
          <w:sz w:val="19"/>
          <w:szCs w:val="19"/>
          <w:b w:val="1"/>
          <w:bCs w:val="1"/>
          <w:color w:val="auto"/>
        </w:rPr>
        <w:t xml:space="preserve"> </w:t>
      </w:r>
      <w:r>
        <w:rPr>
          <w:rFonts w:ascii="Arial" w:cs="Arial" w:eastAsia="Arial" w:hAnsi="Arial"/>
          <w:sz w:val="19"/>
          <w:szCs w:val="19"/>
          <w:color w:val="auto"/>
        </w:rPr>
        <w:t>Common Stock, including the appreciation in value thereof (e.g., options or stock rights with an exercise price or strike price less than 100% of the Fair Market Value at the time of grant) may be granted either alone or in addition to Awards provided for under Section 4 and the preceding provisions of this Section 5. Subject to the provisions of the Plan (including, but not limited to, Section 3(b)(vi)), the Board will have sole and complete discretion to determine the persons to whom and the time or times at which such Other Awards will be granted, the number of shares of Common Stock (or the cash equivalent thereof) to be granted pursuant to such Other Awards and all other terms and conditions of such Other Awards.</w:t>
      </w:r>
    </w:p>
    <w:p>
      <w:pPr>
        <w:spacing w:after="0" w:line="145" w:lineRule="exact"/>
        <w:rPr>
          <w:rFonts w:ascii="Arial" w:cs="Arial" w:eastAsia="Arial" w:hAnsi="Arial"/>
          <w:sz w:val="19"/>
          <w:szCs w:val="19"/>
          <w:b w:val="1"/>
          <w:bCs w:val="1"/>
          <w:color w:val="auto"/>
        </w:rPr>
      </w:pPr>
    </w:p>
    <w:p>
      <w:pPr>
        <w:ind w:left="820" w:hanging="812"/>
        <w:spacing w:after="0"/>
        <w:tabs>
          <w:tab w:leader="none" w:pos="820" w:val="left"/>
        </w:tabs>
        <w:numPr>
          <w:ilvl w:val="0"/>
          <w:numId w:val="26"/>
        </w:numPr>
        <w:rPr>
          <w:rFonts w:ascii="Arial" w:cs="Arial" w:eastAsia="Arial" w:hAnsi="Arial"/>
          <w:sz w:val="22"/>
          <w:szCs w:val="22"/>
          <w:b w:val="1"/>
          <w:bCs w:val="1"/>
          <w:color w:val="auto"/>
        </w:rPr>
      </w:pPr>
      <w:r>
        <w:rPr>
          <w:rFonts w:ascii="Arial" w:cs="Arial" w:eastAsia="Arial" w:hAnsi="Arial"/>
          <w:sz w:val="22"/>
          <w:szCs w:val="22"/>
          <w:b w:val="1"/>
          <w:bCs w:val="1"/>
          <w:color w:val="auto"/>
        </w:rPr>
        <w:t>A</w:t>
      </w:r>
      <w:r>
        <w:rPr>
          <w:rFonts w:ascii="Arial" w:cs="Arial" w:eastAsia="Arial" w:hAnsi="Arial"/>
          <w:sz w:val="14"/>
          <w:szCs w:val="14"/>
          <w:b w:val="1"/>
          <w:bCs w:val="1"/>
          <w:color w:val="auto"/>
        </w:rPr>
        <w:t>DJUSTMENTS UPON</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HANGES IN</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OMMON</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22"/>
          <w:szCs w:val="22"/>
          <w:b w:val="1"/>
          <w:bCs w:val="1"/>
          <w:color w:val="auto"/>
        </w:rPr>
        <w:t>; O</w:t>
      </w:r>
      <w:r>
        <w:rPr>
          <w:rFonts w:ascii="Arial" w:cs="Arial" w:eastAsia="Arial" w:hAnsi="Arial"/>
          <w:sz w:val="14"/>
          <w:szCs w:val="14"/>
          <w:b w:val="1"/>
          <w:bCs w:val="1"/>
          <w:color w:val="auto"/>
        </w:rPr>
        <w:t>THER</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ORPORATE</w:t>
      </w:r>
      <w:r>
        <w:rPr>
          <w:rFonts w:ascii="Arial" w:cs="Arial" w:eastAsia="Arial" w:hAnsi="Arial"/>
          <w:sz w:val="22"/>
          <w:szCs w:val="22"/>
          <w:b w:val="1"/>
          <w:bCs w:val="1"/>
          <w:color w:val="auto"/>
        </w:rPr>
        <w:t xml:space="preserve"> E</w:t>
      </w:r>
      <w:r>
        <w:rPr>
          <w:rFonts w:ascii="Arial" w:cs="Arial" w:eastAsia="Arial" w:hAnsi="Arial"/>
          <w:sz w:val="14"/>
          <w:szCs w:val="14"/>
          <w:b w:val="1"/>
          <w:bCs w:val="1"/>
          <w:color w:val="auto"/>
        </w:rPr>
        <w:t>VENTS</w:t>
      </w:r>
      <w:r>
        <w:rPr>
          <w:rFonts w:ascii="Arial" w:cs="Arial" w:eastAsia="Arial" w:hAnsi="Arial"/>
          <w:sz w:val="22"/>
          <w:szCs w:val="22"/>
          <w:b w:val="1"/>
          <w:bCs w:val="1"/>
          <w:color w:val="auto"/>
        </w:rPr>
        <w:t>.</w:t>
      </w:r>
    </w:p>
    <w:p>
      <w:pPr>
        <w:spacing w:after="0" w:line="206" w:lineRule="exact"/>
        <w:rPr>
          <w:rFonts w:ascii="Arial" w:cs="Arial" w:eastAsia="Arial" w:hAnsi="Arial"/>
          <w:sz w:val="22"/>
          <w:szCs w:val="22"/>
          <w:b w:val="1"/>
          <w:bCs w:val="1"/>
          <w:color w:val="auto"/>
        </w:rPr>
      </w:pPr>
    </w:p>
    <w:p>
      <w:pPr>
        <w:jc w:val="both"/>
        <w:ind w:firstLine="872"/>
        <w:spacing w:after="0" w:line="275" w:lineRule="auto"/>
        <w:tabs>
          <w:tab w:leader="none" w:pos="1763" w:val="left"/>
        </w:tabs>
        <w:numPr>
          <w:ilvl w:val="1"/>
          <w:numId w:val="26"/>
        </w:numPr>
        <w:rPr>
          <w:rFonts w:ascii="Arial" w:cs="Arial" w:eastAsia="Arial" w:hAnsi="Arial"/>
          <w:sz w:val="19"/>
          <w:szCs w:val="19"/>
          <w:b w:val="1"/>
          <w:bCs w:val="1"/>
          <w:color w:val="auto"/>
        </w:rPr>
      </w:pPr>
      <w:r>
        <w:rPr>
          <w:rFonts w:ascii="Arial" w:cs="Arial" w:eastAsia="Arial" w:hAnsi="Arial"/>
          <w:sz w:val="19"/>
          <w:szCs w:val="19"/>
          <w:b w:val="1"/>
          <w:bCs w:val="1"/>
          <w:color w:val="auto"/>
        </w:rPr>
        <w:t>Capitalization Adjustments</w:t>
      </w:r>
      <w:r>
        <w:rPr>
          <w:rFonts w:ascii="Arial" w:cs="Arial" w:eastAsia="Arial" w:hAnsi="Arial"/>
          <w:sz w:val="19"/>
          <w:szCs w:val="19"/>
          <w:color w:val="auto"/>
        </w:rPr>
        <w:t>. In the event of a Capitalization Adjustment, the Board shall appropriately and</w:t>
      </w:r>
      <w:r>
        <w:rPr>
          <w:rFonts w:ascii="Arial" w:cs="Arial" w:eastAsia="Arial" w:hAnsi="Arial"/>
          <w:sz w:val="19"/>
          <w:szCs w:val="19"/>
          <w:b w:val="1"/>
          <w:bCs w:val="1"/>
          <w:color w:val="auto"/>
        </w:rPr>
        <w:t xml:space="preserve"> </w:t>
      </w:r>
      <w:r>
        <w:rPr>
          <w:rFonts w:ascii="Arial" w:cs="Arial" w:eastAsia="Arial" w:hAnsi="Arial"/>
          <w:sz w:val="19"/>
          <w:szCs w:val="19"/>
          <w:color w:val="auto"/>
        </w:rPr>
        <w:t>proportionately adjust: (i) the class(es) and maximum number of shares of Common Stock subject to the Plan pursuant to Section 2(a), (ii) the class(es) and maximum number of shares that may be issued pursuant to the exercise of Incentive Stock Options pursuant to Section 2(a), and (iii) the class(es) and number of securities and exercise price, strike price or purchase price of Common Stock subject to outstanding Awards. The Board shall make such adjustments, and its determination shall be final, binding and conclusive. Notwithstanding the foregoing, no fractional shares or rights for fractional shares of Common Stock shall be created in order to implement any Capitalization Adjustment. The Board shall determine an appropriate equivalent benefit, if any, for any fractional shares or rights to fractional shares that might be created by the adjustments referred to in the preceding provisions of this Section.</w:t>
      </w:r>
    </w:p>
    <w:p>
      <w:pPr>
        <w:spacing w:after="0" w:line="149" w:lineRule="exact"/>
        <w:rPr>
          <w:rFonts w:ascii="Arial" w:cs="Arial" w:eastAsia="Arial" w:hAnsi="Arial"/>
          <w:sz w:val="19"/>
          <w:szCs w:val="19"/>
          <w:b w:val="1"/>
          <w:bCs w:val="1"/>
          <w:color w:val="auto"/>
        </w:rPr>
      </w:pPr>
    </w:p>
    <w:p>
      <w:pPr>
        <w:jc w:val="both"/>
        <w:ind w:firstLine="872"/>
        <w:spacing w:after="0" w:line="276" w:lineRule="auto"/>
        <w:tabs>
          <w:tab w:leader="none" w:pos="1775" w:val="left"/>
        </w:tabs>
        <w:numPr>
          <w:ilvl w:val="1"/>
          <w:numId w:val="26"/>
        </w:numPr>
        <w:rPr>
          <w:rFonts w:ascii="Arial" w:cs="Arial" w:eastAsia="Arial" w:hAnsi="Arial"/>
          <w:sz w:val="19"/>
          <w:szCs w:val="19"/>
          <w:b w:val="1"/>
          <w:bCs w:val="1"/>
          <w:color w:val="auto"/>
        </w:rPr>
      </w:pPr>
      <w:r>
        <w:rPr>
          <w:rFonts w:ascii="Arial" w:cs="Arial" w:eastAsia="Arial" w:hAnsi="Arial"/>
          <w:sz w:val="19"/>
          <w:szCs w:val="19"/>
          <w:b w:val="1"/>
          <w:bCs w:val="1"/>
          <w:color w:val="auto"/>
        </w:rPr>
        <w:t>Dissolution or Liquidation</w:t>
      </w:r>
      <w:r>
        <w:rPr>
          <w:rFonts w:ascii="Arial" w:cs="Arial" w:eastAsia="Arial" w:hAnsi="Arial"/>
          <w:sz w:val="19"/>
          <w:szCs w:val="19"/>
          <w:color w:val="auto"/>
        </w:rPr>
        <w:t>. Except as otherwise provided in the Award Agreement, in the event of a</w:t>
      </w:r>
      <w:r>
        <w:rPr>
          <w:rFonts w:ascii="Arial" w:cs="Arial" w:eastAsia="Arial" w:hAnsi="Arial"/>
          <w:sz w:val="19"/>
          <w:szCs w:val="19"/>
          <w:b w:val="1"/>
          <w:bCs w:val="1"/>
          <w:color w:val="auto"/>
        </w:rPr>
        <w:t xml:space="preserve"> </w:t>
      </w:r>
      <w:r>
        <w:rPr>
          <w:rFonts w:ascii="Arial" w:cs="Arial" w:eastAsia="Arial" w:hAnsi="Arial"/>
          <w:sz w:val="19"/>
          <w:szCs w:val="19"/>
          <w:color w:val="auto"/>
        </w:rPr>
        <w:t>dissolution or liquidation of the Company, all outstanding Awards (other than Awards consisting of vested and outstanding shares of Common Stock not subject to a forfeiture condition or the Company’s right of repurchase) will terminate immediately prior to the completion of such dissolution or liquidation, and the shares of Common Stock subject to the Company’s repurchase rights or subject to a forfeiture condition may be repurchased or reacquired by the Company notwithstanding the fact that the holder of such Award is providing Continuous Service, provided, however, that the Board may determine to cause some or all Awards to become fully vested, exercisable and/or no longer subject to repurchase or forfeiture (to the extent such Awards have not previously expired or terminated) before the dissolution or liquidation is completed but contingent on its completion.</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45" w:name="page46"/>
    <w:bookmarkEnd w:id="45"/>
    <w:p>
      <w:pPr>
        <w:jc w:val="both"/>
        <w:ind w:firstLine="872"/>
        <w:spacing w:after="0" w:line="260" w:lineRule="auto"/>
        <w:tabs>
          <w:tab w:leader="none" w:pos="1751" w:val="left"/>
        </w:tabs>
        <w:numPr>
          <w:ilvl w:val="0"/>
          <w:numId w:val="27"/>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Change in Control. </w:t>
      </w:r>
      <w:r>
        <w:rPr>
          <w:rFonts w:ascii="Arial" w:cs="Arial" w:eastAsia="Arial" w:hAnsi="Arial"/>
          <w:sz w:val="21"/>
          <w:szCs w:val="21"/>
          <w:color w:val="auto"/>
        </w:rPr>
        <w:t>The following provisions will apply to Awards in the event of a Change in Control</w:t>
      </w:r>
      <w:r>
        <w:rPr>
          <w:rFonts w:ascii="Arial" w:cs="Arial" w:eastAsia="Arial" w:hAnsi="Arial"/>
          <w:sz w:val="21"/>
          <w:szCs w:val="21"/>
          <w:b w:val="1"/>
          <w:bCs w:val="1"/>
          <w:color w:val="auto"/>
        </w:rPr>
        <w:t xml:space="preserve"> </w:t>
      </w:r>
      <w:r>
        <w:rPr>
          <w:rFonts w:ascii="Arial" w:cs="Arial" w:eastAsia="Arial" w:hAnsi="Arial"/>
          <w:sz w:val="21"/>
          <w:szCs w:val="21"/>
          <w:color w:val="auto"/>
        </w:rPr>
        <w:t>unless otherwise provided in the instrument evidencing the Award or any other written agreement between the Company or any Affiliate and the Participant or unless otherwise expressly provided by the Board at the time of grant of an Award.</w:t>
      </w:r>
    </w:p>
    <w:p>
      <w:pPr>
        <w:spacing w:after="0" w:line="160" w:lineRule="exact"/>
        <w:rPr>
          <w:rFonts w:ascii="Arial" w:cs="Arial" w:eastAsia="Arial" w:hAnsi="Arial"/>
          <w:sz w:val="21"/>
          <w:szCs w:val="21"/>
          <w:b w:val="1"/>
          <w:bCs w:val="1"/>
          <w:color w:val="auto"/>
        </w:rPr>
      </w:pPr>
    </w:p>
    <w:p>
      <w:pPr>
        <w:jc w:val="both"/>
        <w:ind w:firstLine="1735"/>
        <w:spacing w:after="0" w:line="275" w:lineRule="auto"/>
        <w:tabs>
          <w:tab w:leader="none" w:pos="2579" w:val="left"/>
        </w:tabs>
        <w:numPr>
          <w:ilvl w:val="1"/>
          <w:numId w:val="27"/>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Awards May Be Assumed. </w:t>
      </w:r>
      <w:r>
        <w:rPr>
          <w:rFonts w:ascii="Arial" w:cs="Arial" w:eastAsia="Arial" w:hAnsi="Arial"/>
          <w:sz w:val="19"/>
          <w:szCs w:val="19"/>
          <w:color w:val="auto"/>
        </w:rPr>
        <w:t>In the event of a Change in Control, any surviving corporation or</w:t>
      </w:r>
      <w:r>
        <w:rPr>
          <w:rFonts w:ascii="Arial" w:cs="Arial" w:eastAsia="Arial" w:hAnsi="Arial"/>
          <w:sz w:val="19"/>
          <w:szCs w:val="19"/>
          <w:b w:val="1"/>
          <w:bCs w:val="1"/>
          <w:color w:val="auto"/>
        </w:rPr>
        <w:t xml:space="preserve"> </w:t>
      </w:r>
      <w:r>
        <w:rPr>
          <w:rFonts w:ascii="Arial" w:cs="Arial" w:eastAsia="Arial" w:hAnsi="Arial"/>
          <w:sz w:val="19"/>
          <w:szCs w:val="19"/>
          <w:color w:val="auto"/>
        </w:rPr>
        <w:t>acquiring corporation (or the surviving or acquiring corporation’s parent company) may assume or continue any or all Awards outstanding under the Plan or may substitute similar awards for Awards outstanding under the Plan (including but not limited to, awards to acquire the same consideration paid to the stockholders of the Company pursuant to the Change in Control), and any reacquisition or repurchase rights held by the Company in respect of Common Stock issued pursuant to Awards may be assigned by the Company to the successor of the Company (or the successor’s parent company, if any), in connection with such Change in Control. A surviving corporation or acquiring corporation (or its parent) may choose to assume or continue only a portion of an Award or substitute a similar award for only a portion of an Award, or may choose to assume or continue the Awards held by some, but not all Participants. The terms of any assumption, continuation or substitution will be set by the Board.</w:t>
      </w:r>
    </w:p>
    <w:p>
      <w:pPr>
        <w:spacing w:after="0" w:line="149" w:lineRule="exact"/>
        <w:rPr>
          <w:rFonts w:ascii="Arial" w:cs="Arial" w:eastAsia="Arial" w:hAnsi="Arial"/>
          <w:sz w:val="19"/>
          <w:szCs w:val="19"/>
          <w:b w:val="1"/>
          <w:bCs w:val="1"/>
          <w:color w:val="auto"/>
        </w:rPr>
      </w:pPr>
    </w:p>
    <w:p>
      <w:pPr>
        <w:jc w:val="both"/>
        <w:ind w:firstLine="1735"/>
        <w:spacing w:after="0" w:line="271" w:lineRule="auto"/>
        <w:tabs>
          <w:tab w:leader="none" w:pos="2639" w:val="left"/>
        </w:tabs>
        <w:numPr>
          <w:ilvl w:val="1"/>
          <w:numId w:val="27"/>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Awards Held by Current Participants. </w:t>
      </w:r>
      <w:r>
        <w:rPr>
          <w:rFonts w:ascii="Arial" w:cs="Arial" w:eastAsia="Arial" w:hAnsi="Arial"/>
          <w:sz w:val="19"/>
          <w:szCs w:val="19"/>
          <w:color w:val="auto"/>
        </w:rPr>
        <w:t>In the event of a Change in Control in which the</w:t>
      </w:r>
      <w:r>
        <w:rPr>
          <w:rFonts w:ascii="Arial" w:cs="Arial" w:eastAsia="Arial" w:hAnsi="Arial"/>
          <w:sz w:val="19"/>
          <w:szCs w:val="19"/>
          <w:b w:val="1"/>
          <w:bCs w:val="1"/>
          <w:color w:val="auto"/>
        </w:rPr>
        <w:t xml:space="preserve"> </w:t>
      </w:r>
      <w:r>
        <w:rPr>
          <w:rFonts w:ascii="Arial" w:cs="Arial" w:eastAsia="Arial" w:hAnsi="Arial"/>
          <w:sz w:val="19"/>
          <w:szCs w:val="19"/>
          <w:color w:val="auto"/>
        </w:rPr>
        <w:t>surviving corporation or acquiring corporation (or its parent company) does not assume or continue such outstanding Awards or substitute similar awards for such outstanding Awards, then with respect to Awards that have not been assumed, continued or substituted and that are held by Participants whose Continuous Service has not terminated prior to the effective time of the Change in Control (referred to as the “</w:t>
      </w:r>
      <w:r>
        <w:rPr>
          <w:rFonts w:ascii="Arial" w:cs="Arial" w:eastAsia="Arial" w:hAnsi="Arial"/>
          <w:sz w:val="19"/>
          <w:szCs w:val="19"/>
          <w:b w:val="1"/>
          <w:bCs w:val="1"/>
          <w:i w:val="1"/>
          <w:iCs w:val="1"/>
          <w:color w:val="auto"/>
        </w:rPr>
        <w:t>Current Participants</w:t>
      </w:r>
      <w:r>
        <w:rPr>
          <w:rFonts w:ascii="Arial" w:cs="Arial" w:eastAsia="Arial" w:hAnsi="Arial"/>
          <w:sz w:val="19"/>
          <w:szCs w:val="19"/>
          <w:color w:val="auto"/>
        </w:rPr>
        <w:t>”), the vesting of such Awards (and, with respect to Options and Stock Appreciation Rights, the time when such Awards may be exercised) will be accelerated in full to a date prior to the effective time of such Change in Control (contingent upon the effectiveness of the Change in Control) as the Board determines (or, if the Board does not determine such a date, to the date that is five (5) days prior to the effective time of the Change in Control), and such Awards will terminate if not exercised (if applicable) at or prior to the effective time of the Change in Control, and any reacquisition or repurchase rights held by the Company with respect to such Awards will lapse (contingent upon the effectiveness of the Change in Control). With respect to the vesting of Performance Awards that will accelerate upon the occurrence of a Change in Control pursuant to this subsection (ii) and that have multiple vesting levels depending on the level of performance, unless otherwise provided in the Award Agreement, the vesting of such Performance Awards will accelerate at 100% of the target level upon the occurrence of the Change in Control. With respect to the vesting of Awards that will accelerate upon the occurrence of a Change in Control pursuant to this subsection (ii) and are settled in the form of a cash payment, such cash payment will be made no later than 30 days following the occurrence of the Change in Control.</w:t>
      </w:r>
    </w:p>
    <w:p>
      <w:pPr>
        <w:spacing w:after="0" w:line="156" w:lineRule="exact"/>
        <w:rPr>
          <w:rFonts w:ascii="Arial" w:cs="Arial" w:eastAsia="Arial" w:hAnsi="Arial"/>
          <w:sz w:val="19"/>
          <w:szCs w:val="19"/>
          <w:b w:val="1"/>
          <w:bCs w:val="1"/>
          <w:color w:val="auto"/>
        </w:rPr>
      </w:pPr>
    </w:p>
    <w:p>
      <w:pPr>
        <w:jc w:val="both"/>
        <w:ind w:firstLine="1735"/>
        <w:spacing w:after="0" w:line="235" w:lineRule="auto"/>
        <w:tabs>
          <w:tab w:leader="none" w:pos="2699" w:val="left"/>
        </w:tabs>
        <w:numPr>
          <w:ilvl w:val="1"/>
          <w:numId w:val="27"/>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Awards Held by Persons other than Current Participants. </w:t>
      </w:r>
      <w:r>
        <w:rPr>
          <w:rFonts w:ascii="Arial" w:cs="Arial" w:eastAsia="Arial" w:hAnsi="Arial"/>
          <w:sz w:val="22"/>
          <w:szCs w:val="22"/>
          <w:color w:val="auto"/>
        </w:rPr>
        <w:t>In the event of a Change in Control</w:t>
      </w:r>
      <w:r>
        <w:rPr>
          <w:rFonts w:ascii="Arial" w:cs="Arial" w:eastAsia="Arial" w:hAnsi="Arial"/>
          <w:sz w:val="22"/>
          <w:szCs w:val="22"/>
          <w:b w:val="1"/>
          <w:bCs w:val="1"/>
          <w:color w:val="auto"/>
        </w:rPr>
        <w:t xml:space="preserve"> </w:t>
      </w:r>
      <w:r>
        <w:rPr>
          <w:rFonts w:ascii="Arial" w:cs="Arial" w:eastAsia="Arial" w:hAnsi="Arial"/>
          <w:sz w:val="22"/>
          <w:szCs w:val="22"/>
          <w:color w:val="auto"/>
        </w:rPr>
        <w:t>in which the surviving corporation or acquiring corporation (or its parent company) does not assume or continue such outstanding Awards or substitute similar awards for such outstanding Awards, then with respect to Awards that have not been assumed, continued or substituted and that are held by persons other than Current Participants, such Awards will terminate if not exercised (if applicable) prior to the occurrence of the Change in Control; provided, however, that any reacquisition or repurchase rights held by the Company with respect to such Awards will not terminate and may continue to be exercised notwithstanding the Change in Control.</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46" w:name="page47"/>
    <w:bookmarkEnd w:id="46"/>
    <w:p>
      <w:pPr>
        <w:jc w:val="both"/>
        <w:ind w:firstLine="1735"/>
        <w:spacing w:after="0" w:line="249" w:lineRule="auto"/>
        <w:tabs>
          <w:tab w:leader="none" w:pos="2687" w:val="left"/>
        </w:tabs>
        <w:numPr>
          <w:ilvl w:val="2"/>
          <w:numId w:val="28"/>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Payment for Awards in Lieu of Exercise. </w:t>
      </w:r>
      <w:r>
        <w:rPr>
          <w:rFonts w:ascii="Arial" w:cs="Arial" w:eastAsia="Arial" w:hAnsi="Arial"/>
          <w:sz w:val="21"/>
          <w:szCs w:val="21"/>
          <w:color w:val="auto"/>
        </w:rPr>
        <w:t>Notwithstanding the foregoing, in the event an Award</w:t>
      </w:r>
      <w:r>
        <w:rPr>
          <w:rFonts w:ascii="Arial" w:cs="Arial" w:eastAsia="Arial" w:hAnsi="Arial"/>
          <w:sz w:val="21"/>
          <w:szCs w:val="21"/>
          <w:b w:val="1"/>
          <w:bCs w:val="1"/>
          <w:color w:val="auto"/>
        </w:rPr>
        <w:t xml:space="preserve"> </w:t>
      </w:r>
      <w:r>
        <w:rPr>
          <w:rFonts w:ascii="Arial" w:cs="Arial" w:eastAsia="Arial" w:hAnsi="Arial"/>
          <w:sz w:val="21"/>
          <w:szCs w:val="21"/>
          <w:color w:val="auto"/>
        </w:rPr>
        <w:t>will terminate if not exercised prior to the effective time of a Change in Control, the Board may provide, in its sole discretion, that the holder of such Award may not exercise such Award but will receive a payment, in such form as may be determined by the Board, equal in value, at the effective time, to the excess, if any, of (1) the value of the property the Participant would have received upon the exercise of the Award (including, at the discretion of the Board, any unvested portion of such Award), over (2) any exercise price payable by such holder in connection with such exercise.</w:t>
      </w:r>
    </w:p>
    <w:p>
      <w:pPr>
        <w:spacing w:after="0" w:line="170" w:lineRule="exact"/>
        <w:rPr>
          <w:rFonts w:ascii="Arial" w:cs="Arial" w:eastAsia="Arial" w:hAnsi="Arial"/>
          <w:sz w:val="21"/>
          <w:szCs w:val="21"/>
          <w:b w:val="1"/>
          <w:bCs w:val="1"/>
          <w:color w:val="auto"/>
        </w:rPr>
      </w:pPr>
    </w:p>
    <w:p>
      <w:pPr>
        <w:jc w:val="both"/>
        <w:ind w:firstLine="872"/>
        <w:spacing w:after="0" w:line="289" w:lineRule="auto"/>
        <w:tabs>
          <w:tab w:leader="none" w:pos="1775" w:val="left"/>
        </w:tabs>
        <w:numPr>
          <w:ilvl w:val="1"/>
          <w:numId w:val="29"/>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Appointment of Stockholder Representative. </w:t>
      </w:r>
      <w:r>
        <w:rPr>
          <w:rFonts w:ascii="Arial" w:cs="Arial" w:eastAsia="Arial" w:hAnsi="Arial"/>
          <w:sz w:val="19"/>
          <w:szCs w:val="19"/>
          <w:color w:val="auto"/>
        </w:rPr>
        <w:t>As a condition to the receipt of an Award under this Plan, a</w:t>
      </w:r>
      <w:r>
        <w:rPr>
          <w:rFonts w:ascii="Arial" w:cs="Arial" w:eastAsia="Arial" w:hAnsi="Arial"/>
          <w:sz w:val="19"/>
          <w:szCs w:val="19"/>
          <w:b w:val="1"/>
          <w:bCs w:val="1"/>
          <w:color w:val="auto"/>
        </w:rPr>
        <w:t xml:space="preserve"> </w:t>
      </w:r>
      <w:r>
        <w:rPr>
          <w:rFonts w:ascii="Arial" w:cs="Arial" w:eastAsia="Arial" w:hAnsi="Arial"/>
          <w:sz w:val="19"/>
          <w:szCs w:val="19"/>
          <w:color w:val="auto"/>
        </w:rPr>
        <w:t>Participant will be deemed to have agreed that the Award will be subject to the terms of any agreement governing a Change in Control involving the Company, including, without limitation, a provision for the appointment of a stockholder representative that is authorized to act on the Participant’s behalf with respect to any escrow, indemnities and any contingent consideration.</w:t>
      </w:r>
    </w:p>
    <w:p>
      <w:pPr>
        <w:spacing w:after="0" w:line="135" w:lineRule="exact"/>
        <w:rPr>
          <w:rFonts w:ascii="Arial" w:cs="Arial" w:eastAsia="Arial" w:hAnsi="Arial"/>
          <w:sz w:val="19"/>
          <w:szCs w:val="19"/>
          <w:b w:val="1"/>
          <w:bCs w:val="1"/>
          <w:color w:val="auto"/>
        </w:rPr>
      </w:pPr>
    </w:p>
    <w:p>
      <w:pPr>
        <w:jc w:val="both"/>
        <w:ind w:firstLine="872"/>
        <w:spacing w:after="0" w:line="247" w:lineRule="auto"/>
        <w:tabs>
          <w:tab w:leader="none" w:pos="1751" w:val="left"/>
        </w:tabs>
        <w:numPr>
          <w:ilvl w:val="1"/>
          <w:numId w:val="29"/>
        </w:numPr>
        <w:rPr>
          <w:rFonts w:ascii="Arial" w:cs="Arial" w:eastAsia="Arial" w:hAnsi="Arial"/>
          <w:sz w:val="21"/>
          <w:szCs w:val="21"/>
          <w:b w:val="1"/>
          <w:bCs w:val="1"/>
          <w:color w:val="auto"/>
        </w:rPr>
      </w:pPr>
      <w:r>
        <w:rPr>
          <w:rFonts w:ascii="Arial" w:cs="Arial" w:eastAsia="Arial" w:hAnsi="Arial"/>
          <w:sz w:val="21"/>
          <w:szCs w:val="21"/>
          <w:b w:val="1"/>
          <w:bCs w:val="1"/>
          <w:color w:val="auto"/>
        </w:rPr>
        <w:t>No Restriction on Right to Undertake Transactions</w:t>
      </w:r>
      <w:r>
        <w:rPr>
          <w:rFonts w:ascii="Arial" w:cs="Arial" w:eastAsia="Arial" w:hAnsi="Arial"/>
          <w:sz w:val="21"/>
          <w:szCs w:val="21"/>
          <w:color w:val="auto"/>
        </w:rPr>
        <w:t>. The grant of any Award under the Plan and the</w:t>
      </w:r>
      <w:r>
        <w:rPr>
          <w:rFonts w:ascii="Arial" w:cs="Arial" w:eastAsia="Arial" w:hAnsi="Arial"/>
          <w:sz w:val="21"/>
          <w:szCs w:val="21"/>
          <w:b w:val="1"/>
          <w:bCs w:val="1"/>
          <w:color w:val="auto"/>
        </w:rPr>
        <w:t xml:space="preserve"> </w:t>
      </w:r>
      <w:r>
        <w:rPr>
          <w:rFonts w:ascii="Arial" w:cs="Arial" w:eastAsia="Arial" w:hAnsi="Arial"/>
          <w:sz w:val="21"/>
          <w:szCs w:val="21"/>
          <w:color w:val="auto"/>
        </w:rPr>
        <w:t>issuance of shares pursuant to any Award does not affect or restrict in any way the right or power of the Company or the stockholders of the Company to make or authorize any adjustment, recapitalization, reorganization or other change in the Company’s capital structure or its business, any merger or consolidation of the Company, any issue of stock or of options, rights or options to purchase stock or of bonds, debentures, preferred or prior preference stocks whose rights are superior to or affect the Common Stock or the rights thereof or which are convertible into or exchangeable for Common Stock, or the dissolution or liquidation of the Company, or any sale or transfer of all or any part of its assets or business, or any other corporate act or proceeding, whether of a similar character or otherwise.</w:t>
      </w:r>
    </w:p>
    <w:p>
      <w:pPr>
        <w:spacing w:after="0" w:line="171" w:lineRule="exact"/>
        <w:rPr>
          <w:rFonts w:ascii="Arial" w:cs="Arial" w:eastAsia="Arial" w:hAnsi="Arial"/>
          <w:sz w:val="21"/>
          <w:szCs w:val="21"/>
          <w:b w:val="1"/>
          <w:bCs w:val="1"/>
          <w:color w:val="auto"/>
        </w:rPr>
      </w:pPr>
    </w:p>
    <w:p>
      <w:pPr>
        <w:ind w:left="820" w:hanging="812"/>
        <w:spacing w:after="0"/>
        <w:tabs>
          <w:tab w:leader="none" w:pos="820" w:val="left"/>
        </w:tabs>
        <w:numPr>
          <w:ilvl w:val="0"/>
          <w:numId w:val="30"/>
        </w:numPr>
        <w:rPr>
          <w:rFonts w:ascii="Arial" w:cs="Arial" w:eastAsia="Arial" w:hAnsi="Arial"/>
          <w:sz w:val="22"/>
          <w:szCs w:val="22"/>
          <w:b w:val="1"/>
          <w:bCs w:val="1"/>
          <w:color w:val="auto"/>
        </w:rPr>
      </w:pPr>
      <w:r>
        <w:rPr>
          <w:rFonts w:ascii="Arial" w:cs="Arial" w:eastAsia="Arial" w:hAnsi="Arial"/>
          <w:sz w:val="22"/>
          <w:szCs w:val="22"/>
          <w:b w:val="1"/>
          <w:bCs w:val="1"/>
          <w:color w:val="auto"/>
        </w:rPr>
        <w:t>A</w:t>
      </w:r>
      <w:r>
        <w:rPr>
          <w:rFonts w:ascii="Arial" w:cs="Arial" w:eastAsia="Arial" w:hAnsi="Arial"/>
          <w:sz w:val="14"/>
          <w:szCs w:val="14"/>
          <w:b w:val="1"/>
          <w:bCs w:val="1"/>
          <w:color w:val="auto"/>
        </w:rPr>
        <w:t>DMINISTRATION</w:t>
      </w:r>
      <w:r>
        <w:rPr>
          <w:rFonts w:ascii="Arial" w:cs="Arial" w:eastAsia="Arial" w:hAnsi="Arial"/>
          <w:sz w:val="22"/>
          <w:szCs w:val="22"/>
          <w:b w:val="1"/>
          <w:bCs w:val="1"/>
          <w:color w:val="auto"/>
        </w:rPr>
        <w:t>.</w:t>
      </w:r>
    </w:p>
    <w:p>
      <w:pPr>
        <w:spacing w:after="0" w:line="206" w:lineRule="exact"/>
        <w:rPr>
          <w:rFonts w:ascii="Arial" w:cs="Arial" w:eastAsia="Arial" w:hAnsi="Arial"/>
          <w:sz w:val="22"/>
          <w:szCs w:val="22"/>
          <w:b w:val="1"/>
          <w:bCs w:val="1"/>
          <w:color w:val="auto"/>
        </w:rPr>
      </w:pPr>
    </w:p>
    <w:p>
      <w:pPr>
        <w:ind w:firstLine="872"/>
        <w:spacing w:after="0" w:line="256" w:lineRule="auto"/>
        <w:tabs>
          <w:tab w:leader="none" w:pos="1763" w:val="left"/>
        </w:tabs>
        <w:numPr>
          <w:ilvl w:val="1"/>
          <w:numId w:val="30"/>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Administration by Board. </w:t>
      </w:r>
      <w:r>
        <w:rPr>
          <w:rFonts w:ascii="Arial" w:cs="Arial" w:eastAsia="Arial" w:hAnsi="Arial"/>
          <w:sz w:val="22"/>
          <w:szCs w:val="22"/>
          <w:color w:val="auto"/>
        </w:rPr>
        <w:t>The Board will administer the Plan unless and until the Board delegates</w:t>
      </w:r>
      <w:r>
        <w:rPr>
          <w:rFonts w:ascii="Arial" w:cs="Arial" w:eastAsia="Arial" w:hAnsi="Arial"/>
          <w:sz w:val="22"/>
          <w:szCs w:val="22"/>
          <w:b w:val="1"/>
          <w:bCs w:val="1"/>
          <w:color w:val="auto"/>
        </w:rPr>
        <w:t xml:space="preserve"> </w:t>
      </w:r>
      <w:r>
        <w:rPr>
          <w:rFonts w:ascii="Arial" w:cs="Arial" w:eastAsia="Arial" w:hAnsi="Arial"/>
          <w:sz w:val="22"/>
          <w:szCs w:val="22"/>
          <w:color w:val="auto"/>
        </w:rPr>
        <w:t>administration of the Plan to a Committee or Committees, as provided in subsection (c) below.</w:t>
      </w:r>
    </w:p>
    <w:p>
      <w:pPr>
        <w:spacing w:after="0" w:line="162" w:lineRule="exact"/>
        <w:rPr>
          <w:rFonts w:ascii="Arial" w:cs="Arial" w:eastAsia="Arial" w:hAnsi="Arial"/>
          <w:sz w:val="22"/>
          <w:szCs w:val="22"/>
          <w:b w:val="1"/>
          <w:bCs w:val="1"/>
          <w:color w:val="auto"/>
        </w:rPr>
      </w:pPr>
    </w:p>
    <w:p>
      <w:pPr>
        <w:ind w:firstLine="872"/>
        <w:spacing w:after="0" w:line="256" w:lineRule="auto"/>
        <w:tabs>
          <w:tab w:leader="none" w:pos="1775" w:val="left"/>
        </w:tabs>
        <w:numPr>
          <w:ilvl w:val="1"/>
          <w:numId w:val="30"/>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Powers of Board. </w:t>
      </w:r>
      <w:r>
        <w:rPr>
          <w:rFonts w:ascii="Arial" w:cs="Arial" w:eastAsia="Arial" w:hAnsi="Arial"/>
          <w:sz w:val="22"/>
          <w:szCs w:val="22"/>
          <w:color w:val="auto"/>
        </w:rPr>
        <w:t>The Board will have the power, subject to, and within the limitations of, the express</w:t>
      </w:r>
      <w:r>
        <w:rPr>
          <w:rFonts w:ascii="Arial" w:cs="Arial" w:eastAsia="Arial" w:hAnsi="Arial"/>
          <w:sz w:val="22"/>
          <w:szCs w:val="22"/>
          <w:b w:val="1"/>
          <w:bCs w:val="1"/>
          <w:color w:val="auto"/>
        </w:rPr>
        <w:t xml:space="preserve"> </w:t>
      </w:r>
      <w:r>
        <w:rPr>
          <w:rFonts w:ascii="Arial" w:cs="Arial" w:eastAsia="Arial" w:hAnsi="Arial"/>
          <w:sz w:val="22"/>
          <w:szCs w:val="22"/>
          <w:color w:val="auto"/>
        </w:rPr>
        <w:t>provisions of the Plan:</w:t>
      </w:r>
    </w:p>
    <w:p>
      <w:pPr>
        <w:spacing w:after="0" w:line="168" w:lineRule="exact"/>
        <w:rPr>
          <w:rFonts w:ascii="Arial" w:cs="Arial" w:eastAsia="Arial" w:hAnsi="Arial"/>
          <w:sz w:val="22"/>
          <w:szCs w:val="22"/>
          <w:b w:val="1"/>
          <w:bCs w:val="1"/>
          <w:color w:val="auto"/>
        </w:rPr>
      </w:pPr>
    </w:p>
    <w:p>
      <w:pPr>
        <w:jc w:val="both"/>
        <w:ind w:firstLine="1735"/>
        <w:spacing w:after="0" w:line="235" w:lineRule="auto"/>
        <w:tabs>
          <w:tab w:leader="none" w:pos="2579" w:val="left"/>
        </w:tabs>
        <w:numPr>
          <w:ilvl w:val="2"/>
          <w:numId w:val="30"/>
        </w:numPr>
        <w:rPr>
          <w:rFonts w:ascii="Arial" w:cs="Arial" w:eastAsia="Arial" w:hAnsi="Arial"/>
          <w:sz w:val="22"/>
          <w:szCs w:val="22"/>
          <w:b w:val="1"/>
          <w:bCs w:val="1"/>
          <w:color w:val="auto"/>
        </w:rPr>
      </w:pPr>
      <w:r>
        <w:rPr>
          <w:rFonts w:ascii="Arial" w:cs="Arial" w:eastAsia="Arial" w:hAnsi="Arial"/>
          <w:sz w:val="22"/>
          <w:szCs w:val="22"/>
          <w:color w:val="auto"/>
        </w:rPr>
        <w:t>To determine from time to time (1) which of the persons eligible under the Plan will be granted Awards; (2) when and how each Award will be granted; (3) what type or combination of types of Award will be granted; (4) the provisions of each Award granted (which need not be identical), including the time or times when a person will be permitted to receive an issuance of Common Stock or other payment pursuant to an Award; (5) the number of shares of Common Stock or cash equivalent with respect to which an Award will be granted to each such person; and (6) the Fair Market Value applicable to an Award.</w:t>
      </w:r>
    </w:p>
    <w:p>
      <w:pPr>
        <w:spacing w:after="0" w:line="187" w:lineRule="exact"/>
        <w:rPr>
          <w:rFonts w:ascii="Arial" w:cs="Arial" w:eastAsia="Arial" w:hAnsi="Arial"/>
          <w:sz w:val="22"/>
          <w:szCs w:val="22"/>
          <w:b w:val="1"/>
          <w:bCs w:val="1"/>
          <w:color w:val="auto"/>
        </w:rPr>
      </w:pPr>
    </w:p>
    <w:p>
      <w:pPr>
        <w:jc w:val="both"/>
        <w:ind w:firstLine="1735"/>
        <w:spacing w:after="0" w:line="238" w:lineRule="auto"/>
        <w:tabs>
          <w:tab w:leader="none" w:pos="2639" w:val="left"/>
        </w:tabs>
        <w:numPr>
          <w:ilvl w:val="2"/>
          <w:numId w:val="30"/>
        </w:numPr>
        <w:rPr>
          <w:rFonts w:ascii="Arial" w:cs="Arial" w:eastAsia="Arial" w:hAnsi="Arial"/>
          <w:sz w:val="22"/>
          <w:szCs w:val="22"/>
          <w:b w:val="1"/>
          <w:bCs w:val="1"/>
          <w:color w:val="auto"/>
        </w:rPr>
      </w:pPr>
      <w:r>
        <w:rPr>
          <w:rFonts w:ascii="Arial" w:cs="Arial" w:eastAsia="Arial" w:hAnsi="Arial"/>
          <w:sz w:val="22"/>
          <w:szCs w:val="22"/>
          <w:color w:val="auto"/>
        </w:rPr>
        <w:t>To construe and interpret the Plan and Awards granted under it, and to establish, amend and revoke rules and regulations for its administration. The Board, in the exercise of this power, may correct any defect, omission or inconsistency in the Plan or in any Award Agreement, in a manner and to the extent it deems necessary or expedient to make the Plan or Award fully effective.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47" w:name="page48"/>
    <w:bookmarkEnd w:id="47"/>
    <w:p>
      <w:pPr>
        <w:ind w:left="2700" w:hanging="965"/>
        <w:spacing w:after="0"/>
        <w:tabs>
          <w:tab w:leader="none" w:pos="2700" w:val="left"/>
        </w:tabs>
        <w:numPr>
          <w:ilvl w:val="0"/>
          <w:numId w:val="31"/>
        </w:numPr>
        <w:rPr>
          <w:rFonts w:ascii="Arial" w:cs="Arial" w:eastAsia="Arial" w:hAnsi="Arial"/>
          <w:sz w:val="22"/>
          <w:szCs w:val="22"/>
          <w:b w:val="1"/>
          <w:bCs w:val="1"/>
          <w:color w:val="auto"/>
        </w:rPr>
      </w:pPr>
      <w:r>
        <w:rPr>
          <w:rFonts w:ascii="Arial" w:cs="Arial" w:eastAsia="Arial" w:hAnsi="Arial"/>
          <w:sz w:val="22"/>
          <w:szCs w:val="22"/>
          <w:color w:val="auto"/>
        </w:rPr>
        <w:t>To settle all controversies regarding the Plan and Awards granted under it.</w:t>
      </w:r>
    </w:p>
    <w:p>
      <w:pPr>
        <w:spacing w:after="0" w:line="206" w:lineRule="exact"/>
        <w:rPr>
          <w:rFonts w:ascii="Arial" w:cs="Arial" w:eastAsia="Arial" w:hAnsi="Arial"/>
          <w:sz w:val="22"/>
          <w:szCs w:val="22"/>
          <w:b w:val="1"/>
          <w:bCs w:val="1"/>
          <w:color w:val="auto"/>
        </w:rPr>
      </w:pPr>
    </w:p>
    <w:p>
      <w:pPr>
        <w:jc w:val="both"/>
        <w:ind w:firstLine="1735"/>
        <w:spacing w:after="0"/>
        <w:tabs>
          <w:tab w:leader="none" w:pos="2687" w:val="left"/>
        </w:tabs>
        <w:numPr>
          <w:ilvl w:val="0"/>
          <w:numId w:val="31"/>
        </w:numPr>
        <w:rPr>
          <w:rFonts w:ascii="Arial" w:cs="Arial" w:eastAsia="Arial" w:hAnsi="Arial"/>
          <w:sz w:val="22"/>
          <w:szCs w:val="22"/>
          <w:b w:val="1"/>
          <w:bCs w:val="1"/>
          <w:color w:val="auto"/>
        </w:rPr>
      </w:pPr>
      <w:r>
        <w:rPr>
          <w:rFonts w:ascii="Arial" w:cs="Arial" w:eastAsia="Arial" w:hAnsi="Arial"/>
          <w:sz w:val="22"/>
          <w:szCs w:val="22"/>
          <w:color w:val="auto"/>
        </w:rPr>
        <w:t>To accelerate the time at which an Award may first be exercised or the time during which an Award or any part thereof will vest, notwithstanding the provisions in the Award Agreement stating the time at which it may first be exercised or the time during which it will vest.</w:t>
      </w:r>
    </w:p>
    <w:p>
      <w:pPr>
        <w:spacing w:after="0" w:line="186" w:lineRule="exact"/>
        <w:rPr>
          <w:rFonts w:ascii="Arial" w:cs="Arial" w:eastAsia="Arial" w:hAnsi="Arial"/>
          <w:sz w:val="22"/>
          <w:szCs w:val="22"/>
          <w:b w:val="1"/>
          <w:bCs w:val="1"/>
          <w:color w:val="auto"/>
        </w:rPr>
      </w:pPr>
    </w:p>
    <w:p>
      <w:pPr>
        <w:jc w:val="both"/>
        <w:ind w:firstLine="1735"/>
        <w:spacing w:after="0" w:line="236" w:lineRule="auto"/>
        <w:tabs>
          <w:tab w:leader="none" w:pos="2627" w:val="left"/>
        </w:tabs>
        <w:numPr>
          <w:ilvl w:val="0"/>
          <w:numId w:val="31"/>
        </w:numPr>
        <w:rPr>
          <w:rFonts w:ascii="Arial" w:cs="Arial" w:eastAsia="Arial" w:hAnsi="Arial"/>
          <w:sz w:val="22"/>
          <w:szCs w:val="22"/>
          <w:b w:val="1"/>
          <w:bCs w:val="1"/>
          <w:color w:val="auto"/>
        </w:rPr>
      </w:pPr>
      <w:r>
        <w:rPr>
          <w:rFonts w:ascii="Arial" w:cs="Arial" w:eastAsia="Arial" w:hAnsi="Arial"/>
          <w:sz w:val="22"/>
          <w:szCs w:val="22"/>
          <w:color w:val="auto"/>
        </w:rPr>
        <w:t>To prohibit the exercise of any Option, SAR or other exercisable Award during a period of up to 30 days prior to the consummation of any pending stock dividend, stock split, combination or exchange of shares, merger, consolidation or other distribution (other than normal cash dividends) of Company assets to stockholders, or any other change affecting the shares of Common Stock or the share price of the Common Stock including any Change in Control, for reasons of administrative convenience.</w:t>
      </w:r>
    </w:p>
    <w:p>
      <w:pPr>
        <w:spacing w:after="0" w:line="187" w:lineRule="exact"/>
        <w:rPr>
          <w:rFonts w:ascii="Arial" w:cs="Arial" w:eastAsia="Arial" w:hAnsi="Arial"/>
          <w:sz w:val="22"/>
          <w:szCs w:val="22"/>
          <w:b w:val="1"/>
          <w:bCs w:val="1"/>
          <w:color w:val="auto"/>
        </w:rPr>
      </w:pPr>
    </w:p>
    <w:p>
      <w:pPr>
        <w:jc w:val="both"/>
        <w:ind w:firstLine="1735"/>
        <w:spacing w:after="0"/>
        <w:tabs>
          <w:tab w:leader="none" w:pos="2687" w:val="left"/>
        </w:tabs>
        <w:numPr>
          <w:ilvl w:val="0"/>
          <w:numId w:val="31"/>
        </w:numPr>
        <w:rPr>
          <w:rFonts w:ascii="Arial" w:cs="Arial" w:eastAsia="Arial" w:hAnsi="Arial"/>
          <w:sz w:val="22"/>
          <w:szCs w:val="22"/>
          <w:b w:val="1"/>
          <w:bCs w:val="1"/>
          <w:color w:val="auto"/>
        </w:rPr>
      </w:pPr>
      <w:r>
        <w:rPr>
          <w:rFonts w:ascii="Arial" w:cs="Arial" w:eastAsia="Arial" w:hAnsi="Arial"/>
          <w:sz w:val="22"/>
          <w:szCs w:val="22"/>
          <w:color w:val="auto"/>
        </w:rPr>
        <w:t>To suspend or terminate the Plan at any time. Suspension or termination of the Plan will not Materially Impair rights and obligations under any Award granted while the Plan is in effect except with the written consent of the affected Participant.</w:t>
      </w:r>
    </w:p>
    <w:p>
      <w:pPr>
        <w:spacing w:after="0" w:line="186" w:lineRule="exact"/>
        <w:rPr>
          <w:rFonts w:ascii="Arial" w:cs="Arial" w:eastAsia="Arial" w:hAnsi="Arial"/>
          <w:sz w:val="22"/>
          <w:szCs w:val="22"/>
          <w:b w:val="1"/>
          <w:bCs w:val="1"/>
          <w:color w:val="auto"/>
        </w:rPr>
      </w:pPr>
    </w:p>
    <w:p>
      <w:pPr>
        <w:jc w:val="both"/>
        <w:ind w:firstLine="1735"/>
        <w:spacing w:after="0" w:line="287" w:lineRule="auto"/>
        <w:tabs>
          <w:tab w:leader="none" w:pos="2747" w:val="left"/>
        </w:tabs>
        <w:numPr>
          <w:ilvl w:val="0"/>
          <w:numId w:val="31"/>
        </w:numPr>
        <w:rPr>
          <w:rFonts w:ascii="Arial" w:cs="Arial" w:eastAsia="Arial" w:hAnsi="Arial"/>
          <w:sz w:val="19"/>
          <w:szCs w:val="19"/>
          <w:b w:val="1"/>
          <w:bCs w:val="1"/>
          <w:color w:val="auto"/>
        </w:rPr>
      </w:pPr>
      <w:r>
        <w:rPr>
          <w:rFonts w:ascii="Arial" w:cs="Arial" w:eastAsia="Arial" w:hAnsi="Arial"/>
          <w:sz w:val="19"/>
          <w:szCs w:val="19"/>
          <w:color w:val="auto"/>
        </w:rPr>
        <w:t>To amend the Plan in any respect the Board deems necessary or advisable; provided, however</w:t>
      </w:r>
      <w:r>
        <w:rPr>
          <w:rFonts w:ascii="Arial" w:cs="Arial" w:eastAsia="Arial" w:hAnsi="Arial"/>
          <w:sz w:val="19"/>
          <w:szCs w:val="19"/>
          <w:i w:val="1"/>
          <w:iCs w:val="1"/>
          <w:color w:val="auto"/>
        </w:rPr>
        <w:t>,</w:t>
      </w:r>
      <w:r>
        <w:rPr>
          <w:rFonts w:ascii="Arial" w:cs="Arial" w:eastAsia="Arial" w:hAnsi="Arial"/>
          <w:sz w:val="19"/>
          <w:szCs w:val="19"/>
          <w:color w:val="auto"/>
        </w:rPr>
        <w:t xml:space="preserve"> that stockholder approval will be required for any amendment to the extent required by Applicable Law. Except as provided above, rights under any Award granted before amendment of the Plan will not be Materially Impaired by any amendment of the Plan unless (1) the Company requests the consent of the affected Participant, and (2) such Participant consents in writing.</w:t>
      </w:r>
    </w:p>
    <w:p>
      <w:pPr>
        <w:spacing w:after="0" w:line="142" w:lineRule="exact"/>
        <w:rPr>
          <w:rFonts w:ascii="Arial" w:cs="Arial" w:eastAsia="Arial" w:hAnsi="Arial"/>
          <w:sz w:val="19"/>
          <w:szCs w:val="19"/>
          <w:b w:val="1"/>
          <w:bCs w:val="1"/>
          <w:color w:val="auto"/>
        </w:rPr>
      </w:pPr>
    </w:p>
    <w:p>
      <w:pPr>
        <w:ind w:left="2820" w:hanging="1085"/>
        <w:spacing w:after="0"/>
        <w:tabs>
          <w:tab w:leader="none" w:pos="2820" w:val="left"/>
        </w:tabs>
        <w:numPr>
          <w:ilvl w:val="0"/>
          <w:numId w:val="31"/>
        </w:numPr>
        <w:rPr>
          <w:rFonts w:ascii="Arial" w:cs="Arial" w:eastAsia="Arial" w:hAnsi="Arial"/>
          <w:sz w:val="22"/>
          <w:szCs w:val="22"/>
          <w:b w:val="1"/>
          <w:bCs w:val="1"/>
          <w:color w:val="auto"/>
        </w:rPr>
      </w:pPr>
      <w:r>
        <w:rPr>
          <w:rFonts w:ascii="Arial" w:cs="Arial" w:eastAsia="Arial" w:hAnsi="Arial"/>
          <w:sz w:val="22"/>
          <w:szCs w:val="22"/>
          <w:color w:val="auto"/>
        </w:rPr>
        <w:t>To submit any amendment to the Plan for stockholder approval.</w:t>
      </w:r>
    </w:p>
    <w:p>
      <w:pPr>
        <w:spacing w:after="0" w:line="206" w:lineRule="exact"/>
        <w:rPr>
          <w:rFonts w:ascii="Arial" w:cs="Arial" w:eastAsia="Arial" w:hAnsi="Arial"/>
          <w:sz w:val="22"/>
          <w:szCs w:val="22"/>
          <w:b w:val="1"/>
          <w:bCs w:val="1"/>
          <w:color w:val="auto"/>
        </w:rPr>
      </w:pPr>
    </w:p>
    <w:p>
      <w:pPr>
        <w:jc w:val="both"/>
        <w:ind w:firstLine="1735"/>
        <w:spacing w:after="0" w:line="282" w:lineRule="auto"/>
        <w:tabs>
          <w:tab w:leader="none" w:pos="2687" w:val="left"/>
        </w:tabs>
        <w:numPr>
          <w:ilvl w:val="0"/>
          <w:numId w:val="31"/>
        </w:numPr>
        <w:rPr>
          <w:rFonts w:ascii="Arial" w:cs="Arial" w:eastAsia="Arial" w:hAnsi="Arial"/>
          <w:sz w:val="19"/>
          <w:szCs w:val="19"/>
          <w:b w:val="1"/>
          <w:bCs w:val="1"/>
          <w:color w:val="auto"/>
        </w:rPr>
      </w:pPr>
      <w:r>
        <w:rPr>
          <w:rFonts w:ascii="Arial" w:cs="Arial" w:eastAsia="Arial" w:hAnsi="Arial"/>
          <w:sz w:val="19"/>
          <w:szCs w:val="19"/>
          <w:color w:val="auto"/>
        </w:rPr>
        <w:t xml:space="preserve">To approve forms of Award Agreements for use under the Plan and to amend the terms of any one or more Awards, including, but not limited to, amendments to provide terms more favorable to the Participant than previously provided in the Award Agreement, subject to any specified limits in the Plan that are not subject to Board discretion;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a Participant’s rights under any Award will not be Materially Impaired by any such amendment unless (1) the</w:t>
      </w:r>
      <w:r>
        <w:rPr>
          <w:rFonts w:ascii="Arial" w:cs="Arial" w:eastAsia="Arial" w:hAnsi="Arial"/>
          <w:sz w:val="19"/>
          <w:szCs w:val="19"/>
          <w:i w:val="1"/>
          <w:iCs w:val="1"/>
          <w:color w:val="auto"/>
        </w:rPr>
        <w:t xml:space="preserve"> </w:t>
      </w:r>
      <w:r>
        <w:rPr>
          <w:rFonts w:ascii="Arial" w:cs="Arial" w:eastAsia="Arial" w:hAnsi="Arial"/>
          <w:sz w:val="19"/>
          <w:szCs w:val="19"/>
          <w:color w:val="auto"/>
        </w:rPr>
        <w:t>Company requests the consent of the affected Participant, and (2) such Participant consents in writing.</w:t>
      </w:r>
    </w:p>
    <w:p>
      <w:pPr>
        <w:spacing w:after="0" w:line="147" w:lineRule="exact"/>
        <w:rPr>
          <w:rFonts w:ascii="Arial" w:cs="Arial" w:eastAsia="Arial" w:hAnsi="Arial"/>
          <w:sz w:val="19"/>
          <w:szCs w:val="19"/>
          <w:b w:val="1"/>
          <w:bCs w:val="1"/>
          <w:color w:val="auto"/>
        </w:rPr>
      </w:pPr>
    </w:p>
    <w:p>
      <w:pPr>
        <w:ind w:firstLine="1735"/>
        <w:spacing w:after="0" w:line="328" w:lineRule="auto"/>
        <w:tabs>
          <w:tab w:leader="none" w:pos="2627" w:val="left"/>
        </w:tabs>
        <w:numPr>
          <w:ilvl w:val="0"/>
          <w:numId w:val="31"/>
        </w:numPr>
        <w:rPr>
          <w:rFonts w:ascii="Arial" w:cs="Arial" w:eastAsia="Arial" w:hAnsi="Arial"/>
          <w:sz w:val="19"/>
          <w:szCs w:val="19"/>
          <w:b w:val="1"/>
          <w:bCs w:val="1"/>
          <w:color w:val="auto"/>
        </w:rPr>
      </w:pPr>
      <w:r>
        <w:rPr>
          <w:rFonts w:ascii="Arial" w:cs="Arial" w:eastAsia="Arial" w:hAnsi="Arial"/>
          <w:sz w:val="19"/>
          <w:szCs w:val="19"/>
          <w:color w:val="auto"/>
        </w:rPr>
        <w:t>Generally, to exercise such powers and to perform such acts as the Board deems necessary or expedient to promote the best interests of the Company and that are not in conflict with the provisions of the Plan or Awards.</w:t>
      </w:r>
    </w:p>
    <w:p>
      <w:pPr>
        <w:spacing w:after="0" w:line="104" w:lineRule="exact"/>
        <w:rPr>
          <w:rFonts w:ascii="Arial" w:cs="Arial" w:eastAsia="Arial" w:hAnsi="Arial"/>
          <w:sz w:val="19"/>
          <w:szCs w:val="19"/>
          <w:b w:val="1"/>
          <w:bCs w:val="1"/>
          <w:color w:val="auto"/>
        </w:rPr>
      </w:pPr>
    </w:p>
    <w:p>
      <w:pPr>
        <w:jc w:val="both"/>
        <w:ind w:firstLine="1735"/>
        <w:spacing w:after="0" w:line="236" w:lineRule="auto"/>
        <w:tabs>
          <w:tab w:leader="none" w:pos="2687" w:val="left"/>
        </w:tabs>
        <w:numPr>
          <w:ilvl w:val="0"/>
          <w:numId w:val="31"/>
        </w:numPr>
        <w:rPr>
          <w:rFonts w:ascii="Arial" w:cs="Arial" w:eastAsia="Arial" w:hAnsi="Arial"/>
          <w:sz w:val="22"/>
          <w:szCs w:val="22"/>
          <w:b w:val="1"/>
          <w:bCs w:val="1"/>
          <w:color w:val="auto"/>
        </w:rPr>
      </w:pPr>
      <w:r>
        <w:rPr>
          <w:rFonts w:ascii="Arial" w:cs="Arial" w:eastAsia="Arial" w:hAnsi="Arial"/>
          <w:sz w:val="22"/>
          <w:szCs w:val="22"/>
          <w:color w:val="auto"/>
        </w:rPr>
        <w:t>To adopt such procedures and sub-plans as are necessary or appropriate to permit and facilitate participation in the Plan by, or take advantage of specific tax treatment for Awards granted to, Employees, Directors or Consultants who are foreign nationals or employed outside the United States (provided that Board approval will not be necessary for immaterial modifications to the Plan or any Award Agreement to ensure or facilitate compliance with the laws of the relevant foreign jurisdiction).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48" w:name="page49"/>
    <w:bookmarkEnd w:id="48"/>
    <w:p>
      <w:pPr>
        <w:ind w:left="1760" w:hanging="888"/>
        <w:spacing w:after="0"/>
        <w:tabs>
          <w:tab w:leader="none" w:pos="1760" w:val="left"/>
        </w:tabs>
        <w:numPr>
          <w:ilvl w:val="1"/>
          <w:numId w:val="32"/>
        </w:numPr>
        <w:rPr>
          <w:rFonts w:ascii="Arial" w:cs="Arial" w:eastAsia="Arial" w:hAnsi="Arial"/>
          <w:sz w:val="22"/>
          <w:szCs w:val="22"/>
          <w:b w:val="1"/>
          <w:bCs w:val="1"/>
          <w:color w:val="auto"/>
        </w:rPr>
      </w:pPr>
      <w:r>
        <w:rPr>
          <w:rFonts w:ascii="Arial" w:cs="Arial" w:eastAsia="Arial" w:hAnsi="Arial"/>
          <w:sz w:val="22"/>
          <w:szCs w:val="22"/>
          <w:b w:val="1"/>
          <w:bCs w:val="1"/>
          <w:color w:val="auto"/>
        </w:rPr>
        <w:t>Delegation to Committee.</w:t>
      </w:r>
    </w:p>
    <w:p>
      <w:pPr>
        <w:spacing w:after="0" w:line="206" w:lineRule="exact"/>
        <w:rPr>
          <w:rFonts w:ascii="Arial" w:cs="Arial" w:eastAsia="Arial" w:hAnsi="Arial"/>
          <w:sz w:val="22"/>
          <w:szCs w:val="22"/>
          <w:b w:val="1"/>
          <w:bCs w:val="1"/>
          <w:color w:val="auto"/>
        </w:rPr>
      </w:pPr>
    </w:p>
    <w:p>
      <w:pPr>
        <w:jc w:val="both"/>
        <w:ind w:firstLine="1735"/>
        <w:spacing w:after="0" w:line="274" w:lineRule="auto"/>
        <w:tabs>
          <w:tab w:leader="none" w:pos="2579" w:val="left"/>
        </w:tabs>
        <w:numPr>
          <w:ilvl w:val="2"/>
          <w:numId w:val="3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General. </w:t>
      </w:r>
      <w:r>
        <w:rPr>
          <w:rFonts w:ascii="Arial" w:cs="Arial" w:eastAsia="Arial" w:hAnsi="Arial"/>
          <w:sz w:val="19"/>
          <w:szCs w:val="19"/>
          <w:color w:val="auto"/>
        </w:rPr>
        <w:t>The Board may delegate some or all of the administration of the Plan to a Committee or</w:t>
      </w:r>
      <w:r>
        <w:rPr>
          <w:rFonts w:ascii="Arial" w:cs="Arial" w:eastAsia="Arial" w:hAnsi="Arial"/>
          <w:sz w:val="19"/>
          <w:szCs w:val="19"/>
          <w:b w:val="1"/>
          <w:bCs w:val="1"/>
          <w:color w:val="auto"/>
        </w:rPr>
        <w:t xml:space="preserve"> </w:t>
      </w:r>
      <w:r>
        <w:rPr>
          <w:rFonts w:ascii="Arial" w:cs="Arial" w:eastAsia="Arial" w:hAnsi="Arial"/>
          <w:sz w:val="19"/>
          <w:szCs w:val="19"/>
          <w:color w:val="auto"/>
        </w:rPr>
        <w:t>Committees. If administration of the Plan is delegated to a Committee, the Committee will have, in connection with the administration of the Plan, the powers theretofore possessed by the Board that have been delegated to the Committee, including the power to delegate to another Committee or a subcommittee of the Committee any of the administrative powers the Committee is authorized to exercise (and references in this Plan to the Board will thereafter be to the Committee or subcommittee), subject, however, to such resolutions, not inconsistent with the provisions of the Plan, as may be adopted from time to time by the Board. Each Committee may retain the authority to concurrently administer the Plan with Committee or subcommittee to which it has delegated its authority hereunder and may, at any time, revest in such Committee some or all of the powers previously delegated. The Board may retain the authority to concurrently administer the Plan with any Committee and may, at any time, revest in the Board some or all of the powers previously delegated.</w:t>
      </w:r>
    </w:p>
    <w:p>
      <w:pPr>
        <w:spacing w:after="0" w:line="151" w:lineRule="exact"/>
        <w:rPr>
          <w:rFonts w:ascii="Arial" w:cs="Arial" w:eastAsia="Arial" w:hAnsi="Arial"/>
          <w:sz w:val="19"/>
          <w:szCs w:val="19"/>
          <w:b w:val="1"/>
          <w:bCs w:val="1"/>
          <w:color w:val="auto"/>
        </w:rPr>
      </w:pPr>
    </w:p>
    <w:p>
      <w:pPr>
        <w:jc w:val="both"/>
        <w:ind w:firstLine="1735"/>
        <w:spacing w:after="0" w:line="283" w:lineRule="auto"/>
        <w:tabs>
          <w:tab w:leader="none" w:pos="2639" w:val="left"/>
        </w:tabs>
        <w:numPr>
          <w:ilvl w:val="2"/>
          <w:numId w:val="3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Rule 16b-3 Compliance. </w:t>
      </w:r>
      <w:r>
        <w:rPr>
          <w:rFonts w:ascii="Arial" w:cs="Arial" w:eastAsia="Arial" w:hAnsi="Arial"/>
          <w:sz w:val="19"/>
          <w:szCs w:val="19"/>
          <w:color w:val="auto"/>
        </w:rPr>
        <w:t>To the extent an Award is intended to qualify for the exemption from</w:t>
      </w:r>
      <w:r>
        <w:rPr>
          <w:rFonts w:ascii="Arial" w:cs="Arial" w:eastAsia="Arial" w:hAnsi="Arial"/>
          <w:sz w:val="19"/>
          <w:szCs w:val="19"/>
          <w:b w:val="1"/>
          <w:bCs w:val="1"/>
          <w:color w:val="auto"/>
        </w:rPr>
        <w:t xml:space="preserve"> </w:t>
      </w:r>
      <w:r>
        <w:rPr>
          <w:rFonts w:ascii="Arial" w:cs="Arial" w:eastAsia="Arial" w:hAnsi="Arial"/>
          <w:sz w:val="19"/>
          <w:szCs w:val="19"/>
          <w:color w:val="auto"/>
        </w:rPr>
        <w:t>Section 16(b) of the Exchange Act that is available under Rule 16b-3 of the Exchange Act, the Award will be granted by the Board or a Committee that consists solely of two or more Non-Employee Directors, as determined under Rule 16b-3(b)(3) of the Exchange Act and thereafter any action establishing or modifying the terms of the Award will be approved by the Board or a Committee meeting such requirements to the extent necessary for such exemption to remain available.</w:t>
      </w:r>
    </w:p>
    <w:p>
      <w:pPr>
        <w:spacing w:after="0" w:line="142" w:lineRule="exact"/>
        <w:rPr>
          <w:rFonts w:ascii="Arial" w:cs="Arial" w:eastAsia="Arial" w:hAnsi="Arial"/>
          <w:sz w:val="19"/>
          <w:szCs w:val="19"/>
          <w:b w:val="1"/>
          <w:bCs w:val="1"/>
          <w:color w:val="auto"/>
        </w:rPr>
      </w:pPr>
    </w:p>
    <w:p>
      <w:pPr>
        <w:ind w:right="20" w:firstLine="872"/>
        <w:spacing w:after="0" w:line="334" w:lineRule="auto"/>
        <w:tabs>
          <w:tab w:leader="none" w:pos="1775" w:val="left"/>
        </w:tabs>
        <w:numPr>
          <w:ilvl w:val="1"/>
          <w:numId w:val="3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Effect of Board’s Decision. </w:t>
      </w:r>
      <w:r>
        <w:rPr>
          <w:rFonts w:ascii="Arial" w:cs="Arial" w:eastAsia="Arial" w:hAnsi="Arial"/>
          <w:sz w:val="19"/>
          <w:szCs w:val="19"/>
          <w:color w:val="auto"/>
        </w:rPr>
        <w:t>All determinations, interpretations and constructions made by the Board or any</w:t>
      </w:r>
      <w:r>
        <w:rPr>
          <w:rFonts w:ascii="Arial" w:cs="Arial" w:eastAsia="Arial" w:hAnsi="Arial"/>
          <w:sz w:val="19"/>
          <w:szCs w:val="19"/>
          <w:b w:val="1"/>
          <w:bCs w:val="1"/>
          <w:color w:val="auto"/>
        </w:rPr>
        <w:t xml:space="preserve"> </w:t>
      </w:r>
      <w:r>
        <w:rPr>
          <w:rFonts w:ascii="Arial" w:cs="Arial" w:eastAsia="Arial" w:hAnsi="Arial"/>
          <w:sz w:val="19"/>
          <w:szCs w:val="19"/>
          <w:color w:val="auto"/>
        </w:rPr>
        <w:t>Committee in good faith will not be subject to review by any person and will be final, binding and conclusive on all persons.</w:t>
      </w:r>
    </w:p>
    <w:p>
      <w:pPr>
        <w:spacing w:after="0" w:line="93" w:lineRule="exact"/>
        <w:rPr>
          <w:rFonts w:ascii="Arial" w:cs="Arial" w:eastAsia="Arial" w:hAnsi="Arial"/>
          <w:sz w:val="19"/>
          <w:szCs w:val="19"/>
          <w:b w:val="1"/>
          <w:bCs w:val="1"/>
          <w:color w:val="auto"/>
        </w:rPr>
      </w:pPr>
    </w:p>
    <w:p>
      <w:pPr>
        <w:ind w:left="1820" w:hanging="948"/>
        <w:spacing w:after="0"/>
        <w:tabs>
          <w:tab w:leader="none" w:pos="1820" w:val="left"/>
        </w:tabs>
        <w:numPr>
          <w:ilvl w:val="1"/>
          <w:numId w:val="32"/>
        </w:numPr>
        <w:rPr>
          <w:rFonts w:ascii="Arial" w:cs="Arial" w:eastAsia="Arial" w:hAnsi="Arial"/>
          <w:sz w:val="19"/>
          <w:szCs w:val="19"/>
          <w:b w:val="1"/>
          <w:bCs w:val="1"/>
          <w:color w:val="auto"/>
        </w:rPr>
      </w:pPr>
      <w:r>
        <w:rPr>
          <w:rFonts w:ascii="Arial" w:cs="Arial" w:eastAsia="Arial" w:hAnsi="Arial"/>
          <w:sz w:val="19"/>
          <w:szCs w:val="19"/>
          <w:b w:val="1"/>
          <w:bCs w:val="1"/>
          <w:color w:val="auto"/>
        </w:rPr>
        <w:t>Cancellation and Re-Grant of Awards</w:t>
      </w:r>
      <w:r>
        <w:rPr>
          <w:rFonts w:ascii="Arial" w:cs="Arial" w:eastAsia="Arial" w:hAnsi="Arial"/>
          <w:sz w:val="19"/>
          <w:szCs w:val="19"/>
          <w:color w:val="auto"/>
        </w:rPr>
        <w:t>. Neither the Board nor any Committee will have the authority to:</w:t>
      </w:r>
    </w:p>
    <w:p>
      <w:pPr>
        <w:spacing w:after="0" w:line="48" w:lineRule="exact"/>
        <w:rPr>
          <w:rFonts w:ascii="Arial" w:cs="Arial" w:eastAsia="Arial" w:hAnsi="Arial"/>
          <w:sz w:val="19"/>
          <w:szCs w:val="19"/>
          <w:b w:val="1"/>
          <w:bCs w:val="1"/>
          <w:color w:val="auto"/>
        </w:rPr>
      </w:pPr>
    </w:p>
    <w:p>
      <w:pPr>
        <w:jc w:val="both"/>
        <w:ind w:firstLine="8"/>
        <w:spacing w:after="0" w:line="233" w:lineRule="auto"/>
        <w:tabs>
          <w:tab w:leader="none" w:pos="279" w:val="left"/>
        </w:tabs>
        <w:numPr>
          <w:ilvl w:val="0"/>
          <w:numId w:val="33"/>
        </w:numPr>
        <w:rPr>
          <w:rFonts w:ascii="Arial" w:cs="Arial" w:eastAsia="Arial" w:hAnsi="Arial"/>
          <w:sz w:val="22"/>
          <w:szCs w:val="22"/>
          <w:color w:val="auto"/>
        </w:rPr>
      </w:pPr>
      <w:r>
        <w:rPr>
          <w:rFonts w:ascii="Arial" w:cs="Arial" w:eastAsia="Arial" w:hAnsi="Arial"/>
          <w:sz w:val="22"/>
          <w:szCs w:val="22"/>
          <w:color w:val="auto"/>
        </w:rPr>
        <w:t>reduce the exercise price or strike price of any outstanding Options or SARs under the Plan, or (ii) cancel any outstanding Options or SARs that have an exercise price or strike price greater than the current Fair Market Value in exchange for cash or other Awards under the Plan, unless the stockholders of the Company have approved such an action within twelve months prior to such an event.</w:t>
      </w:r>
    </w:p>
    <w:p>
      <w:pPr>
        <w:spacing w:after="0" w:line="181" w:lineRule="exact"/>
        <w:rPr>
          <w:rFonts w:ascii="Arial" w:cs="Arial" w:eastAsia="Arial" w:hAnsi="Arial"/>
          <w:sz w:val="22"/>
          <w:szCs w:val="22"/>
          <w:color w:val="auto"/>
        </w:rPr>
      </w:pPr>
    </w:p>
    <w:p>
      <w:pPr>
        <w:jc w:val="both"/>
        <w:ind w:firstLine="872"/>
        <w:spacing w:after="0" w:line="274" w:lineRule="auto"/>
        <w:tabs>
          <w:tab w:leader="none" w:pos="1781" w:val="left"/>
        </w:tabs>
        <w:numPr>
          <w:ilvl w:val="1"/>
          <w:numId w:val="3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Delegation to an Officer. </w:t>
      </w:r>
      <w:r>
        <w:rPr>
          <w:rFonts w:ascii="Arial" w:cs="Arial" w:eastAsia="Arial" w:hAnsi="Arial"/>
          <w:sz w:val="19"/>
          <w:szCs w:val="19"/>
          <w:color w:val="auto"/>
        </w:rPr>
        <w:t>The Board or any Committee may delegate to one or more Officers the authority</w:t>
      </w:r>
      <w:r>
        <w:rPr>
          <w:rFonts w:ascii="Arial" w:cs="Arial" w:eastAsia="Arial" w:hAnsi="Arial"/>
          <w:sz w:val="19"/>
          <w:szCs w:val="19"/>
          <w:b w:val="1"/>
          <w:bCs w:val="1"/>
          <w:color w:val="auto"/>
        </w:rPr>
        <w:t xml:space="preserve"> </w:t>
      </w:r>
      <w:r>
        <w:rPr>
          <w:rFonts w:ascii="Arial" w:cs="Arial" w:eastAsia="Arial" w:hAnsi="Arial"/>
          <w:sz w:val="19"/>
          <w:szCs w:val="19"/>
          <w:color w:val="auto"/>
        </w:rPr>
        <w:t>to do one or both of the following (i) designate Employees who are not Officers to be recipients of Options and SARs (and, to the extent permitted by Applicable Law, other types of Awards) and, to the extent permitted by Applicable Law, the terms thereof, and (ii) determine the number of shares of Common Stock to be subject to such Awards granted to such Employees; provided, however, that the resolutions or charter adopted by the Board or any Committee evidencing such delegation will specify the total number of shares of Common Stock that may be subject to the Awards granted by such Officer and that such Officer may not grant an Award to himself or herself. Any such Awards will be granted on the applicable form of Award Agreement most recently approved for use by the Board or the Committee, unless otherwise provided in the resolutions approving the delegation authority. Notwithstanding anything to the contrary herein, neither the Board nor any Committee may delegate to an Officer who is acting solely in the capacity of an Officer (and not also as a Director) the authority to determine the Fair Market Value.</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49" w:name="page50"/>
    <w:bookmarkEnd w:id="49"/>
    <w:p>
      <w:pPr>
        <w:ind w:left="820" w:hanging="812"/>
        <w:spacing w:after="0"/>
        <w:tabs>
          <w:tab w:leader="none" w:pos="820" w:val="left"/>
        </w:tabs>
        <w:numPr>
          <w:ilvl w:val="0"/>
          <w:numId w:val="34"/>
        </w:numPr>
        <w:rPr>
          <w:rFonts w:ascii="Arial" w:cs="Arial" w:eastAsia="Arial" w:hAnsi="Arial"/>
          <w:sz w:val="22"/>
          <w:szCs w:val="22"/>
          <w:b w:val="1"/>
          <w:bCs w:val="1"/>
          <w:color w:val="auto"/>
        </w:rPr>
      </w:pPr>
      <w:r>
        <w:rPr>
          <w:rFonts w:ascii="Arial" w:cs="Arial" w:eastAsia="Arial" w:hAnsi="Arial"/>
          <w:sz w:val="22"/>
          <w:szCs w:val="22"/>
          <w:b w:val="1"/>
          <w:bCs w:val="1"/>
          <w:color w:val="auto"/>
        </w:rPr>
        <w:t>T</w:t>
      </w:r>
      <w:r>
        <w:rPr>
          <w:rFonts w:ascii="Arial" w:cs="Arial" w:eastAsia="Arial" w:hAnsi="Arial"/>
          <w:sz w:val="14"/>
          <w:szCs w:val="14"/>
          <w:b w:val="1"/>
          <w:bCs w:val="1"/>
          <w:color w:val="auto"/>
        </w:rPr>
        <w:t>AX</w:t>
      </w:r>
      <w:r>
        <w:rPr>
          <w:rFonts w:ascii="Arial" w:cs="Arial" w:eastAsia="Arial" w:hAnsi="Arial"/>
          <w:sz w:val="22"/>
          <w:szCs w:val="22"/>
          <w:b w:val="1"/>
          <w:bCs w:val="1"/>
          <w:color w:val="auto"/>
        </w:rPr>
        <w:t xml:space="preserve"> W</w:t>
      </w:r>
      <w:r>
        <w:rPr>
          <w:rFonts w:ascii="Arial" w:cs="Arial" w:eastAsia="Arial" w:hAnsi="Arial"/>
          <w:sz w:val="14"/>
          <w:szCs w:val="14"/>
          <w:b w:val="1"/>
          <w:bCs w:val="1"/>
          <w:color w:val="auto"/>
        </w:rPr>
        <w:t>ITHHOLDING</w:t>
      </w:r>
    </w:p>
    <w:p>
      <w:pPr>
        <w:spacing w:after="0" w:line="206" w:lineRule="exact"/>
        <w:rPr>
          <w:rFonts w:ascii="Arial" w:cs="Arial" w:eastAsia="Arial" w:hAnsi="Arial"/>
          <w:sz w:val="22"/>
          <w:szCs w:val="22"/>
          <w:b w:val="1"/>
          <w:bCs w:val="1"/>
          <w:color w:val="auto"/>
        </w:rPr>
      </w:pPr>
    </w:p>
    <w:p>
      <w:pPr>
        <w:jc w:val="both"/>
        <w:ind w:firstLine="872"/>
        <w:spacing w:after="0" w:line="235" w:lineRule="auto"/>
        <w:tabs>
          <w:tab w:leader="none" w:pos="1763" w:val="left"/>
        </w:tabs>
        <w:numPr>
          <w:ilvl w:val="1"/>
          <w:numId w:val="3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Withholding Authorization. </w:t>
      </w:r>
      <w:r>
        <w:rPr>
          <w:rFonts w:ascii="Arial" w:cs="Arial" w:eastAsia="Arial" w:hAnsi="Arial"/>
          <w:sz w:val="22"/>
          <w:szCs w:val="22"/>
          <w:color w:val="auto"/>
        </w:rPr>
        <w:t>As a condition to acceptance of any Award under the Plan, a Participant</w:t>
      </w:r>
      <w:r>
        <w:rPr>
          <w:rFonts w:ascii="Arial" w:cs="Arial" w:eastAsia="Arial" w:hAnsi="Arial"/>
          <w:sz w:val="22"/>
          <w:szCs w:val="22"/>
          <w:b w:val="1"/>
          <w:bCs w:val="1"/>
          <w:color w:val="auto"/>
        </w:rPr>
        <w:t xml:space="preserve"> </w:t>
      </w:r>
      <w:r>
        <w:rPr>
          <w:rFonts w:ascii="Arial" w:cs="Arial" w:eastAsia="Arial" w:hAnsi="Arial"/>
          <w:sz w:val="22"/>
          <w:szCs w:val="22"/>
          <w:color w:val="auto"/>
        </w:rPr>
        <w:t>authorizes withholding from payroll and any other amounts payable to such Participant, and otherwise agrees to make adequate provision for (including), any sums required to satisfy any U.S. federal, state, local and/or foreign tax or social insurance contribution withholding obligations of the Company or an Affiliate, if any, which arise in connection with the grant, exercise, vesting or settlement of such Award, as applicable. Accordingly, a Participant may not be able to exercise an Award even though the Award is vested, and the Company shall have no obligation to issue shares of Common Stock subject to an Award, unless and until such obligations are satisfied.</w:t>
      </w:r>
    </w:p>
    <w:p>
      <w:pPr>
        <w:spacing w:after="0" w:line="183" w:lineRule="exact"/>
        <w:rPr>
          <w:rFonts w:ascii="Arial" w:cs="Arial" w:eastAsia="Arial" w:hAnsi="Arial"/>
          <w:sz w:val="22"/>
          <w:szCs w:val="22"/>
          <w:b w:val="1"/>
          <w:bCs w:val="1"/>
          <w:color w:val="auto"/>
        </w:rPr>
      </w:pPr>
    </w:p>
    <w:p>
      <w:pPr>
        <w:jc w:val="both"/>
        <w:ind w:firstLine="872"/>
        <w:spacing w:after="0" w:line="247" w:lineRule="auto"/>
        <w:tabs>
          <w:tab w:leader="none" w:pos="1775" w:val="left"/>
        </w:tabs>
        <w:numPr>
          <w:ilvl w:val="1"/>
          <w:numId w:val="34"/>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Satisfaction of Withholding Obligation. </w:t>
      </w:r>
      <w:r>
        <w:rPr>
          <w:rFonts w:ascii="Arial" w:cs="Arial" w:eastAsia="Arial" w:hAnsi="Arial"/>
          <w:sz w:val="21"/>
          <w:szCs w:val="21"/>
          <w:color w:val="auto"/>
        </w:rPr>
        <w:t>To the extent permitted by the terms of an Award Agreement, the</w:t>
      </w:r>
      <w:r>
        <w:rPr>
          <w:rFonts w:ascii="Arial" w:cs="Arial" w:eastAsia="Arial" w:hAnsi="Arial"/>
          <w:sz w:val="21"/>
          <w:szCs w:val="21"/>
          <w:b w:val="1"/>
          <w:bCs w:val="1"/>
          <w:color w:val="auto"/>
        </w:rPr>
        <w:t xml:space="preserve"> </w:t>
      </w:r>
      <w:r>
        <w:rPr>
          <w:rFonts w:ascii="Arial" w:cs="Arial" w:eastAsia="Arial" w:hAnsi="Arial"/>
          <w:sz w:val="21"/>
          <w:szCs w:val="21"/>
          <w:color w:val="auto"/>
        </w:rPr>
        <w:t>Company may, in its sole discretion, satisfy any U.S. federal, state, local and/or foreign tax or social insurance withholding obligation relating to an Award by any of the following means or by a combination of such means: (i) causing the Participant to tender a cash payment; (ii) withholding shares of Common Stock from the shares of Common Stock issued or otherwise issuable to the Participant in connection with the Award; (iii) withholding cash from an Award settled in cash; (iv) withholding payment from any amounts otherwise payable to the Participant; (v) by allowing a Participant to effectuate a “cashless exercise” pursuant to a program developed under Regulation T as promulgated by the Federal Reserve Board, or (vi) by such other method as may be set forth in the Award Agreement.</w:t>
      </w:r>
    </w:p>
    <w:p>
      <w:pPr>
        <w:spacing w:after="0" w:line="171" w:lineRule="exact"/>
        <w:rPr>
          <w:rFonts w:ascii="Arial" w:cs="Arial" w:eastAsia="Arial" w:hAnsi="Arial"/>
          <w:sz w:val="21"/>
          <w:szCs w:val="21"/>
          <w:b w:val="1"/>
          <w:bCs w:val="1"/>
          <w:color w:val="auto"/>
        </w:rPr>
      </w:pPr>
    </w:p>
    <w:p>
      <w:pPr>
        <w:jc w:val="both"/>
        <w:ind w:firstLine="872"/>
        <w:spacing w:after="0" w:line="271" w:lineRule="auto"/>
        <w:tabs>
          <w:tab w:leader="none" w:pos="1751" w:val="left"/>
        </w:tabs>
        <w:numPr>
          <w:ilvl w:val="1"/>
          <w:numId w:val="34"/>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No Obligation to Notify or Minimize Taxes; No Liability to Claims. </w:t>
      </w:r>
      <w:r>
        <w:rPr>
          <w:rFonts w:ascii="Arial" w:cs="Arial" w:eastAsia="Arial" w:hAnsi="Arial"/>
          <w:sz w:val="19"/>
          <w:szCs w:val="19"/>
          <w:color w:val="auto"/>
        </w:rPr>
        <w:t>Except as required by Applicable</w:t>
      </w:r>
      <w:r>
        <w:rPr>
          <w:rFonts w:ascii="Arial" w:cs="Arial" w:eastAsia="Arial" w:hAnsi="Arial"/>
          <w:sz w:val="19"/>
          <w:szCs w:val="19"/>
          <w:b w:val="1"/>
          <w:bCs w:val="1"/>
          <w:color w:val="auto"/>
        </w:rPr>
        <w:t xml:space="preserve"> </w:t>
      </w:r>
      <w:r>
        <w:rPr>
          <w:rFonts w:ascii="Arial" w:cs="Arial" w:eastAsia="Arial" w:hAnsi="Arial"/>
          <w:sz w:val="19"/>
          <w:szCs w:val="19"/>
          <w:color w:val="auto"/>
        </w:rPr>
        <w:t>Law the Company has no duty or obligation to any Participant to advise such holder as to the time or manner of exercising such Award. Furthermore, the Company has no duty or obligation to warn or otherwise advise such holder of a pending termination or expiration of an Award or a possible period in which the Award may not be exercised. The Company has no duty or obligation to minimize the tax consequences of an Award to the holder of such Award and will not be liable to any holder of an Award for any adverse tax consequences to such holder in connection with an Award. As a condition to accepting an Award under the Plan, each Participant (i) agrees to not make any claim against the Company, or any of its Officers, Directors, Employees or Affiliates related to tax liabilities arising from such Award or other Company compensation and (ii) acknowledges that such Participant was advised to consult with his or her own personal tax, financial and other legal advisors regarding the tax consequences of the Award and has either done so or knowingly and voluntarily declined to do so. Additionally, each Participant acknowledges any Option or SAR granted under the Plan is exempt from Section 409A only if the exercise or strike price is at least equal to the “fair market value” of the Common Stock on the date of grant as determined by the Internal Revenue Service and there is no other impermissible deferral of compensation associated with the Award. Additionally, as a condition to accepting an Option or SAR granted under the Plan, each Participant agrees not make any claim against the Company, or any of its Officers, Directors, Employees or Affiliates in the event that the Internal Revenue Service asserts that such exercise price or strike price is less than the “fair market value” of the Common Stock on the date of grant as subsequently determined by the Internal Revenue Service.</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50" w:name="page51"/>
    <w:bookmarkEnd w:id="50"/>
    <w:p>
      <w:pPr>
        <w:jc w:val="both"/>
        <w:ind w:firstLine="872"/>
        <w:spacing w:after="0" w:line="289" w:lineRule="auto"/>
        <w:tabs>
          <w:tab w:leader="none" w:pos="1775" w:val="left"/>
        </w:tabs>
        <w:numPr>
          <w:ilvl w:val="1"/>
          <w:numId w:val="35"/>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Withholding Indemnification. </w:t>
      </w:r>
      <w:r>
        <w:rPr>
          <w:rFonts w:ascii="Arial" w:cs="Arial" w:eastAsia="Arial" w:hAnsi="Arial"/>
          <w:sz w:val="19"/>
          <w:szCs w:val="19"/>
          <w:color w:val="auto"/>
        </w:rPr>
        <w:t>As a condition to accepting an Award under the Plan, in the event that the</w:t>
      </w:r>
      <w:r>
        <w:rPr>
          <w:rFonts w:ascii="Arial" w:cs="Arial" w:eastAsia="Arial" w:hAnsi="Arial"/>
          <w:sz w:val="19"/>
          <w:szCs w:val="19"/>
          <w:b w:val="1"/>
          <w:bCs w:val="1"/>
          <w:color w:val="auto"/>
        </w:rPr>
        <w:t xml:space="preserve"> </w:t>
      </w:r>
      <w:r>
        <w:rPr>
          <w:rFonts w:ascii="Arial" w:cs="Arial" w:eastAsia="Arial" w:hAnsi="Arial"/>
          <w:sz w:val="19"/>
          <w:szCs w:val="19"/>
          <w:color w:val="auto"/>
        </w:rPr>
        <w:t>amount of the Company’s and/or its Affiliate’s withholding obligation in connection with such Award was greater than the amount actually withheld by the Company and/or its Affiliates, each Participant agrees to indemnify and hold the Company and/or its Affiliates harmless from any failure by the Company and/or its Affiliates to withhold the proper amount.</w:t>
      </w:r>
    </w:p>
    <w:p>
      <w:pPr>
        <w:spacing w:after="0" w:line="135" w:lineRule="exact"/>
        <w:rPr>
          <w:rFonts w:ascii="Arial" w:cs="Arial" w:eastAsia="Arial" w:hAnsi="Arial"/>
          <w:sz w:val="19"/>
          <w:szCs w:val="19"/>
          <w:b w:val="1"/>
          <w:bCs w:val="1"/>
          <w:color w:val="auto"/>
        </w:rPr>
      </w:pPr>
    </w:p>
    <w:p>
      <w:pPr>
        <w:ind w:left="820" w:hanging="812"/>
        <w:spacing w:after="0"/>
        <w:tabs>
          <w:tab w:leader="none" w:pos="820" w:val="left"/>
        </w:tabs>
        <w:numPr>
          <w:ilvl w:val="0"/>
          <w:numId w:val="36"/>
        </w:numPr>
        <w:rPr>
          <w:rFonts w:ascii="Arial" w:cs="Arial" w:eastAsia="Arial" w:hAnsi="Arial"/>
          <w:sz w:val="22"/>
          <w:szCs w:val="22"/>
          <w:b w:val="1"/>
          <w:bCs w:val="1"/>
          <w:color w:val="auto"/>
        </w:rPr>
      </w:pPr>
      <w:r>
        <w:rPr>
          <w:rFonts w:ascii="Arial" w:cs="Arial" w:eastAsia="Arial" w:hAnsi="Arial"/>
          <w:sz w:val="22"/>
          <w:szCs w:val="22"/>
          <w:b w:val="1"/>
          <w:bCs w:val="1"/>
          <w:color w:val="auto"/>
        </w:rPr>
        <w:t>M</w:t>
      </w:r>
      <w:r>
        <w:rPr>
          <w:rFonts w:ascii="Arial" w:cs="Arial" w:eastAsia="Arial" w:hAnsi="Arial"/>
          <w:sz w:val="14"/>
          <w:szCs w:val="14"/>
          <w:b w:val="1"/>
          <w:bCs w:val="1"/>
          <w:color w:val="auto"/>
        </w:rPr>
        <w:t>ISCELLANEOUS</w:t>
      </w:r>
      <w:r>
        <w:rPr>
          <w:rFonts w:ascii="Arial" w:cs="Arial" w:eastAsia="Arial" w:hAnsi="Arial"/>
          <w:sz w:val="22"/>
          <w:szCs w:val="22"/>
          <w:b w:val="1"/>
          <w:bCs w:val="1"/>
          <w:color w:val="auto"/>
        </w:rPr>
        <w:t>.</w:t>
      </w:r>
    </w:p>
    <w:p>
      <w:pPr>
        <w:spacing w:after="0" w:line="206" w:lineRule="exact"/>
        <w:rPr>
          <w:rFonts w:ascii="Arial" w:cs="Arial" w:eastAsia="Arial" w:hAnsi="Arial"/>
          <w:sz w:val="22"/>
          <w:szCs w:val="22"/>
          <w:b w:val="1"/>
          <w:bCs w:val="1"/>
          <w:color w:val="auto"/>
        </w:rPr>
      </w:pPr>
    </w:p>
    <w:p>
      <w:pPr>
        <w:ind w:right="20" w:firstLine="872"/>
        <w:spacing w:after="0" w:line="256" w:lineRule="auto"/>
        <w:tabs>
          <w:tab w:leader="none" w:pos="1763" w:val="left"/>
        </w:tabs>
        <w:numPr>
          <w:ilvl w:val="1"/>
          <w:numId w:val="3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Source of Shares. </w:t>
      </w:r>
      <w:r>
        <w:rPr>
          <w:rFonts w:ascii="Arial" w:cs="Arial" w:eastAsia="Arial" w:hAnsi="Arial"/>
          <w:sz w:val="22"/>
          <w:szCs w:val="22"/>
          <w:color w:val="auto"/>
        </w:rPr>
        <w:t>The stock issuable under the Plan will be shares of authorized but unissued or reacquired</w:t>
      </w:r>
      <w:r>
        <w:rPr>
          <w:rFonts w:ascii="Arial" w:cs="Arial" w:eastAsia="Arial" w:hAnsi="Arial"/>
          <w:sz w:val="22"/>
          <w:szCs w:val="22"/>
          <w:b w:val="1"/>
          <w:bCs w:val="1"/>
          <w:color w:val="auto"/>
        </w:rPr>
        <w:t xml:space="preserve"> </w:t>
      </w:r>
      <w:r>
        <w:rPr>
          <w:rFonts w:ascii="Arial" w:cs="Arial" w:eastAsia="Arial" w:hAnsi="Arial"/>
          <w:sz w:val="22"/>
          <w:szCs w:val="22"/>
          <w:color w:val="auto"/>
        </w:rPr>
        <w:t>Common Stock, including shares repurchased by the Company on the open market or otherwise.</w:t>
      </w:r>
    </w:p>
    <w:p>
      <w:pPr>
        <w:spacing w:after="0" w:line="162" w:lineRule="exact"/>
        <w:rPr>
          <w:rFonts w:ascii="Arial" w:cs="Arial" w:eastAsia="Arial" w:hAnsi="Arial"/>
          <w:sz w:val="22"/>
          <w:szCs w:val="22"/>
          <w:b w:val="1"/>
          <w:bCs w:val="1"/>
          <w:color w:val="auto"/>
        </w:rPr>
      </w:pPr>
    </w:p>
    <w:p>
      <w:pPr>
        <w:ind w:firstLine="872"/>
        <w:spacing w:after="0" w:line="256" w:lineRule="auto"/>
        <w:tabs>
          <w:tab w:leader="none" w:pos="1775" w:val="left"/>
        </w:tabs>
        <w:numPr>
          <w:ilvl w:val="1"/>
          <w:numId w:val="3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Use of Proceeds from Sales of Common Stock. </w:t>
      </w:r>
      <w:r>
        <w:rPr>
          <w:rFonts w:ascii="Arial" w:cs="Arial" w:eastAsia="Arial" w:hAnsi="Arial"/>
          <w:sz w:val="22"/>
          <w:szCs w:val="22"/>
          <w:color w:val="auto"/>
        </w:rPr>
        <w:t>Proceeds from the sale of shares of Common Stock</w:t>
      </w:r>
      <w:r>
        <w:rPr>
          <w:rFonts w:ascii="Arial" w:cs="Arial" w:eastAsia="Arial" w:hAnsi="Arial"/>
          <w:sz w:val="22"/>
          <w:szCs w:val="22"/>
          <w:b w:val="1"/>
          <w:bCs w:val="1"/>
          <w:color w:val="auto"/>
        </w:rPr>
        <w:t xml:space="preserve"> </w:t>
      </w:r>
      <w:r>
        <w:rPr>
          <w:rFonts w:ascii="Arial" w:cs="Arial" w:eastAsia="Arial" w:hAnsi="Arial"/>
          <w:sz w:val="22"/>
          <w:szCs w:val="22"/>
          <w:color w:val="auto"/>
        </w:rPr>
        <w:t>pursuant to Awards will constitute general funds of the Company.</w:t>
      </w:r>
    </w:p>
    <w:p>
      <w:pPr>
        <w:spacing w:after="0" w:line="162" w:lineRule="exact"/>
        <w:rPr>
          <w:rFonts w:ascii="Arial" w:cs="Arial" w:eastAsia="Arial" w:hAnsi="Arial"/>
          <w:sz w:val="22"/>
          <w:szCs w:val="22"/>
          <w:b w:val="1"/>
          <w:bCs w:val="1"/>
          <w:color w:val="auto"/>
        </w:rPr>
      </w:pPr>
    </w:p>
    <w:p>
      <w:pPr>
        <w:jc w:val="both"/>
        <w:ind w:firstLine="872"/>
        <w:spacing w:after="0" w:line="276" w:lineRule="auto"/>
        <w:tabs>
          <w:tab w:leader="none" w:pos="1751" w:val="left"/>
        </w:tabs>
        <w:numPr>
          <w:ilvl w:val="1"/>
          <w:numId w:val="36"/>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Corporate Action Constituting Grant of Awards. </w:t>
      </w:r>
      <w:r>
        <w:rPr>
          <w:rFonts w:ascii="Arial" w:cs="Arial" w:eastAsia="Arial" w:hAnsi="Arial"/>
          <w:sz w:val="19"/>
          <w:szCs w:val="19"/>
          <w:color w:val="auto"/>
        </w:rPr>
        <w:t>Corporate action constituting a grant by the Company</w:t>
      </w:r>
      <w:r>
        <w:rPr>
          <w:rFonts w:ascii="Arial" w:cs="Arial" w:eastAsia="Arial" w:hAnsi="Arial"/>
          <w:sz w:val="19"/>
          <w:szCs w:val="19"/>
          <w:b w:val="1"/>
          <w:bCs w:val="1"/>
          <w:color w:val="auto"/>
        </w:rPr>
        <w:t xml:space="preserve"> </w:t>
      </w:r>
      <w:r>
        <w:rPr>
          <w:rFonts w:ascii="Arial" w:cs="Arial" w:eastAsia="Arial" w:hAnsi="Arial"/>
          <w:sz w:val="19"/>
          <w:szCs w:val="19"/>
          <w:color w:val="auto"/>
        </w:rPr>
        <w:t>of an Award to any Participant will be deemed completed as of the date of such corporate action, unless otherwise determined by the Board, regardless of when the instrument, certificate, or letter evidencing the Award is communicated to, or actually received or accepted by, the Participant. In the event that the corporate records (e.g., Board consents, resolutions or minutes) documenting the corporate action approving the grant contain terms (e.g., exercise price, vesting schedule or number of shares) that are inconsistent with those in the Award Agreement or related grant documents as a result of a clerical error in the Award Agreement or related grant documents, the corporate records will control and the Participant will have no legally binding right to the incorrect term in the Award Agreement or related grant documents.</w:t>
      </w:r>
    </w:p>
    <w:p>
      <w:pPr>
        <w:spacing w:after="0" w:line="149" w:lineRule="exact"/>
        <w:rPr>
          <w:rFonts w:ascii="Arial" w:cs="Arial" w:eastAsia="Arial" w:hAnsi="Arial"/>
          <w:sz w:val="19"/>
          <w:szCs w:val="19"/>
          <w:b w:val="1"/>
          <w:bCs w:val="1"/>
          <w:color w:val="auto"/>
        </w:rPr>
      </w:pPr>
    </w:p>
    <w:p>
      <w:pPr>
        <w:jc w:val="both"/>
        <w:ind w:firstLine="872"/>
        <w:spacing w:after="0" w:line="239" w:lineRule="auto"/>
        <w:tabs>
          <w:tab w:leader="none" w:pos="1775" w:val="left"/>
        </w:tabs>
        <w:numPr>
          <w:ilvl w:val="1"/>
          <w:numId w:val="3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Stockholder Rights. </w:t>
      </w:r>
      <w:r>
        <w:rPr>
          <w:rFonts w:ascii="Arial" w:cs="Arial" w:eastAsia="Arial" w:hAnsi="Arial"/>
          <w:sz w:val="22"/>
          <w:szCs w:val="22"/>
          <w:color w:val="auto"/>
        </w:rPr>
        <w:t>No Participant will be deemed to be the holder of, or to have any of the rights of a</w:t>
      </w:r>
      <w:r>
        <w:rPr>
          <w:rFonts w:ascii="Arial" w:cs="Arial" w:eastAsia="Arial" w:hAnsi="Arial"/>
          <w:sz w:val="22"/>
          <w:szCs w:val="22"/>
          <w:b w:val="1"/>
          <w:bCs w:val="1"/>
          <w:color w:val="auto"/>
        </w:rPr>
        <w:t xml:space="preserve"> </w:t>
      </w:r>
      <w:r>
        <w:rPr>
          <w:rFonts w:ascii="Arial" w:cs="Arial" w:eastAsia="Arial" w:hAnsi="Arial"/>
          <w:sz w:val="22"/>
          <w:szCs w:val="22"/>
          <w:color w:val="auto"/>
        </w:rPr>
        <w:t>holder with respect to, any shares of Common Stock subject to such Award unless and until (i) such Participant has satisfied all requirements for exercise of the Award pursuant to its terms, if applicable, and (ii) the issuance of the Common Stock subject to such Award is reflected in the records of the Company.</w:t>
      </w:r>
    </w:p>
    <w:p>
      <w:pPr>
        <w:spacing w:after="0" w:line="180" w:lineRule="exact"/>
        <w:rPr>
          <w:rFonts w:ascii="Arial" w:cs="Arial" w:eastAsia="Arial" w:hAnsi="Arial"/>
          <w:sz w:val="22"/>
          <w:szCs w:val="22"/>
          <w:b w:val="1"/>
          <w:bCs w:val="1"/>
          <w:color w:val="auto"/>
        </w:rPr>
      </w:pPr>
    </w:p>
    <w:p>
      <w:pPr>
        <w:jc w:val="both"/>
        <w:ind w:firstLine="872"/>
        <w:spacing w:after="0" w:line="273" w:lineRule="auto"/>
        <w:tabs>
          <w:tab w:leader="none" w:pos="1751" w:val="left"/>
        </w:tabs>
        <w:numPr>
          <w:ilvl w:val="1"/>
          <w:numId w:val="36"/>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No Employment or Other Service Rights. </w:t>
      </w:r>
      <w:r>
        <w:rPr>
          <w:rFonts w:ascii="Arial" w:cs="Arial" w:eastAsia="Arial" w:hAnsi="Arial"/>
          <w:sz w:val="19"/>
          <w:szCs w:val="19"/>
          <w:color w:val="auto"/>
        </w:rPr>
        <w:t>Nothing in the Plan, any Award Agreement or any other</w:t>
      </w:r>
      <w:r>
        <w:rPr>
          <w:rFonts w:ascii="Arial" w:cs="Arial" w:eastAsia="Arial" w:hAnsi="Arial"/>
          <w:sz w:val="19"/>
          <w:szCs w:val="19"/>
          <w:b w:val="1"/>
          <w:bCs w:val="1"/>
          <w:color w:val="auto"/>
        </w:rPr>
        <w:t xml:space="preserve"> </w:t>
      </w:r>
      <w:r>
        <w:rPr>
          <w:rFonts w:ascii="Arial" w:cs="Arial" w:eastAsia="Arial" w:hAnsi="Arial"/>
          <w:sz w:val="19"/>
          <w:szCs w:val="19"/>
          <w:color w:val="auto"/>
        </w:rPr>
        <w:t>instrument executed thereunder or in connection with any Award granted pursuant thereto will confer upon any Participant any right to continue to serve the Company or an Affiliate in the capacity in effect at the time the Award was granted or affect the right of the Company or an Affiliate to terminate at will and without regard to any future vesting opportunity that a Participant may have with respect to any Award (i) the employment of an Employee with or without notice and with or without cause, (ii) the service of a Consultant pursuant to the terms of such Consultant’s agreement with the Company or an Affiliate, or (iii) the service of a Director pursuant to the Bylaws of the Company or an Affiliate, and any applicable provisions of the corporate law of the state or foreign jurisdiction in which the Company or the Affiliate is incorporated, as the case may be. Further, nothing in the Plan, any Award Agreement or any other instrument executed thereunder or in connection with any Award will constitute any promise or commitment by the Company or an Affiliate regarding the fact or nature of future positions, future work assignments, future compensation or any other term or condition of employment or service or confer any right or benefit under the Award or the Plan unless such right or benefit has specifically accrued under the terms of the Award Agreement and/or Plan.</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51" w:name="page52"/>
    <w:bookmarkEnd w:id="51"/>
    <w:p>
      <w:pPr>
        <w:jc w:val="both"/>
        <w:ind w:firstLine="872"/>
        <w:spacing w:after="0" w:line="246" w:lineRule="auto"/>
        <w:tabs>
          <w:tab w:leader="none" w:pos="1727" w:val="left"/>
        </w:tabs>
        <w:numPr>
          <w:ilvl w:val="1"/>
          <w:numId w:val="37"/>
        </w:numPr>
        <w:rPr>
          <w:rFonts w:ascii="Arial" w:cs="Arial" w:eastAsia="Arial" w:hAnsi="Arial"/>
          <w:sz w:val="21"/>
          <w:szCs w:val="21"/>
          <w:b w:val="1"/>
          <w:bCs w:val="1"/>
          <w:color w:val="auto"/>
        </w:rPr>
      </w:pPr>
      <w:r>
        <w:rPr>
          <w:rFonts w:ascii="Arial" w:cs="Arial" w:eastAsia="Arial" w:hAnsi="Arial"/>
          <w:sz w:val="21"/>
          <w:szCs w:val="21"/>
          <w:b w:val="1"/>
          <w:bCs w:val="1"/>
          <w:color w:val="auto"/>
        </w:rPr>
        <w:t>Change in Time Commitment</w:t>
      </w:r>
      <w:r>
        <w:rPr>
          <w:rFonts w:ascii="Arial" w:cs="Arial" w:eastAsia="Arial" w:hAnsi="Arial"/>
          <w:sz w:val="21"/>
          <w:szCs w:val="21"/>
          <w:color w:val="auto"/>
        </w:rPr>
        <w:t>. In the event a Participant’s regular level of time commitment in the</w:t>
      </w:r>
      <w:r>
        <w:rPr>
          <w:rFonts w:ascii="Arial" w:cs="Arial" w:eastAsia="Arial" w:hAnsi="Arial"/>
          <w:sz w:val="21"/>
          <w:szCs w:val="21"/>
          <w:b w:val="1"/>
          <w:bCs w:val="1"/>
          <w:color w:val="auto"/>
        </w:rPr>
        <w:t xml:space="preserve"> </w:t>
      </w:r>
      <w:r>
        <w:rPr>
          <w:rFonts w:ascii="Arial" w:cs="Arial" w:eastAsia="Arial" w:hAnsi="Arial"/>
          <w:sz w:val="21"/>
          <w:szCs w:val="21"/>
          <w:color w:val="auto"/>
        </w:rPr>
        <w:t>performance of his or her services for the Company and any Affiliates is reduced (for example, and without limitation, if the Participant is an Employee of the Company and the Employee has a change in status from a full-time Employee to a part-time Employee or takes an extended leave of absence) after the date of grant of any Award to the Participant, the Board may determine, to the extent permitted by Applicable Law, to (i) make a corresponding reduction in the number of shares or cash amount subject to any portion of such Award that is scheduled to vest or become payable after the date of such change in time commitment, and (ii) in lieu of or in combination with such a reduction, extend the vesting or payment schedule applicable to such Award. In the event of any such reduction, the Participant will have no right with respect to any portion of the Award that is so reduced or extended.</w:t>
      </w:r>
    </w:p>
    <w:p>
      <w:pPr>
        <w:spacing w:after="0" w:line="175" w:lineRule="exact"/>
        <w:rPr>
          <w:rFonts w:ascii="Arial" w:cs="Arial" w:eastAsia="Arial" w:hAnsi="Arial"/>
          <w:sz w:val="21"/>
          <w:szCs w:val="21"/>
          <w:b w:val="1"/>
          <w:bCs w:val="1"/>
          <w:color w:val="auto"/>
        </w:rPr>
      </w:pPr>
    </w:p>
    <w:p>
      <w:pPr>
        <w:jc w:val="both"/>
        <w:ind w:firstLine="872"/>
        <w:spacing w:after="0" w:line="239" w:lineRule="auto"/>
        <w:tabs>
          <w:tab w:leader="none" w:pos="1763" w:val="left"/>
        </w:tabs>
        <w:numPr>
          <w:ilvl w:val="1"/>
          <w:numId w:val="37"/>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Execution of Additional Documents. </w:t>
      </w:r>
      <w:r>
        <w:rPr>
          <w:rFonts w:ascii="Arial" w:cs="Arial" w:eastAsia="Arial" w:hAnsi="Arial"/>
          <w:sz w:val="22"/>
          <w:szCs w:val="22"/>
          <w:color w:val="auto"/>
        </w:rPr>
        <w:t>As a condition to accepting an Award under the Plan, the Participant</w:t>
      </w:r>
      <w:r>
        <w:rPr>
          <w:rFonts w:ascii="Arial" w:cs="Arial" w:eastAsia="Arial" w:hAnsi="Arial"/>
          <w:sz w:val="22"/>
          <w:szCs w:val="22"/>
          <w:b w:val="1"/>
          <w:bCs w:val="1"/>
          <w:color w:val="auto"/>
        </w:rPr>
        <w:t xml:space="preserve"> </w:t>
      </w:r>
      <w:r>
        <w:rPr>
          <w:rFonts w:ascii="Arial" w:cs="Arial" w:eastAsia="Arial" w:hAnsi="Arial"/>
          <w:sz w:val="22"/>
          <w:szCs w:val="22"/>
          <w:color w:val="auto"/>
        </w:rPr>
        <w:t>agrees to execute any additional documents or instruments necessary or desirable, as determined in the Plan Administrator’s sole discretion, to carry out the purposes or intent of the Award, or facilitate compliance with securities and/or other regulatory requirements, in each case at the Plan Administrator’s request.</w:t>
      </w:r>
    </w:p>
    <w:p>
      <w:pPr>
        <w:spacing w:after="0" w:line="180" w:lineRule="exact"/>
        <w:rPr>
          <w:rFonts w:ascii="Arial" w:cs="Arial" w:eastAsia="Arial" w:hAnsi="Arial"/>
          <w:sz w:val="22"/>
          <w:szCs w:val="22"/>
          <w:b w:val="1"/>
          <w:bCs w:val="1"/>
          <w:color w:val="auto"/>
        </w:rPr>
      </w:pPr>
    </w:p>
    <w:p>
      <w:pPr>
        <w:jc w:val="both"/>
        <w:ind w:firstLine="872"/>
        <w:spacing w:after="0" w:line="278" w:lineRule="auto"/>
        <w:tabs>
          <w:tab w:leader="none" w:pos="1775" w:val="left"/>
        </w:tabs>
        <w:numPr>
          <w:ilvl w:val="1"/>
          <w:numId w:val="37"/>
        </w:numPr>
        <w:rPr>
          <w:rFonts w:ascii="Arial" w:cs="Arial" w:eastAsia="Arial" w:hAnsi="Arial"/>
          <w:sz w:val="19"/>
          <w:szCs w:val="19"/>
          <w:b w:val="1"/>
          <w:bCs w:val="1"/>
          <w:color w:val="auto"/>
        </w:rPr>
      </w:pPr>
      <w:r>
        <w:rPr>
          <w:rFonts w:ascii="Arial" w:cs="Arial" w:eastAsia="Arial" w:hAnsi="Arial"/>
          <w:sz w:val="19"/>
          <w:szCs w:val="19"/>
          <w:b w:val="1"/>
          <w:bCs w:val="1"/>
          <w:color w:val="auto"/>
        </w:rPr>
        <w:t>Electronic Delivery and Participation</w:t>
      </w:r>
      <w:r>
        <w:rPr>
          <w:rFonts w:ascii="Arial" w:cs="Arial" w:eastAsia="Arial" w:hAnsi="Arial"/>
          <w:sz w:val="19"/>
          <w:szCs w:val="19"/>
          <w:color w:val="auto"/>
        </w:rPr>
        <w:t>. Any reference herein or in an Award Agreement to a “written”</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or document will include any agreement or document delivered electronically, filed publicly at www.sec.gov (or any successor website thereto) or posted on the Company’s intranet (or other shared electronic medium controlled by the Company to which the Participant has access). By accepting any Award the Participant consents to receive documents by electronic delivery and to participate in the Plan through any on-line electronic system established and maintained by the Plan Administrator or another third party selected by the Plan Administrator. The form of delivery of any Common Stock (e.g., a stock certificate or electronic entry evidencing such shares) shall be determined by the Company.</w:t>
      </w:r>
    </w:p>
    <w:p>
      <w:pPr>
        <w:spacing w:after="0" w:line="145" w:lineRule="exact"/>
        <w:rPr>
          <w:rFonts w:ascii="Arial" w:cs="Arial" w:eastAsia="Arial" w:hAnsi="Arial"/>
          <w:sz w:val="19"/>
          <w:szCs w:val="19"/>
          <w:b w:val="1"/>
          <w:bCs w:val="1"/>
          <w:color w:val="auto"/>
        </w:rPr>
      </w:pPr>
    </w:p>
    <w:p>
      <w:pPr>
        <w:jc w:val="both"/>
        <w:ind w:firstLine="872"/>
        <w:spacing w:after="0" w:line="274" w:lineRule="auto"/>
        <w:tabs>
          <w:tab w:leader="none" w:pos="1715" w:val="left"/>
        </w:tabs>
        <w:numPr>
          <w:ilvl w:val="1"/>
          <w:numId w:val="37"/>
        </w:numPr>
        <w:rPr>
          <w:rFonts w:ascii="Arial" w:cs="Arial" w:eastAsia="Arial" w:hAnsi="Arial"/>
          <w:sz w:val="19"/>
          <w:szCs w:val="19"/>
          <w:b w:val="1"/>
          <w:bCs w:val="1"/>
          <w:color w:val="auto"/>
        </w:rPr>
      </w:pPr>
      <w:r>
        <w:rPr>
          <w:rFonts w:ascii="Arial" w:cs="Arial" w:eastAsia="Arial" w:hAnsi="Arial"/>
          <w:sz w:val="19"/>
          <w:szCs w:val="19"/>
          <w:b w:val="1"/>
          <w:bCs w:val="1"/>
          <w:color w:val="auto"/>
        </w:rPr>
        <w:t>Clawback/Recovery</w:t>
      </w:r>
      <w:r>
        <w:rPr>
          <w:rFonts w:ascii="Arial" w:cs="Arial" w:eastAsia="Arial" w:hAnsi="Arial"/>
          <w:sz w:val="19"/>
          <w:szCs w:val="19"/>
          <w:color w:val="auto"/>
        </w:rPr>
        <w:t>. All Awards granted under the Plan will be subject to recoupment in accordance with</w:t>
      </w:r>
      <w:r>
        <w:rPr>
          <w:rFonts w:ascii="Arial" w:cs="Arial" w:eastAsia="Arial" w:hAnsi="Arial"/>
          <w:sz w:val="19"/>
          <w:szCs w:val="19"/>
          <w:b w:val="1"/>
          <w:bCs w:val="1"/>
          <w:color w:val="auto"/>
        </w:rPr>
        <w:t xml:space="preserve"> </w:t>
      </w:r>
      <w:r>
        <w:rPr>
          <w:rFonts w:ascii="Arial" w:cs="Arial" w:eastAsia="Arial" w:hAnsi="Arial"/>
          <w:sz w:val="19"/>
          <w:szCs w:val="19"/>
          <w:color w:val="auto"/>
        </w:rPr>
        <w:t>any clawback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 and any clawback policy that the Company otherwise adopts, to the extent applicable and permissible under Applicable Law. In addition, the Board may impose such other clawback, recovery or recoupment provisions in an Award Agreement as the Board determines necessary or appropriate, including but not limited to a reacquisition right in respect of previously acquired shares of Common Stock or other cash or property upon the occurrence of Cause. No recovery of compensation under such a clawback policy will be an event giving rise to a Participant’s right to voluntary terminate employment upon a “resignation for good reason,” or for a “constructive termination” or any similar term under any plan of or agreement with the Company.</w:t>
      </w:r>
    </w:p>
    <w:p>
      <w:pPr>
        <w:spacing w:after="0" w:line="151" w:lineRule="exact"/>
        <w:rPr>
          <w:rFonts w:ascii="Arial" w:cs="Arial" w:eastAsia="Arial" w:hAnsi="Arial"/>
          <w:sz w:val="19"/>
          <w:szCs w:val="19"/>
          <w:b w:val="1"/>
          <w:bCs w:val="1"/>
          <w:color w:val="auto"/>
        </w:rPr>
      </w:pPr>
    </w:p>
    <w:p>
      <w:pPr>
        <w:ind w:left="1740" w:hanging="868"/>
        <w:spacing w:after="0"/>
        <w:tabs>
          <w:tab w:leader="none" w:pos="1740" w:val="left"/>
        </w:tabs>
        <w:numPr>
          <w:ilvl w:val="1"/>
          <w:numId w:val="37"/>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Securities Law Compliance. </w:t>
      </w:r>
      <w:r>
        <w:rPr>
          <w:rFonts w:ascii="Arial" w:cs="Arial" w:eastAsia="Arial" w:hAnsi="Arial"/>
          <w:sz w:val="19"/>
          <w:szCs w:val="19"/>
          <w:color w:val="auto"/>
        </w:rPr>
        <w:t>A Participant will not be issued any shares in respect of an Award unless either</w:t>
      </w:r>
    </w:p>
    <w:p>
      <w:pPr>
        <w:spacing w:after="0" w:line="48" w:lineRule="exact"/>
        <w:rPr>
          <w:rFonts w:ascii="Arial" w:cs="Arial" w:eastAsia="Arial" w:hAnsi="Arial"/>
          <w:sz w:val="19"/>
          <w:szCs w:val="19"/>
          <w:b w:val="1"/>
          <w:bCs w:val="1"/>
          <w:color w:val="auto"/>
        </w:rPr>
      </w:pPr>
    </w:p>
    <w:p>
      <w:pPr>
        <w:jc w:val="both"/>
        <w:ind w:firstLine="8"/>
        <w:spacing w:after="0" w:line="233" w:lineRule="auto"/>
        <w:tabs>
          <w:tab w:leader="none" w:pos="278" w:val="left"/>
        </w:tabs>
        <w:numPr>
          <w:ilvl w:val="0"/>
          <w:numId w:val="38"/>
        </w:numPr>
        <w:rPr>
          <w:rFonts w:ascii="Arial" w:cs="Arial" w:eastAsia="Arial" w:hAnsi="Arial"/>
          <w:sz w:val="22"/>
          <w:szCs w:val="22"/>
          <w:color w:val="auto"/>
        </w:rPr>
      </w:pPr>
      <w:r>
        <w:rPr>
          <w:rFonts w:ascii="Arial" w:cs="Arial" w:eastAsia="Arial" w:hAnsi="Arial"/>
          <w:sz w:val="22"/>
          <w:szCs w:val="22"/>
          <w:color w:val="auto"/>
        </w:rPr>
        <w:t>the shares are registered under the Securities Act; or (ii) the Company has determined that such issuance would be exempt from the registration requirements of the Securities Act. Each Award also must comply with other Applicable Law governing the Award, and a Participant will not receive such shares if the Company determines that such receipt would not be in material compliance with Applicable Law.</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52" w:name="page53"/>
    <w:bookmarkEnd w:id="52"/>
    <w:p>
      <w:pPr>
        <w:jc w:val="both"/>
        <w:ind w:firstLine="872"/>
        <w:spacing w:after="0" w:line="236" w:lineRule="auto"/>
        <w:tabs>
          <w:tab w:leader="none" w:pos="1775" w:val="left"/>
        </w:tabs>
        <w:numPr>
          <w:ilvl w:val="0"/>
          <w:numId w:val="39"/>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Transfer or Assignment of Awards; Issued Shares. </w:t>
      </w:r>
      <w:r>
        <w:rPr>
          <w:rFonts w:ascii="Arial" w:cs="Arial" w:eastAsia="Arial" w:hAnsi="Arial"/>
          <w:sz w:val="22"/>
          <w:szCs w:val="22"/>
          <w:color w:val="auto"/>
        </w:rPr>
        <w:t>Except as expressly provided in the Plan or the form</w:t>
      </w:r>
      <w:r>
        <w:rPr>
          <w:rFonts w:ascii="Arial" w:cs="Arial" w:eastAsia="Arial" w:hAnsi="Arial"/>
          <w:sz w:val="22"/>
          <w:szCs w:val="22"/>
          <w:b w:val="1"/>
          <w:bCs w:val="1"/>
          <w:color w:val="auto"/>
        </w:rPr>
        <w:t xml:space="preserve"> </w:t>
      </w:r>
      <w:r>
        <w:rPr>
          <w:rFonts w:ascii="Arial" w:cs="Arial" w:eastAsia="Arial" w:hAnsi="Arial"/>
          <w:sz w:val="22"/>
          <w:szCs w:val="22"/>
          <w:color w:val="auto"/>
        </w:rPr>
        <w:t>of Award Agreement, Awards granted under the Plan may not be transferred or assigned by the Participant. After the vested shares subject to an Award have been issued, or in the case of Restricted Stock and similar awards, after the issued shares have vested, the holder of such shares is free to assign, hypothecate, donate, encumber or otherwise dispose of any interest in such shares provided that any such actions are in compliance with the provisions herein, the terms of the Trading Policy and Applicable Law.</w:t>
      </w:r>
    </w:p>
    <w:p>
      <w:pPr>
        <w:spacing w:after="0" w:line="181" w:lineRule="exact"/>
        <w:rPr>
          <w:rFonts w:ascii="Arial" w:cs="Arial" w:eastAsia="Arial" w:hAnsi="Arial"/>
          <w:sz w:val="22"/>
          <w:szCs w:val="22"/>
          <w:b w:val="1"/>
          <w:bCs w:val="1"/>
          <w:color w:val="auto"/>
        </w:rPr>
      </w:pPr>
    </w:p>
    <w:p>
      <w:pPr>
        <w:jc w:val="both"/>
        <w:ind w:firstLine="872"/>
        <w:spacing w:after="0" w:line="237" w:lineRule="auto"/>
        <w:tabs>
          <w:tab w:leader="none" w:pos="1715" w:val="left"/>
        </w:tabs>
        <w:numPr>
          <w:ilvl w:val="0"/>
          <w:numId w:val="39"/>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Effect on Other Employee Benefit Plans. </w:t>
      </w:r>
      <w:r>
        <w:rPr>
          <w:rFonts w:ascii="Arial" w:cs="Arial" w:eastAsia="Arial" w:hAnsi="Arial"/>
          <w:sz w:val="22"/>
          <w:szCs w:val="22"/>
          <w:color w:val="auto"/>
        </w:rPr>
        <w:t>The value of any Award granted under the Plan, as determined</w:t>
      </w:r>
      <w:r>
        <w:rPr>
          <w:rFonts w:ascii="Arial" w:cs="Arial" w:eastAsia="Arial" w:hAnsi="Arial"/>
          <w:sz w:val="22"/>
          <w:szCs w:val="22"/>
          <w:b w:val="1"/>
          <w:bCs w:val="1"/>
          <w:color w:val="auto"/>
        </w:rPr>
        <w:t xml:space="preserve"> </w:t>
      </w:r>
      <w:r>
        <w:rPr>
          <w:rFonts w:ascii="Arial" w:cs="Arial" w:eastAsia="Arial" w:hAnsi="Arial"/>
          <w:sz w:val="22"/>
          <w:szCs w:val="22"/>
          <w:color w:val="auto"/>
        </w:rPr>
        <w:t>upon grant, vesting or settlement, shall not be included as compensation, earnings, salaries, or other similar terms used when calculating any Participant’s benefits under any employee benefit plan sponsored by the Company or any Affiliate, except as such plan otherwise expressly provides. The Company expressly reserves its rights to amend, modify, or terminate any of the Company's or any Affiliate's employee benefit plans.</w:t>
      </w:r>
    </w:p>
    <w:p>
      <w:pPr>
        <w:spacing w:after="0" w:line="181" w:lineRule="exact"/>
        <w:rPr>
          <w:rFonts w:ascii="Arial" w:cs="Arial" w:eastAsia="Arial" w:hAnsi="Arial"/>
          <w:sz w:val="22"/>
          <w:szCs w:val="22"/>
          <w:b w:val="1"/>
          <w:bCs w:val="1"/>
          <w:color w:val="auto"/>
        </w:rPr>
      </w:pPr>
    </w:p>
    <w:p>
      <w:pPr>
        <w:jc w:val="both"/>
        <w:ind w:firstLine="872"/>
        <w:spacing w:after="0" w:line="239" w:lineRule="auto"/>
        <w:tabs>
          <w:tab w:leader="none" w:pos="1835" w:val="left"/>
        </w:tabs>
        <w:numPr>
          <w:ilvl w:val="0"/>
          <w:numId w:val="39"/>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Deferrals. </w:t>
      </w:r>
      <w:r>
        <w:rPr>
          <w:rFonts w:ascii="Arial" w:cs="Arial" w:eastAsia="Arial" w:hAnsi="Arial"/>
          <w:sz w:val="22"/>
          <w:szCs w:val="22"/>
          <w:color w:val="auto"/>
        </w:rPr>
        <w:t>To the extent permitted by Applicable Law, the Board, in its sole discretion, may determine that</w:t>
      </w:r>
      <w:r>
        <w:rPr>
          <w:rFonts w:ascii="Arial" w:cs="Arial" w:eastAsia="Arial" w:hAnsi="Arial"/>
          <w:sz w:val="22"/>
          <w:szCs w:val="22"/>
          <w:b w:val="1"/>
          <w:bCs w:val="1"/>
          <w:color w:val="auto"/>
        </w:rPr>
        <w:t xml:space="preserve"> </w:t>
      </w:r>
      <w:r>
        <w:rPr>
          <w:rFonts w:ascii="Arial" w:cs="Arial" w:eastAsia="Arial" w:hAnsi="Arial"/>
          <w:sz w:val="22"/>
          <w:szCs w:val="22"/>
          <w:color w:val="auto"/>
        </w:rPr>
        <w:t>the delivery of Common Stock or the payment of cash, upon the exercise, vesting or settlement of all or a portion of any Award may be deferred and may also establish programs and procedures for deferral elections to be made by Participants. Deferrals by will be made in accordance with the requirements of Section 409A.</w:t>
      </w:r>
    </w:p>
    <w:p>
      <w:pPr>
        <w:spacing w:after="0" w:line="180" w:lineRule="exact"/>
        <w:rPr>
          <w:rFonts w:ascii="Arial" w:cs="Arial" w:eastAsia="Arial" w:hAnsi="Arial"/>
          <w:sz w:val="22"/>
          <w:szCs w:val="22"/>
          <w:b w:val="1"/>
          <w:bCs w:val="1"/>
          <w:color w:val="auto"/>
        </w:rPr>
      </w:pPr>
    </w:p>
    <w:p>
      <w:pPr>
        <w:jc w:val="both"/>
        <w:ind w:firstLine="872"/>
        <w:spacing w:after="0" w:line="272" w:lineRule="auto"/>
        <w:tabs>
          <w:tab w:leader="none" w:pos="1775" w:val="left"/>
        </w:tabs>
        <w:numPr>
          <w:ilvl w:val="0"/>
          <w:numId w:val="39"/>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Section 409A. </w:t>
      </w:r>
      <w:r>
        <w:rPr>
          <w:rFonts w:ascii="Arial" w:cs="Arial" w:eastAsia="Arial" w:hAnsi="Arial"/>
          <w:sz w:val="19"/>
          <w:szCs w:val="19"/>
          <w:color w:val="auto"/>
        </w:rPr>
        <w:t>Unless otherwise expressly provided for in an Award Agreement, the Plan and Award</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Agreements will be interpreted to the greatest extent possible in a manner that makes the Plan and the Awards granted hereunder exempt from Section 409A, and, to the extent not so exempt, in compliance with the requirements of Section 409A. If the Board determines that any Award granted hereunder is not exempt from and is therefore subject to Section 409A, the Award Agreement evidencing such Award will incorporate the terms and conditions necessary to avoid the consequences specified in Section 409A(a)(1) of the Code, and to the extent an Award Agreement is silent on terms necessary for compliance, such terms are hereby incorporated by reference into the Award Agreement. Notwithstanding anything to the contrary in this Plan (and unless the Award Agreement specifically provides otherwise), if the shares of Common Stock are publicly traded, and if a Participant holding an Award that constitutes “deferred compensation” under Section 409A is a “specified employee” for purposes of Section 409A, no distribution or payment of any amount that is due because of a “separation from service” (as defined in Section 409A without regard to alternative definitions thereunder) will be issued or paid before the date that is six months and one day following the date of such Participant’s “separation from service” or, if earlier, the date of the Participant’s death, unless such distribution or payment can be made in a manner that complies with Section 409A, and any amounts so deferred will be paid in a lump sum on the day after such six month period elapses, with the balance paid thereafter on the original schedule.</w:t>
      </w:r>
    </w:p>
    <w:p>
      <w:pPr>
        <w:spacing w:after="0" w:line="151" w:lineRule="exact"/>
        <w:rPr>
          <w:rFonts w:ascii="Arial" w:cs="Arial" w:eastAsia="Arial" w:hAnsi="Arial"/>
          <w:sz w:val="19"/>
          <w:szCs w:val="19"/>
          <w:b w:val="1"/>
          <w:bCs w:val="1"/>
          <w:color w:val="auto"/>
        </w:rPr>
      </w:pPr>
    </w:p>
    <w:p>
      <w:pPr>
        <w:jc w:val="both"/>
        <w:ind w:firstLine="872"/>
        <w:spacing w:after="0" w:line="243" w:lineRule="auto"/>
        <w:tabs>
          <w:tab w:leader="none" w:pos="1763" w:val="left"/>
        </w:tabs>
        <w:numPr>
          <w:ilvl w:val="0"/>
          <w:numId w:val="39"/>
        </w:numPr>
        <w:rPr>
          <w:rFonts w:ascii="Arial" w:cs="Arial" w:eastAsia="Arial" w:hAnsi="Arial"/>
          <w:sz w:val="22"/>
          <w:szCs w:val="22"/>
          <w:b w:val="1"/>
          <w:bCs w:val="1"/>
          <w:color w:val="auto"/>
        </w:rPr>
      </w:pPr>
      <w:r>
        <w:rPr>
          <w:rFonts w:ascii="Arial" w:cs="Arial" w:eastAsia="Arial" w:hAnsi="Arial"/>
          <w:sz w:val="22"/>
          <w:szCs w:val="22"/>
          <w:b w:val="1"/>
          <w:bCs w:val="1"/>
          <w:color w:val="auto"/>
        </w:rPr>
        <w:t>C</w:t>
      </w:r>
      <w:r>
        <w:rPr>
          <w:rFonts w:ascii="Arial" w:cs="Arial" w:eastAsia="Arial" w:hAnsi="Arial"/>
          <w:sz w:val="14"/>
          <w:szCs w:val="14"/>
          <w:b w:val="1"/>
          <w:bCs w:val="1"/>
          <w:color w:val="auto"/>
        </w:rPr>
        <w:t>HOICE OF</w:t>
      </w:r>
      <w:r>
        <w:rPr>
          <w:rFonts w:ascii="Arial" w:cs="Arial" w:eastAsia="Arial" w:hAnsi="Arial"/>
          <w:sz w:val="22"/>
          <w:szCs w:val="22"/>
          <w:b w:val="1"/>
          <w:bCs w:val="1"/>
          <w:color w:val="auto"/>
        </w:rPr>
        <w:t xml:space="preserve"> L</w:t>
      </w:r>
      <w:r>
        <w:rPr>
          <w:rFonts w:ascii="Arial" w:cs="Arial" w:eastAsia="Arial" w:hAnsi="Arial"/>
          <w:sz w:val="14"/>
          <w:szCs w:val="14"/>
          <w:b w:val="1"/>
          <w:bCs w:val="1"/>
          <w:color w:val="auto"/>
        </w:rPr>
        <w:t>AW</w:t>
      </w:r>
      <w:r>
        <w:rPr>
          <w:rFonts w:ascii="Arial" w:cs="Arial" w:eastAsia="Arial" w:hAnsi="Arial"/>
          <w:sz w:val="22"/>
          <w:szCs w:val="22"/>
          <w:b w:val="1"/>
          <w:bCs w:val="1"/>
          <w:color w:val="auto"/>
        </w:rPr>
        <w:t xml:space="preserve">. </w:t>
      </w:r>
      <w:r>
        <w:rPr>
          <w:rFonts w:ascii="Arial" w:cs="Arial" w:eastAsia="Arial" w:hAnsi="Arial"/>
          <w:sz w:val="22"/>
          <w:szCs w:val="22"/>
          <w:color w:val="auto"/>
        </w:rPr>
        <w:t>This Plan and any controversy arising out of or relating to this Plan shall be governed by,</w:t>
      </w:r>
      <w:r>
        <w:rPr>
          <w:rFonts w:ascii="Arial" w:cs="Arial" w:eastAsia="Arial" w:hAnsi="Arial"/>
          <w:sz w:val="22"/>
          <w:szCs w:val="22"/>
          <w:b w:val="1"/>
          <w:bCs w:val="1"/>
          <w:color w:val="auto"/>
        </w:rPr>
        <w:t xml:space="preserve"> </w:t>
      </w:r>
      <w:r>
        <w:rPr>
          <w:rFonts w:ascii="Arial" w:cs="Arial" w:eastAsia="Arial" w:hAnsi="Arial"/>
          <w:sz w:val="22"/>
          <w:szCs w:val="22"/>
          <w:color w:val="auto"/>
        </w:rPr>
        <w:t>and construed in accordance with, the internal laws of the State of Delaware, without regard to conflict of law principles that would result in any application of any law other than the law of the State of Delaware.</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53" w:name="page54"/>
    <w:bookmarkEnd w:id="53"/>
    <w:p>
      <w:pPr>
        <w:ind w:left="920" w:hanging="912"/>
        <w:spacing w:after="0"/>
        <w:tabs>
          <w:tab w:leader="none" w:pos="920" w:val="left"/>
        </w:tabs>
        <w:numPr>
          <w:ilvl w:val="0"/>
          <w:numId w:val="40"/>
        </w:numPr>
        <w:rPr>
          <w:rFonts w:ascii="Arial" w:cs="Arial" w:eastAsia="Arial" w:hAnsi="Arial"/>
          <w:sz w:val="22"/>
          <w:szCs w:val="22"/>
          <w:b w:val="1"/>
          <w:bCs w:val="1"/>
          <w:color w:val="auto"/>
        </w:rPr>
      </w:pPr>
      <w:r>
        <w:rPr>
          <w:rFonts w:ascii="Arial" w:cs="Arial" w:eastAsia="Arial" w:hAnsi="Arial"/>
          <w:sz w:val="22"/>
          <w:szCs w:val="22"/>
          <w:b w:val="1"/>
          <w:bCs w:val="1"/>
          <w:color w:val="auto"/>
        </w:rPr>
        <w:t>C</w:t>
      </w:r>
      <w:r>
        <w:rPr>
          <w:rFonts w:ascii="Arial" w:cs="Arial" w:eastAsia="Arial" w:hAnsi="Arial"/>
          <w:sz w:val="14"/>
          <w:szCs w:val="14"/>
          <w:b w:val="1"/>
          <w:bCs w:val="1"/>
          <w:color w:val="auto"/>
        </w:rPr>
        <w:t>OVENANTS OF THE</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OMPANY</w:t>
      </w:r>
      <w:r>
        <w:rPr>
          <w:rFonts w:ascii="Arial" w:cs="Arial" w:eastAsia="Arial" w:hAnsi="Arial"/>
          <w:sz w:val="22"/>
          <w:szCs w:val="22"/>
          <w:b w:val="1"/>
          <w:bCs w:val="1"/>
          <w:color w:val="auto"/>
        </w:rPr>
        <w:t>.</w:t>
      </w:r>
    </w:p>
    <w:p>
      <w:pPr>
        <w:spacing w:after="0" w:line="206" w:lineRule="exact"/>
        <w:rPr>
          <w:rFonts w:ascii="Arial" w:cs="Arial" w:eastAsia="Arial" w:hAnsi="Arial"/>
          <w:sz w:val="22"/>
          <w:szCs w:val="22"/>
          <w:b w:val="1"/>
          <w:bCs w:val="1"/>
          <w:color w:val="auto"/>
        </w:rPr>
      </w:pPr>
    </w:p>
    <w:p>
      <w:pPr>
        <w:jc w:val="both"/>
        <w:ind w:firstLine="872"/>
        <w:spacing w:after="0" w:line="245" w:lineRule="auto"/>
        <w:tabs>
          <w:tab w:leader="none" w:pos="1763" w:val="left"/>
        </w:tabs>
        <w:numPr>
          <w:ilvl w:val="1"/>
          <w:numId w:val="40"/>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Compliance with Law. </w:t>
      </w:r>
      <w:r>
        <w:rPr>
          <w:rFonts w:ascii="Arial" w:cs="Arial" w:eastAsia="Arial" w:hAnsi="Arial"/>
          <w:sz w:val="21"/>
          <w:szCs w:val="21"/>
          <w:color w:val="auto"/>
        </w:rPr>
        <w:t>The Company will seek to obtain from each regulatory commission or agency, as</w:t>
      </w:r>
      <w:r>
        <w:rPr>
          <w:rFonts w:ascii="Arial" w:cs="Arial" w:eastAsia="Arial" w:hAnsi="Arial"/>
          <w:sz w:val="21"/>
          <w:szCs w:val="21"/>
          <w:b w:val="1"/>
          <w:bCs w:val="1"/>
          <w:color w:val="auto"/>
        </w:rPr>
        <w:t xml:space="preserve"> </w:t>
      </w:r>
      <w:r>
        <w:rPr>
          <w:rFonts w:ascii="Arial" w:cs="Arial" w:eastAsia="Arial" w:hAnsi="Arial"/>
          <w:sz w:val="21"/>
          <w:szCs w:val="21"/>
          <w:color w:val="auto"/>
        </w:rPr>
        <w:t>may be deemed to be necessary, having jurisdiction over the Plan such authority as may be required to grant Awards and to issue and sell shares of Common Stock upon exercise or vesting of the Awards; provided, however, that this undertaking will not require the Company to register under the Securities Act the Plan, any Award or any Common Stock issued or issuable pursuant to any such Award. If, after reasonable efforts and at a reasonable cost, the Company is unable to obtain from any such regulatory commission or agency the authority that counsel for the Company deems necessary or advisable for the lawful issuance and sale of Common Stock under the Plan, the Company will be relieved from any liability for failure to issue and sell Common Stock upon exercise or vesting of such Awards unless and until such authority is obtained. A Participant is not eligible for the grant of an Award or the subsequent issuance of Common Stock pursuant to the Award if such grant or issuance would be in violation of any Applicable Law.</w:t>
      </w:r>
    </w:p>
    <w:p>
      <w:pPr>
        <w:spacing w:after="0" w:line="180" w:lineRule="exact"/>
        <w:rPr>
          <w:rFonts w:ascii="Arial" w:cs="Arial" w:eastAsia="Arial" w:hAnsi="Arial"/>
          <w:sz w:val="21"/>
          <w:szCs w:val="21"/>
          <w:b w:val="1"/>
          <w:bCs w:val="1"/>
          <w:color w:val="auto"/>
        </w:rPr>
      </w:pPr>
    </w:p>
    <w:p>
      <w:pPr>
        <w:ind w:left="920" w:hanging="912"/>
        <w:spacing w:after="0"/>
        <w:tabs>
          <w:tab w:leader="none" w:pos="920" w:val="left"/>
        </w:tabs>
        <w:numPr>
          <w:ilvl w:val="0"/>
          <w:numId w:val="40"/>
        </w:numPr>
        <w:rPr>
          <w:rFonts w:ascii="Arial" w:cs="Arial" w:eastAsia="Arial" w:hAnsi="Arial"/>
          <w:sz w:val="22"/>
          <w:szCs w:val="22"/>
          <w:b w:val="1"/>
          <w:bCs w:val="1"/>
          <w:color w:val="auto"/>
        </w:rPr>
      </w:pPr>
      <w:r>
        <w:rPr>
          <w:rFonts w:ascii="Arial" w:cs="Arial" w:eastAsia="Arial" w:hAnsi="Arial"/>
          <w:sz w:val="22"/>
          <w:szCs w:val="22"/>
          <w:b w:val="1"/>
          <w:bCs w:val="1"/>
          <w:color w:val="auto"/>
        </w:rPr>
        <w:t>S</w:t>
      </w:r>
      <w:r>
        <w:rPr>
          <w:rFonts w:ascii="Arial" w:cs="Arial" w:eastAsia="Arial" w:hAnsi="Arial"/>
          <w:sz w:val="14"/>
          <w:szCs w:val="14"/>
          <w:b w:val="1"/>
          <w:bCs w:val="1"/>
          <w:color w:val="auto"/>
        </w:rPr>
        <w:t>EVERABILITY</w:t>
      </w:r>
      <w:r>
        <w:rPr>
          <w:rFonts w:ascii="Arial" w:cs="Arial" w:eastAsia="Arial" w:hAnsi="Arial"/>
          <w:sz w:val="22"/>
          <w:szCs w:val="22"/>
          <w:b w:val="1"/>
          <w:bCs w:val="1"/>
          <w:color w:val="auto"/>
        </w:rPr>
        <w:t>.</w:t>
      </w:r>
    </w:p>
    <w:p>
      <w:pPr>
        <w:spacing w:after="0" w:line="212" w:lineRule="exact"/>
        <w:rPr>
          <w:sz w:val="20"/>
          <w:szCs w:val="20"/>
          <w:color w:val="auto"/>
        </w:rPr>
      </w:pPr>
    </w:p>
    <w:p>
      <w:pPr>
        <w:jc w:val="both"/>
        <w:ind w:firstLine="864"/>
        <w:spacing w:after="0" w:line="236" w:lineRule="auto"/>
        <w:rPr>
          <w:sz w:val="20"/>
          <w:szCs w:val="20"/>
          <w:color w:val="auto"/>
        </w:rPr>
      </w:pPr>
      <w:r>
        <w:rPr>
          <w:rFonts w:ascii="Arial" w:cs="Arial" w:eastAsia="Arial" w:hAnsi="Arial"/>
          <w:sz w:val="22"/>
          <w:szCs w:val="22"/>
          <w:color w:val="auto"/>
        </w:rPr>
        <w:t>If all or any part of the Plan or any Award Agreement is declared by any court or governmental authority to be unlawful or invalid, such unlawfulness or invalidity shall not invalidate any portion of the Plan or such Award Agreement not declared to be unlawful or invalid. Any Section of the Plan or any Award Agreement (or part of such a Section) so declared to be unlawful or invalid shall, if possible, be construed in a manner which will give effect to the terms of such Section or part of a Section to the fullest extent possible while remaining lawful and valid.</w:t>
      </w:r>
    </w:p>
    <w:p>
      <w:pPr>
        <w:spacing w:after="0" w:line="181" w:lineRule="exact"/>
        <w:rPr>
          <w:sz w:val="20"/>
          <w:szCs w:val="20"/>
          <w:color w:val="auto"/>
        </w:rPr>
      </w:pPr>
    </w:p>
    <w:p>
      <w:pPr>
        <w:ind w:left="920" w:hanging="912"/>
        <w:spacing w:after="0"/>
        <w:tabs>
          <w:tab w:leader="none" w:pos="920" w:val="left"/>
        </w:tabs>
        <w:numPr>
          <w:ilvl w:val="0"/>
          <w:numId w:val="41"/>
        </w:numPr>
        <w:rPr>
          <w:rFonts w:ascii="Arial" w:cs="Arial" w:eastAsia="Arial" w:hAnsi="Arial"/>
          <w:sz w:val="22"/>
          <w:szCs w:val="22"/>
          <w:b w:val="1"/>
          <w:bCs w:val="1"/>
          <w:color w:val="auto"/>
        </w:rPr>
      </w:pPr>
      <w:r>
        <w:rPr>
          <w:rFonts w:ascii="Arial" w:cs="Arial" w:eastAsia="Arial" w:hAnsi="Arial"/>
          <w:sz w:val="22"/>
          <w:szCs w:val="22"/>
          <w:b w:val="1"/>
          <w:bCs w:val="1"/>
          <w:color w:val="auto"/>
        </w:rPr>
        <w:t>T</w:t>
      </w:r>
      <w:r>
        <w:rPr>
          <w:rFonts w:ascii="Arial" w:cs="Arial" w:eastAsia="Arial" w:hAnsi="Arial"/>
          <w:sz w:val="14"/>
          <w:szCs w:val="14"/>
          <w:b w:val="1"/>
          <w:bCs w:val="1"/>
          <w:color w:val="auto"/>
        </w:rPr>
        <w:t>ERMINATION OF THE</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22"/>
          <w:szCs w:val="22"/>
          <w:b w:val="1"/>
          <w:bCs w:val="1"/>
          <w:color w:val="auto"/>
        </w:rPr>
        <w:t>.</w:t>
      </w:r>
    </w:p>
    <w:p>
      <w:pPr>
        <w:spacing w:after="0" w:line="212" w:lineRule="exact"/>
        <w:rPr>
          <w:sz w:val="20"/>
          <w:szCs w:val="20"/>
          <w:color w:val="auto"/>
        </w:rPr>
      </w:pPr>
    </w:p>
    <w:p>
      <w:pPr>
        <w:jc w:val="both"/>
        <w:ind w:firstLine="864"/>
        <w:spacing w:after="0" w:line="282" w:lineRule="auto"/>
        <w:rPr>
          <w:sz w:val="20"/>
          <w:szCs w:val="20"/>
          <w:color w:val="auto"/>
        </w:rPr>
      </w:pPr>
      <w:r>
        <w:rPr>
          <w:rFonts w:ascii="Arial" w:cs="Arial" w:eastAsia="Arial" w:hAnsi="Arial"/>
          <w:sz w:val="19"/>
          <w:szCs w:val="19"/>
          <w:color w:val="auto"/>
        </w:rPr>
        <w:t>The Board may suspend or terminate the Plan at any time. Unless sooner terminated by the Board, the Plan shall terminate upon the earliest to occur of (i) April 20, 2028, (ii) the date on which all shares available for issuance under the Plan shall have been issued as fully vested shares or (iii) the termination of all outstanding Awards in connection with a Change in Control. No Incentive Stock Options may be granted after the tenth anniversary of the earlier of: (i) the Adoption Date, or (ii) the Effective Date. No Awards may be granted under the Plan while the Plan is suspended or after it is terminated.</w:t>
      </w:r>
    </w:p>
    <w:p>
      <w:pPr>
        <w:spacing w:after="0" w:line="141" w:lineRule="exact"/>
        <w:rPr>
          <w:sz w:val="20"/>
          <w:szCs w:val="20"/>
          <w:color w:val="auto"/>
        </w:rPr>
      </w:pPr>
    </w:p>
    <w:p>
      <w:pPr>
        <w:ind w:left="920" w:hanging="912"/>
        <w:spacing w:after="0"/>
        <w:tabs>
          <w:tab w:leader="none" w:pos="920" w:val="left"/>
        </w:tabs>
        <w:numPr>
          <w:ilvl w:val="0"/>
          <w:numId w:val="42"/>
        </w:numPr>
        <w:rPr>
          <w:rFonts w:ascii="Arial" w:cs="Arial" w:eastAsia="Arial" w:hAnsi="Arial"/>
          <w:sz w:val="22"/>
          <w:szCs w:val="22"/>
          <w:b w:val="1"/>
          <w:bCs w:val="1"/>
          <w:color w:val="auto"/>
        </w:rPr>
      </w:pPr>
      <w:r>
        <w:rPr>
          <w:rFonts w:ascii="Arial" w:cs="Arial" w:eastAsia="Arial" w:hAnsi="Arial"/>
          <w:sz w:val="22"/>
          <w:szCs w:val="22"/>
          <w:b w:val="1"/>
          <w:bCs w:val="1"/>
          <w:color w:val="auto"/>
        </w:rPr>
        <w:t>D</w:t>
      </w:r>
      <w:r>
        <w:rPr>
          <w:rFonts w:ascii="Arial" w:cs="Arial" w:eastAsia="Arial" w:hAnsi="Arial"/>
          <w:sz w:val="14"/>
          <w:szCs w:val="14"/>
          <w:b w:val="1"/>
          <w:bCs w:val="1"/>
          <w:color w:val="auto"/>
        </w:rPr>
        <w:t>EFINITIONS</w:t>
      </w:r>
      <w:r>
        <w:rPr>
          <w:rFonts w:ascii="Arial" w:cs="Arial" w:eastAsia="Arial" w:hAnsi="Arial"/>
          <w:sz w:val="22"/>
          <w:szCs w:val="22"/>
          <w:b w:val="1"/>
          <w:bCs w:val="1"/>
          <w:color w:val="auto"/>
        </w:rPr>
        <w:t>.</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As used in the Plan, the following definitions apply to the capitalized terms indicated below:</w:t>
      </w:r>
    </w:p>
    <w:p>
      <w:pPr>
        <w:spacing w:after="0" w:line="206" w:lineRule="exact"/>
        <w:rPr>
          <w:sz w:val="20"/>
          <w:szCs w:val="20"/>
          <w:color w:val="auto"/>
        </w:rPr>
      </w:pPr>
    </w:p>
    <w:p>
      <w:pPr>
        <w:ind w:left="1820" w:hanging="948"/>
        <w:spacing w:after="0"/>
        <w:tabs>
          <w:tab w:leader="none" w:pos="1820" w:val="left"/>
        </w:tabs>
        <w:numPr>
          <w:ilvl w:val="0"/>
          <w:numId w:val="43"/>
        </w:numPr>
        <w:rPr>
          <w:rFonts w:ascii="Arial" w:cs="Arial" w:eastAsia="Arial" w:hAnsi="Arial"/>
          <w:sz w:val="19"/>
          <w:szCs w:val="19"/>
          <w:b w:val="1"/>
          <w:b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Acquiring Entity</w:t>
      </w:r>
      <w:r>
        <w:rPr>
          <w:rFonts w:ascii="Arial" w:cs="Arial" w:eastAsia="Arial" w:hAnsi="Arial"/>
          <w:sz w:val="19"/>
          <w:szCs w:val="19"/>
          <w:color w:val="auto"/>
        </w:rPr>
        <w:t>” means the surviving or acquiring corporation (or its parent company) in connection with</w:t>
      </w:r>
    </w:p>
    <w:p>
      <w:pPr>
        <w:spacing w:after="0" w:line="42"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a Change in Control.</w:t>
      </w:r>
    </w:p>
    <w:p>
      <w:pPr>
        <w:spacing w:after="0" w:line="188" w:lineRule="exact"/>
        <w:rPr>
          <w:rFonts w:ascii="Arial" w:cs="Arial" w:eastAsia="Arial" w:hAnsi="Arial"/>
          <w:sz w:val="19"/>
          <w:szCs w:val="19"/>
          <w:b w:val="1"/>
          <w:bCs w:val="1"/>
          <w:color w:val="auto"/>
        </w:rPr>
      </w:pPr>
    </w:p>
    <w:p>
      <w:pPr>
        <w:ind w:left="1780" w:hanging="908"/>
        <w:spacing w:after="0"/>
        <w:tabs>
          <w:tab w:leader="none" w:pos="1780" w:val="left"/>
        </w:tabs>
        <w:numPr>
          <w:ilvl w:val="0"/>
          <w:numId w:val="43"/>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Adoption Date</w:t>
      </w:r>
      <w:r>
        <w:rPr>
          <w:rFonts w:ascii="Arial" w:cs="Arial" w:eastAsia="Arial" w:hAnsi="Arial"/>
          <w:sz w:val="22"/>
          <w:szCs w:val="22"/>
          <w:color w:val="auto"/>
        </w:rPr>
        <w:t>” means April 17, 2020.</w:t>
      </w:r>
    </w:p>
    <w:p>
      <w:pPr>
        <w:spacing w:after="0" w:line="206" w:lineRule="exact"/>
        <w:rPr>
          <w:rFonts w:ascii="Arial" w:cs="Arial" w:eastAsia="Arial" w:hAnsi="Arial"/>
          <w:sz w:val="22"/>
          <w:szCs w:val="22"/>
          <w:b w:val="1"/>
          <w:bCs w:val="1"/>
          <w:color w:val="auto"/>
        </w:rPr>
      </w:pPr>
    </w:p>
    <w:p>
      <w:pPr>
        <w:jc w:val="both"/>
        <w:ind w:firstLine="872"/>
        <w:spacing w:after="0"/>
        <w:tabs>
          <w:tab w:leader="none" w:pos="1751" w:val="left"/>
        </w:tabs>
        <w:numPr>
          <w:ilvl w:val="0"/>
          <w:numId w:val="43"/>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Affiliate</w:t>
      </w:r>
      <w:r>
        <w:rPr>
          <w:rFonts w:ascii="Arial" w:cs="Arial" w:eastAsia="Arial" w:hAnsi="Arial"/>
          <w:sz w:val="22"/>
          <w:szCs w:val="22"/>
          <w:color w:val="auto"/>
        </w:rPr>
        <w:t>” means, at the time of determination, any “parent” or “subsidiary” of the Company as such terms are defined in Rule 405 promulgated under the Securities Act. The Board may determine the time or times at which “parent” or “subsidiary” status is determined within the foregoing definition.</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54" w:name="page55"/>
    <w:bookmarkEnd w:id="54"/>
    <w:p>
      <w:pPr>
        <w:jc w:val="both"/>
        <w:ind w:firstLine="872"/>
        <w:spacing w:after="0" w:line="282" w:lineRule="auto"/>
        <w:tabs>
          <w:tab w:leader="none" w:pos="1775" w:val="left"/>
        </w:tabs>
        <w:numPr>
          <w:ilvl w:val="0"/>
          <w:numId w:val="44"/>
        </w:numPr>
        <w:rPr>
          <w:rFonts w:ascii="Arial" w:cs="Arial" w:eastAsia="Arial" w:hAnsi="Arial"/>
          <w:sz w:val="19"/>
          <w:szCs w:val="19"/>
          <w:b w:val="1"/>
          <w:b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Applicable Law</w:t>
      </w:r>
      <w:r>
        <w:rPr>
          <w:rFonts w:ascii="Arial" w:cs="Arial" w:eastAsia="Arial" w:hAnsi="Arial"/>
          <w:sz w:val="19"/>
          <w:szCs w:val="19"/>
          <w:color w:val="auto"/>
        </w:rPr>
        <w:t>” means shall mean any applicable securities, federal, state, foreign, material local or municipal or other law, statute, constitution, principle of common law, resolution, ordinance, code, edict, decree, rule, listing rule, regulation, judicial decision, ruling or requirement issued, enacted, adopted, promulgated, implemented or otherwise put into effect by or under the authority of any Governmental Body (including under the authority of any applicable self-regulating organization such as the Nasdaq Stock Market, New York Stock Exchange, or the Financial Industry Regulatory Authority).</w:t>
      </w:r>
    </w:p>
    <w:p>
      <w:pPr>
        <w:spacing w:after="0" w:line="147" w:lineRule="exact"/>
        <w:rPr>
          <w:rFonts w:ascii="Arial" w:cs="Arial" w:eastAsia="Arial" w:hAnsi="Arial"/>
          <w:sz w:val="19"/>
          <w:szCs w:val="19"/>
          <w:b w:val="1"/>
          <w:bCs w:val="1"/>
          <w:color w:val="auto"/>
        </w:rPr>
      </w:pPr>
    </w:p>
    <w:p>
      <w:pPr>
        <w:jc w:val="both"/>
        <w:ind w:firstLine="872"/>
        <w:spacing w:after="0"/>
        <w:tabs>
          <w:tab w:leader="none" w:pos="1751" w:val="left"/>
        </w:tabs>
        <w:numPr>
          <w:ilvl w:val="0"/>
          <w:numId w:val="44"/>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Award</w:t>
      </w:r>
      <w:r>
        <w:rPr>
          <w:rFonts w:ascii="Arial" w:cs="Arial" w:eastAsia="Arial" w:hAnsi="Arial"/>
          <w:sz w:val="22"/>
          <w:szCs w:val="22"/>
          <w:color w:val="auto"/>
        </w:rPr>
        <w:t>” means any right to receive Common Stock, cash or other property granted under the Plan (including an Incentive Stock Option, a Nonstatutory Stock Option, a Restricted Stock Award, a RSU Award, a SAR, a Performance Award or any Other Award).</w:t>
      </w:r>
    </w:p>
    <w:p>
      <w:pPr>
        <w:spacing w:after="0" w:line="186" w:lineRule="exact"/>
        <w:rPr>
          <w:rFonts w:ascii="Arial" w:cs="Arial" w:eastAsia="Arial" w:hAnsi="Arial"/>
          <w:sz w:val="22"/>
          <w:szCs w:val="22"/>
          <w:b w:val="1"/>
          <w:bCs w:val="1"/>
          <w:color w:val="auto"/>
        </w:rPr>
      </w:pPr>
    </w:p>
    <w:p>
      <w:pPr>
        <w:jc w:val="both"/>
        <w:ind w:firstLine="872"/>
        <w:spacing w:after="0" w:line="238" w:lineRule="auto"/>
        <w:tabs>
          <w:tab w:leader="none" w:pos="1727" w:val="left"/>
        </w:tabs>
        <w:numPr>
          <w:ilvl w:val="0"/>
          <w:numId w:val="44"/>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Award Agreement</w:t>
      </w:r>
      <w:r>
        <w:rPr>
          <w:rFonts w:ascii="Arial" w:cs="Arial" w:eastAsia="Arial" w:hAnsi="Arial"/>
          <w:sz w:val="22"/>
          <w:szCs w:val="22"/>
          <w:color w:val="auto"/>
        </w:rPr>
        <w:t>” means a written agreement between the Company and a Participant evidencing the terms and conditions of an Award. The Award Agreement generally consists of the Grant Notice and the agreement containing the written summary of the general terms and conditions applicable to the Award and which is provided to a Participant along with the Grant Notice.</w:t>
      </w:r>
    </w:p>
    <w:p>
      <w:pPr>
        <w:spacing w:after="0" w:line="184" w:lineRule="exact"/>
        <w:rPr>
          <w:rFonts w:ascii="Arial" w:cs="Arial" w:eastAsia="Arial" w:hAnsi="Arial"/>
          <w:sz w:val="22"/>
          <w:szCs w:val="22"/>
          <w:b w:val="1"/>
          <w:bCs w:val="1"/>
          <w:color w:val="auto"/>
        </w:rPr>
      </w:pPr>
    </w:p>
    <w:p>
      <w:pPr>
        <w:jc w:val="both"/>
        <w:ind w:firstLine="872"/>
        <w:spacing w:after="0"/>
        <w:tabs>
          <w:tab w:leader="none" w:pos="1763" w:val="left"/>
        </w:tabs>
        <w:numPr>
          <w:ilvl w:val="0"/>
          <w:numId w:val="44"/>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Board</w:t>
      </w:r>
      <w:r>
        <w:rPr>
          <w:rFonts w:ascii="Arial" w:cs="Arial" w:eastAsia="Arial" w:hAnsi="Arial"/>
          <w:sz w:val="22"/>
          <w:szCs w:val="22"/>
          <w:color w:val="auto"/>
        </w:rPr>
        <w:t>” means the Board of Directors of the Company (or its designee). Any decision or determination made by the Board shall be a decision or determination that is made in the sole discretion of the Board (or its designee), and such decision or determination shall be final and binding on all Participants.</w:t>
      </w:r>
    </w:p>
    <w:p>
      <w:pPr>
        <w:spacing w:after="0" w:line="186" w:lineRule="exact"/>
        <w:rPr>
          <w:rFonts w:ascii="Arial" w:cs="Arial" w:eastAsia="Arial" w:hAnsi="Arial"/>
          <w:sz w:val="22"/>
          <w:szCs w:val="22"/>
          <w:b w:val="1"/>
          <w:bCs w:val="1"/>
          <w:color w:val="auto"/>
        </w:rPr>
      </w:pPr>
    </w:p>
    <w:p>
      <w:pPr>
        <w:jc w:val="both"/>
        <w:ind w:firstLine="872"/>
        <w:spacing w:after="0" w:line="273" w:lineRule="auto"/>
        <w:tabs>
          <w:tab w:leader="none" w:pos="1775" w:val="left"/>
        </w:tabs>
        <w:numPr>
          <w:ilvl w:val="0"/>
          <w:numId w:val="44"/>
        </w:numPr>
        <w:rPr>
          <w:rFonts w:ascii="Arial" w:cs="Arial" w:eastAsia="Arial" w:hAnsi="Arial"/>
          <w:sz w:val="19"/>
          <w:szCs w:val="19"/>
          <w:b w:val="1"/>
          <w:bCs w:val="1"/>
          <w:color w:val="auto"/>
        </w:rPr>
      </w:pP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Capitalization Adjustment</w:t>
      </w:r>
      <w:r>
        <w:rPr>
          <w:rFonts w:ascii="Arial" w:cs="Arial" w:eastAsia="Arial" w:hAnsi="Arial"/>
          <w:sz w:val="19"/>
          <w:szCs w:val="19"/>
          <w:color w:val="auto"/>
        </w:rPr>
        <w:t>” means any change that is made in, or other events that occur with respect to,</w:t>
      </w:r>
      <w:r>
        <w:rPr>
          <w:rFonts w:ascii="Arial" w:cs="Arial" w:eastAsia="Arial" w:hAnsi="Arial"/>
          <w:sz w:val="19"/>
          <w:szCs w:val="19"/>
          <w:i w:val="1"/>
          <w:iCs w:val="1"/>
          <w:color w:val="auto"/>
        </w:rPr>
        <w:t xml:space="preserve"> </w:t>
      </w:r>
      <w:r>
        <w:rPr>
          <w:rFonts w:ascii="Arial" w:cs="Arial" w:eastAsia="Arial" w:hAnsi="Arial"/>
          <w:sz w:val="19"/>
          <w:szCs w:val="19"/>
          <w:color w:val="auto"/>
        </w:rPr>
        <w:t>the Common Stock subject to the Plan or subject to any Award after the Effective Date without the receipt of consideration by the Company through merger, consolidation, reorganization, recapitalization, reincorporation, stock dividend, dividend in property</w:t>
      </w:r>
    </w:p>
    <w:p>
      <w:pPr>
        <w:spacing w:after="0" w:line="1"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other than cash, large nonrecurring cash dividend, stock split, reverse stock split, liquidating dividend, combination of shares, exchange of shares, change in corporate structure or any similar equity restructuring transaction, as that term is used in Statement of Financial Accounting Standards Board Accounting Standards Codification Topic 718 (or any successor thereto). Notwithstanding the foregoing, the conversion of any convertible securities of the Company will not be treated as a Capitalization Adjustment.</w:t>
      </w:r>
    </w:p>
    <w:p>
      <w:pPr>
        <w:spacing w:after="0" w:line="185" w:lineRule="exact"/>
        <w:rPr>
          <w:sz w:val="20"/>
          <w:szCs w:val="20"/>
          <w:color w:val="auto"/>
        </w:rPr>
      </w:pPr>
    </w:p>
    <w:p>
      <w:pPr>
        <w:jc w:val="both"/>
        <w:ind w:firstLine="872"/>
        <w:spacing w:after="0" w:line="244" w:lineRule="auto"/>
        <w:tabs>
          <w:tab w:leader="none" w:pos="1715" w:val="left"/>
        </w:tabs>
        <w:numPr>
          <w:ilvl w:val="0"/>
          <w:numId w:val="45"/>
        </w:numPr>
        <w:rPr>
          <w:rFonts w:ascii="Arial" w:cs="Arial" w:eastAsia="Arial" w:hAnsi="Arial"/>
          <w:sz w:val="21"/>
          <w:szCs w:val="21"/>
          <w:b w:val="1"/>
          <w:bCs w:val="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Cause</w:t>
      </w:r>
      <w:r>
        <w:rPr>
          <w:rFonts w:ascii="Arial" w:cs="Arial" w:eastAsia="Arial" w:hAnsi="Arial"/>
          <w:sz w:val="21"/>
          <w:szCs w:val="21"/>
          <w:color w:val="auto"/>
        </w:rPr>
        <w:t>” has the meaning ascribed to such term in any written agreement between the Participant and the Company defining such term and, in the absence of such agreement, such term means, with respect to a Participant, the occurrence of any of the following events: (i) such Participant’s attempted commission of, or participation in, a fraud or act of dishonesty against the Company; (ii) such Participant’s intentional, material violation of any contract or agreement between the Participant and the Company or of any statutory duty owed to the Company; (iii) such Participant’s unauthorized use or disclosure of the Company’s confidential information or trade secrets; or (iv) such Participant’s gross misconduct. The determination that a termination of the Participant’s Continuous Service is either for Cause or without Cause will be made by the Board with respect to Participants who are executive officers of the Company and by the Company’s Chief Executive Officer with respect to Participants who are not executive officers of the Company. Any determination by the Company that the Continuous Service of a Participant was terminated with or without Cause for the purposes of outstanding Awards held by such Participant will have no effect upon any determination of the rights or obligations of the Company or such Participant for any other purpose.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55" w:name="page56"/>
    <w:bookmarkEnd w:id="55"/>
    <w:p>
      <w:pPr>
        <w:jc w:val="both"/>
        <w:ind w:firstLine="872"/>
        <w:spacing w:after="0" w:line="238" w:lineRule="auto"/>
        <w:tabs>
          <w:tab w:leader="none" w:pos="1727" w:val="left"/>
        </w:tabs>
        <w:numPr>
          <w:ilvl w:val="1"/>
          <w:numId w:val="46"/>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Change in Control</w:t>
      </w:r>
      <w:r>
        <w:rPr>
          <w:rFonts w:ascii="Arial" w:cs="Arial" w:eastAsia="Arial" w:hAnsi="Arial"/>
          <w:sz w:val="22"/>
          <w:szCs w:val="22"/>
          <w:color w:val="auto"/>
        </w:rPr>
        <w:t>” or “</w:t>
      </w:r>
      <w:r>
        <w:rPr>
          <w:rFonts w:ascii="Arial" w:cs="Arial" w:eastAsia="Arial" w:hAnsi="Arial"/>
          <w:sz w:val="22"/>
          <w:szCs w:val="22"/>
          <w:b w:val="1"/>
          <w:bCs w:val="1"/>
          <w:i w:val="1"/>
          <w:iCs w:val="1"/>
          <w:color w:val="auto"/>
        </w:rPr>
        <w:t>Change of Control</w:t>
      </w:r>
      <w:r>
        <w:rPr>
          <w:rFonts w:ascii="Arial" w:cs="Arial" w:eastAsia="Arial" w:hAnsi="Arial"/>
          <w:sz w:val="22"/>
          <w:szCs w:val="22"/>
          <w:color w:val="auto"/>
        </w:rPr>
        <w:t>” means the occurrence, in a single transaction or in a series of related transactions, of any one or more of the following events; provided, however, to the extent necessary to avoid adverse personal income tax consequences to the Participant in connection with an Award, also constitutes a Section 409A Change in Control:</w:t>
      </w:r>
    </w:p>
    <w:p>
      <w:pPr>
        <w:spacing w:after="0" w:line="184" w:lineRule="exact"/>
        <w:rPr>
          <w:rFonts w:ascii="Arial" w:cs="Arial" w:eastAsia="Arial" w:hAnsi="Arial"/>
          <w:sz w:val="22"/>
          <w:szCs w:val="22"/>
          <w:b w:val="1"/>
          <w:bCs w:val="1"/>
          <w:color w:val="auto"/>
        </w:rPr>
      </w:pPr>
    </w:p>
    <w:p>
      <w:pPr>
        <w:jc w:val="both"/>
        <w:ind w:firstLine="1735"/>
        <w:spacing w:after="0" w:line="273" w:lineRule="auto"/>
        <w:tabs>
          <w:tab w:leader="none" w:pos="2579" w:val="left"/>
        </w:tabs>
        <w:numPr>
          <w:ilvl w:val="2"/>
          <w:numId w:val="46"/>
        </w:numPr>
        <w:rPr>
          <w:rFonts w:ascii="Arial" w:cs="Arial" w:eastAsia="Arial" w:hAnsi="Arial"/>
          <w:sz w:val="19"/>
          <w:szCs w:val="19"/>
          <w:b w:val="1"/>
          <w:bCs w:val="1"/>
          <w:color w:val="auto"/>
        </w:rPr>
      </w:pPr>
      <w:r>
        <w:rPr>
          <w:rFonts w:ascii="Arial" w:cs="Arial" w:eastAsia="Arial" w:hAnsi="Arial"/>
          <w:sz w:val="19"/>
          <w:szCs w:val="19"/>
          <w:color w:val="auto"/>
        </w:rPr>
        <w:t>any Exchange Act Person becomes the Owner, directly or indirectly, of securities of the Company representing more than 50% of the combined voting power of the Company’s then outstanding securities other than by virtue of a merger, consolidation or similar transaction. Notwithstanding the foregoing, a Change in Control shall not be deemed to occur</w:t>
      </w:r>
    </w:p>
    <w:p>
      <w:pPr>
        <w:spacing w:after="0" w:line="1" w:lineRule="exact"/>
        <w:rPr>
          <w:rFonts w:ascii="Arial" w:cs="Arial" w:eastAsia="Arial" w:hAnsi="Arial"/>
          <w:sz w:val="19"/>
          <w:szCs w:val="19"/>
          <w:b w:val="1"/>
          <w:bCs w:val="1"/>
          <w:color w:val="auto"/>
        </w:rPr>
      </w:pPr>
    </w:p>
    <w:p>
      <w:pPr>
        <w:jc w:val="both"/>
        <w:ind w:firstLine="8"/>
        <w:spacing w:after="0" w:line="271" w:lineRule="auto"/>
        <w:tabs>
          <w:tab w:leader="none" w:pos="366" w:val="left"/>
        </w:tabs>
        <w:numPr>
          <w:ilvl w:val="0"/>
          <w:numId w:val="47"/>
        </w:numPr>
        <w:rPr>
          <w:rFonts w:ascii="Arial" w:cs="Arial" w:eastAsia="Arial" w:hAnsi="Arial"/>
          <w:sz w:val="19"/>
          <w:szCs w:val="19"/>
          <w:color w:val="auto"/>
        </w:rPr>
      </w:pPr>
      <w:r>
        <w:rPr>
          <w:rFonts w:ascii="Arial" w:cs="Arial" w:eastAsia="Arial" w:hAnsi="Arial"/>
          <w:sz w:val="19"/>
          <w:szCs w:val="19"/>
          <w:color w:val="auto"/>
        </w:rPr>
        <w:t>on account of the acquisition of securities of the Company directly from the Company, (B) on account of the acquisition of securities of the Company by an investor, any affiliate thereof or any other Exchange Act Person that acquires the Company’s securities in a transaction or series of related transactions the primary purpose of which is to obtain financing for the Company through the issuance of equity securities, or (C) solely because the level of Ownership held by any Exchange Act Person (the “</w:t>
      </w:r>
      <w:r>
        <w:rPr>
          <w:rFonts w:ascii="Arial" w:cs="Arial" w:eastAsia="Arial" w:hAnsi="Arial"/>
          <w:sz w:val="19"/>
          <w:szCs w:val="19"/>
          <w:i w:val="1"/>
          <w:iCs w:val="1"/>
          <w:color w:val="auto"/>
        </w:rPr>
        <w:t>Subject Person</w:t>
      </w:r>
      <w:r>
        <w:rPr>
          <w:rFonts w:ascii="Arial" w:cs="Arial" w:eastAsia="Arial" w:hAnsi="Arial"/>
          <w:sz w:val="19"/>
          <w:szCs w:val="19"/>
          <w:color w:val="auto"/>
        </w:rPr>
        <w:t>”) exceeds the designated percentage threshold of the outstanding voting securities as a result of a repurchase or other acquisition of voting 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shall be deemed to occur;</w:t>
      </w:r>
    </w:p>
    <w:p>
      <w:pPr>
        <w:spacing w:after="0" w:line="160" w:lineRule="exact"/>
        <w:rPr>
          <w:rFonts w:ascii="Arial" w:cs="Arial" w:eastAsia="Arial" w:hAnsi="Arial"/>
          <w:sz w:val="19"/>
          <w:szCs w:val="19"/>
          <w:color w:val="auto"/>
        </w:rPr>
      </w:pPr>
    </w:p>
    <w:p>
      <w:pPr>
        <w:jc w:val="both"/>
        <w:ind w:firstLine="1735"/>
        <w:spacing w:after="0" w:line="246" w:lineRule="auto"/>
        <w:tabs>
          <w:tab w:leader="none" w:pos="2639" w:val="left"/>
        </w:tabs>
        <w:numPr>
          <w:ilvl w:val="2"/>
          <w:numId w:val="47"/>
        </w:numPr>
        <w:rPr>
          <w:rFonts w:ascii="Arial" w:cs="Arial" w:eastAsia="Arial" w:hAnsi="Arial"/>
          <w:sz w:val="21"/>
          <w:szCs w:val="21"/>
          <w:b w:val="1"/>
          <w:bCs w:val="1"/>
          <w:color w:val="auto"/>
        </w:rPr>
      </w:pPr>
      <w:r>
        <w:rPr>
          <w:rFonts w:ascii="Arial" w:cs="Arial" w:eastAsia="Arial" w:hAnsi="Arial"/>
          <w:sz w:val="21"/>
          <w:szCs w:val="21"/>
          <w:color w:val="auto"/>
        </w:rPr>
        <w:t>there is consummated a merger, consolidation or similar transaction involving (directly or indirectly) the Company and, immediately after the consummation of such merger, consolidation or similar transaction, the stockholders of the Company immediately prior thereto do not Own, directly or indirectly, either (A) outstanding voting securities representing more than 50% of the combined outstanding voting power of the surviving Entity in such merger, consolidation or similar transaction or (B) more than 50% of the combined outstanding voting power of the parent of the surviving Entity in such merger, consolidation or similar transaction, in each case in substantially the same proportions as their Ownership of the outstanding voting securities of the Company immediately prior to such transaction;</w:t>
      </w:r>
    </w:p>
    <w:p>
      <w:pPr>
        <w:spacing w:after="0" w:line="184" w:lineRule="exact"/>
        <w:rPr>
          <w:rFonts w:ascii="Arial" w:cs="Arial" w:eastAsia="Arial" w:hAnsi="Arial"/>
          <w:sz w:val="21"/>
          <w:szCs w:val="21"/>
          <w:b w:val="1"/>
          <w:bCs w:val="1"/>
          <w:color w:val="auto"/>
        </w:rPr>
      </w:pPr>
    </w:p>
    <w:p>
      <w:pPr>
        <w:jc w:val="both"/>
        <w:ind w:firstLine="1735"/>
        <w:spacing w:after="0"/>
        <w:tabs>
          <w:tab w:leader="none" w:pos="2699" w:val="left"/>
        </w:tabs>
        <w:numPr>
          <w:ilvl w:val="2"/>
          <w:numId w:val="47"/>
        </w:numPr>
        <w:rPr>
          <w:rFonts w:ascii="Arial" w:cs="Arial" w:eastAsia="Arial" w:hAnsi="Arial"/>
          <w:sz w:val="22"/>
          <w:szCs w:val="22"/>
          <w:b w:val="1"/>
          <w:bCs w:val="1"/>
          <w:color w:val="auto"/>
        </w:rPr>
      </w:pPr>
      <w:r>
        <w:rPr>
          <w:rFonts w:ascii="Arial" w:cs="Arial" w:eastAsia="Arial" w:hAnsi="Arial"/>
          <w:sz w:val="22"/>
          <w:szCs w:val="22"/>
          <w:color w:val="auto"/>
        </w:rPr>
        <w:t>the stockholders of the Company approve or the Board approves a plan of complete dissolution or liquidation of the Company, or a complete dissolution or liquidation of the Company shall otherwise occur, except for a liquidation into a parent corporation;</w:t>
      </w:r>
    </w:p>
    <w:p>
      <w:pPr>
        <w:spacing w:after="0" w:line="186" w:lineRule="exact"/>
        <w:rPr>
          <w:rFonts w:ascii="Arial" w:cs="Arial" w:eastAsia="Arial" w:hAnsi="Arial"/>
          <w:sz w:val="22"/>
          <w:szCs w:val="22"/>
          <w:b w:val="1"/>
          <w:bCs w:val="1"/>
          <w:color w:val="auto"/>
        </w:rPr>
      </w:pPr>
    </w:p>
    <w:p>
      <w:pPr>
        <w:jc w:val="both"/>
        <w:ind w:firstLine="1735"/>
        <w:spacing w:after="0" w:line="235" w:lineRule="auto"/>
        <w:tabs>
          <w:tab w:leader="none" w:pos="2687" w:val="left"/>
        </w:tabs>
        <w:numPr>
          <w:ilvl w:val="2"/>
          <w:numId w:val="47"/>
        </w:numPr>
        <w:rPr>
          <w:rFonts w:ascii="Arial" w:cs="Arial" w:eastAsia="Arial" w:hAnsi="Arial"/>
          <w:sz w:val="22"/>
          <w:szCs w:val="22"/>
          <w:b w:val="1"/>
          <w:bCs w:val="1"/>
          <w:color w:val="auto"/>
        </w:rPr>
      </w:pPr>
      <w:r>
        <w:rPr>
          <w:rFonts w:ascii="Arial" w:cs="Arial" w:eastAsia="Arial" w:hAnsi="Arial"/>
          <w:sz w:val="22"/>
          <w:szCs w:val="22"/>
          <w:color w:val="auto"/>
        </w:rPr>
        <w:t>there is consummated a sale, lease, exclusive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50% of the combined voting power of the voting securities of which are Owned by stockholders of the Company in substantially the same proportions as their Ownership of the outstanding voting securities of the Company immediately prior to such sale, lease, license or other disposition; or</w:t>
      </w:r>
    </w:p>
    <w:p>
      <w:pPr>
        <w:spacing w:after="0" w:line="187" w:lineRule="exact"/>
        <w:rPr>
          <w:rFonts w:ascii="Arial" w:cs="Arial" w:eastAsia="Arial" w:hAnsi="Arial"/>
          <w:sz w:val="22"/>
          <w:szCs w:val="22"/>
          <w:b w:val="1"/>
          <w:bCs w:val="1"/>
          <w:color w:val="auto"/>
        </w:rPr>
      </w:pPr>
    </w:p>
    <w:p>
      <w:pPr>
        <w:jc w:val="both"/>
        <w:ind w:firstLine="1735"/>
        <w:spacing w:after="0" w:line="236" w:lineRule="auto"/>
        <w:tabs>
          <w:tab w:leader="none" w:pos="2627" w:val="left"/>
        </w:tabs>
        <w:numPr>
          <w:ilvl w:val="2"/>
          <w:numId w:val="47"/>
        </w:numPr>
        <w:rPr>
          <w:rFonts w:ascii="Arial" w:cs="Arial" w:eastAsia="Arial" w:hAnsi="Arial"/>
          <w:sz w:val="22"/>
          <w:szCs w:val="22"/>
          <w:b w:val="1"/>
          <w:bCs w:val="1"/>
          <w:color w:val="auto"/>
        </w:rPr>
      </w:pPr>
      <w:r>
        <w:rPr>
          <w:rFonts w:ascii="Arial" w:cs="Arial" w:eastAsia="Arial" w:hAnsi="Arial"/>
          <w:sz w:val="22"/>
          <w:szCs w:val="22"/>
          <w:color w:val="auto"/>
        </w:rPr>
        <w:t>individuals who, on the date the Plan is adopted by the Board, are members of the Board (the “</w:t>
      </w:r>
      <w:r>
        <w:rPr>
          <w:rFonts w:ascii="Arial" w:cs="Arial" w:eastAsia="Arial" w:hAnsi="Arial"/>
          <w:sz w:val="22"/>
          <w:szCs w:val="22"/>
          <w:b w:val="1"/>
          <w:bCs w:val="1"/>
          <w:i w:val="1"/>
          <w:iCs w:val="1"/>
          <w:color w:val="auto"/>
        </w:rPr>
        <w:t>Incumbent Board</w:t>
      </w:r>
      <w:r>
        <w:rPr>
          <w:rFonts w:ascii="Arial" w:cs="Arial" w:eastAsia="Arial" w:hAnsi="Arial"/>
          <w:sz w:val="22"/>
          <w:szCs w:val="22"/>
          <w:color w:val="auto"/>
        </w:rPr>
        <w:t>”) cease for any reason to constitute at least a majority of the members of the Board; provided, however, that if the appointment or election (or nomination for election) of any new Board member was approved or recommended by a majority vote of the members of the Incumbent Board then still in office, such new member shall, for purposes of this Plan, be considered as a member of the Incumbent Board.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56" w:name="page57"/>
    <w:bookmarkEnd w:id="56"/>
    <w:p>
      <w:pPr>
        <w:ind w:firstLine="864"/>
        <w:spacing w:after="0" w:line="274" w:lineRule="auto"/>
        <w:rPr>
          <w:sz w:val="20"/>
          <w:szCs w:val="20"/>
          <w:color w:val="auto"/>
        </w:rPr>
      </w:pPr>
      <w:r>
        <w:rPr>
          <w:rFonts w:ascii="Arial" w:cs="Arial" w:eastAsia="Arial" w:hAnsi="Arial"/>
          <w:sz w:val="21"/>
          <w:szCs w:val="21"/>
          <w:color w:val="auto"/>
        </w:rPr>
        <w:t>Notwithstanding the foregoing or any other provision of this Plan, the term Change in Control shall not include a sale of assets, merger or other transaction effected exclusively for the purpose of changing the domicile of the Company.</w:t>
      </w:r>
    </w:p>
    <w:p>
      <w:pPr>
        <w:spacing w:after="0" w:line="151" w:lineRule="exact"/>
        <w:rPr>
          <w:sz w:val="20"/>
          <w:szCs w:val="20"/>
          <w:color w:val="auto"/>
        </w:rPr>
      </w:pPr>
    </w:p>
    <w:p>
      <w:pPr>
        <w:ind w:firstLine="872"/>
        <w:spacing w:after="0" w:line="250" w:lineRule="auto"/>
        <w:tabs>
          <w:tab w:leader="none" w:pos="1775" w:val="left"/>
        </w:tabs>
        <w:numPr>
          <w:ilvl w:val="0"/>
          <w:numId w:val="48"/>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Code</w:t>
      </w:r>
      <w:r>
        <w:rPr>
          <w:rFonts w:ascii="Arial" w:cs="Arial" w:eastAsia="Arial" w:hAnsi="Arial"/>
          <w:sz w:val="22"/>
          <w:szCs w:val="22"/>
          <w:color w:val="auto"/>
        </w:rPr>
        <w:t>” means the Internal Revenue Code of 1986, as amended, including any applicable regulations and guidance thereunder.</w:t>
      </w:r>
    </w:p>
    <w:p>
      <w:pPr>
        <w:spacing w:after="0" w:line="174" w:lineRule="exact"/>
        <w:rPr>
          <w:rFonts w:ascii="Arial" w:cs="Arial" w:eastAsia="Arial" w:hAnsi="Arial"/>
          <w:sz w:val="22"/>
          <w:szCs w:val="22"/>
          <w:b w:val="1"/>
          <w:bCs w:val="1"/>
          <w:color w:val="auto"/>
        </w:rPr>
      </w:pPr>
    </w:p>
    <w:p>
      <w:pPr>
        <w:ind w:firstLine="872"/>
        <w:spacing w:after="0" w:line="250" w:lineRule="auto"/>
        <w:tabs>
          <w:tab w:leader="none" w:pos="1769" w:val="left"/>
        </w:tabs>
        <w:numPr>
          <w:ilvl w:val="0"/>
          <w:numId w:val="48"/>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Committee</w:t>
      </w:r>
      <w:r>
        <w:rPr>
          <w:rFonts w:ascii="Arial" w:cs="Arial" w:eastAsia="Arial" w:hAnsi="Arial"/>
          <w:sz w:val="22"/>
          <w:szCs w:val="22"/>
          <w:color w:val="auto"/>
        </w:rPr>
        <w:t>” means the Compensation Committee and any other committee of Directors to whom authority has been delegated by the Board or Compensation Committee in accordance with the Plan.</w:t>
      </w:r>
    </w:p>
    <w:p>
      <w:pPr>
        <w:spacing w:after="0" w:line="174" w:lineRule="exact"/>
        <w:rPr>
          <w:rFonts w:ascii="Arial" w:cs="Arial" w:eastAsia="Arial" w:hAnsi="Arial"/>
          <w:sz w:val="22"/>
          <w:szCs w:val="22"/>
          <w:b w:val="1"/>
          <w:bCs w:val="1"/>
          <w:color w:val="auto"/>
        </w:rPr>
      </w:pPr>
    </w:p>
    <w:p>
      <w:pPr>
        <w:ind w:left="1840" w:hanging="968"/>
        <w:spacing w:after="0"/>
        <w:tabs>
          <w:tab w:leader="none" w:pos="1840" w:val="left"/>
        </w:tabs>
        <w:numPr>
          <w:ilvl w:val="0"/>
          <w:numId w:val="48"/>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Common Stock</w:t>
      </w:r>
      <w:r>
        <w:rPr>
          <w:rFonts w:ascii="Arial" w:cs="Arial" w:eastAsia="Arial" w:hAnsi="Arial"/>
          <w:sz w:val="22"/>
          <w:szCs w:val="22"/>
          <w:color w:val="auto"/>
        </w:rPr>
        <w:t>” means the common stock of the Company.</w:t>
      </w:r>
    </w:p>
    <w:p>
      <w:pPr>
        <w:spacing w:after="0" w:line="200" w:lineRule="exact"/>
        <w:rPr>
          <w:rFonts w:ascii="Arial" w:cs="Arial" w:eastAsia="Arial" w:hAnsi="Arial"/>
          <w:sz w:val="22"/>
          <w:szCs w:val="22"/>
          <w:b w:val="1"/>
          <w:bCs w:val="1"/>
          <w:color w:val="auto"/>
        </w:rPr>
      </w:pPr>
    </w:p>
    <w:p>
      <w:pPr>
        <w:ind w:left="1780" w:hanging="908"/>
        <w:spacing w:after="0"/>
        <w:tabs>
          <w:tab w:leader="none" w:pos="1780" w:val="left"/>
        </w:tabs>
        <w:numPr>
          <w:ilvl w:val="0"/>
          <w:numId w:val="48"/>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xml:space="preserve">” means </w:t>
      </w:r>
      <w:r>
        <w:rPr>
          <w:rFonts w:ascii="Arial" w:cs="Arial" w:eastAsia="Arial" w:hAnsi="Arial"/>
          <w:sz w:val="22"/>
          <w:szCs w:val="22"/>
          <w:b w:val="1"/>
          <w:bCs w:val="1"/>
          <w:color w:val="auto"/>
        </w:rPr>
        <w:t>Minerva Neurosciences, Inc.,</w:t>
      </w:r>
      <w:r>
        <w:rPr>
          <w:rFonts w:ascii="Arial" w:cs="Arial" w:eastAsia="Arial" w:hAnsi="Arial"/>
          <w:sz w:val="22"/>
          <w:szCs w:val="22"/>
          <w:color w:val="auto"/>
        </w:rPr>
        <w:t xml:space="preserve"> a Delaware corporation.</w:t>
      </w:r>
    </w:p>
    <w:p>
      <w:pPr>
        <w:spacing w:after="0" w:line="212" w:lineRule="exact"/>
        <w:rPr>
          <w:rFonts w:ascii="Arial" w:cs="Arial" w:eastAsia="Arial" w:hAnsi="Arial"/>
          <w:sz w:val="22"/>
          <w:szCs w:val="22"/>
          <w:b w:val="1"/>
          <w:bCs w:val="1"/>
          <w:color w:val="auto"/>
        </w:rPr>
      </w:pPr>
    </w:p>
    <w:p>
      <w:pPr>
        <w:ind w:left="1780" w:hanging="908"/>
        <w:spacing w:after="0"/>
        <w:tabs>
          <w:tab w:leader="none" w:pos="1780" w:val="left"/>
        </w:tabs>
        <w:numPr>
          <w:ilvl w:val="0"/>
          <w:numId w:val="48"/>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Compensation Committee</w:t>
      </w:r>
      <w:r>
        <w:rPr>
          <w:rFonts w:ascii="Arial" w:cs="Arial" w:eastAsia="Arial" w:hAnsi="Arial"/>
          <w:sz w:val="22"/>
          <w:szCs w:val="22"/>
          <w:color w:val="auto"/>
        </w:rPr>
        <w:t>” means the Compensation Committee of the Board.</w:t>
      </w:r>
    </w:p>
    <w:p>
      <w:pPr>
        <w:spacing w:after="0" w:line="206" w:lineRule="exact"/>
        <w:rPr>
          <w:rFonts w:ascii="Arial" w:cs="Arial" w:eastAsia="Arial" w:hAnsi="Arial"/>
          <w:sz w:val="22"/>
          <w:szCs w:val="22"/>
          <w:b w:val="1"/>
          <w:bCs w:val="1"/>
          <w:color w:val="auto"/>
        </w:rPr>
      </w:pPr>
    </w:p>
    <w:p>
      <w:pPr>
        <w:jc w:val="both"/>
        <w:ind w:firstLine="872"/>
        <w:spacing w:after="0" w:line="279" w:lineRule="auto"/>
        <w:tabs>
          <w:tab w:leader="none" w:pos="1775" w:val="left"/>
        </w:tabs>
        <w:numPr>
          <w:ilvl w:val="0"/>
          <w:numId w:val="48"/>
        </w:numPr>
        <w:rPr>
          <w:rFonts w:ascii="Arial" w:cs="Arial" w:eastAsia="Arial" w:hAnsi="Arial"/>
          <w:sz w:val="19"/>
          <w:szCs w:val="19"/>
          <w:b w:val="1"/>
          <w:b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Consultant</w:t>
      </w:r>
      <w:r>
        <w:rPr>
          <w:rFonts w:ascii="Arial" w:cs="Arial" w:eastAsia="Arial" w:hAnsi="Arial"/>
          <w:sz w:val="19"/>
          <w:szCs w:val="19"/>
          <w:color w:val="auto"/>
        </w:rPr>
        <w:t>” means any person, including an advisor, who is (i) engaged by the Company or an Affiliate to render consulting or advisory services and is compensated for such services, or (ii) serving as a member of the board of directors of an Affiliate and is compensated for such services. However, service solely as a Director, or payment of a fee for such service, will not cause a Director to be considered a “Consultant” for purposes of the Plan. Notwithstanding the foregoing, a person is treated as a Consultant under this Plan only if a Form S-8 Registration Statement under the Securities Act is available to register either the offer or the sale of the Company’s securities to such person.</w:t>
      </w:r>
    </w:p>
    <w:p>
      <w:pPr>
        <w:spacing w:after="0" w:line="150" w:lineRule="exact"/>
        <w:rPr>
          <w:rFonts w:ascii="Arial" w:cs="Arial" w:eastAsia="Arial" w:hAnsi="Arial"/>
          <w:sz w:val="19"/>
          <w:szCs w:val="19"/>
          <w:b w:val="1"/>
          <w:bCs w:val="1"/>
          <w:color w:val="auto"/>
        </w:rPr>
      </w:pPr>
    </w:p>
    <w:p>
      <w:pPr>
        <w:jc w:val="both"/>
        <w:ind w:firstLine="872"/>
        <w:spacing w:after="0" w:line="270" w:lineRule="auto"/>
        <w:tabs>
          <w:tab w:leader="none" w:pos="1775" w:val="left"/>
        </w:tabs>
        <w:numPr>
          <w:ilvl w:val="0"/>
          <w:numId w:val="48"/>
        </w:numPr>
        <w:rPr>
          <w:rFonts w:ascii="Arial" w:cs="Arial" w:eastAsia="Arial" w:hAnsi="Arial"/>
          <w:sz w:val="19"/>
          <w:szCs w:val="19"/>
          <w:b w:val="1"/>
          <w:b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Continuous Service</w:t>
      </w:r>
      <w:r>
        <w:rPr>
          <w:rFonts w:ascii="Arial" w:cs="Arial" w:eastAsia="Arial" w:hAnsi="Arial"/>
          <w:sz w:val="19"/>
          <w:szCs w:val="19"/>
          <w:color w:val="auto"/>
        </w:rPr>
        <w:t>” means that the Participant’s service with the Company or an Affiliate, whether as an Employee, Director or Consultant, is not interrupted or terminated. A change in the capacity in which the Participant renders service to the Company or an Affiliate as an Employee, Director or Consultant or a change in the Entity for which the Participant renders such service, provided that there is no interruption or termination of the Participant’s service with the Company or an Affiliate, will not terminate a Participant’s Continuous Service; provided, however</w:t>
      </w:r>
      <w:r>
        <w:rPr>
          <w:rFonts w:ascii="Arial" w:cs="Arial" w:eastAsia="Arial" w:hAnsi="Arial"/>
          <w:sz w:val="19"/>
          <w:szCs w:val="19"/>
          <w:i w:val="1"/>
          <w:iCs w:val="1"/>
          <w:color w:val="auto"/>
        </w:rPr>
        <w:t>,</w:t>
      </w:r>
      <w:r>
        <w:rPr>
          <w:rFonts w:ascii="Arial" w:cs="Arial" w:eastAsia="Arial" w:hAnsi="Arial"/>
          <w:sz w:val="19"/>
          <w:szCs w:val="19"/>
          <w:color w:val="auto"/>
        </w:rPr>
        <w:t xml:space="preserve"> that if the Entity for which a Participant is rendering services ceases to qualify as an Affiliate, as determined by the Board, such Participant’s Continuous Service will be considered to have terminated on the date such Entity ceases to qualify as an Affiliate. For example, a change in status from an Employee of the Company to a Consultant of an Affiliate or to a Director will not constitute an interruption of Continuous Service. To the extent permitted by law, the Board or the chief executive officer of the Company, in that party’s sole discretion, may determine whether Continuous Service will be considered interrupted in the case of (i) any leave of absence approved by the Board or chief executive officer, including sick leave, military leave or any other personal leave, or (ii) transfers between the Company, an Affiliate, or their successors. Notwithstanding the foregoing, a leave of absence will be treated as Continuous Service for purposes of vesting in an Award only to such extent as may be provided in the Company’s leave of absence policy, in the written terms of any leave of absence agreement or policy applicable to the Participant, or as otherwise required by law. In addition, to the extent required for exemption from or compliance with Section 409A, the determination of whether there has been a termination of Continuous Service will be made, and such term will be construed, in a manner that is consistent with the definition of “separation from service” as defined under Treasury Regulation Section 1.409A-1(h) (without regard to any alternative definition thereunder).</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57" w:name="page58"/>
    <w:bookmarkEnd w:id="57"/>
    <w:p>
      <w:pPr>
        <w:ind w:left="1760" w:hanging="888"/>
        <w:spacing w:after="0"/>
        <w:tabs>
          <w:tab w:leader="none" w:pos="1760" w:val="left"/>
        </w:tabs>
        <w:numPr>
          <w:ilvl w:val="0"/>
          <w:numId w:val="49"/>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Director</w:t>
      </w:r>
      <w:r>
        <w:rPr>
          <w:rFonts w:ascii="Arial" w:cs="Arial" w:eastAsia="Arial" w:hAnsi="Arial"/>
          <w:sz w:val="22"/>
          <w:szCs w:val="22"/>
          <w:color w:val="auto"/>
        </w:rPr>
        <w:t>” means a member of the Board.</w:t>
      </w:r>
    </w:p>
    <w:p>
      <w:pPr>
        <w:spacing w:after="0" w:line="206" w:lineRule="exact"/>
        <w:rPr>
          <w:rFonts w:ascii="Arial" w:cs="Arial" w:eastAsia="Arial" w:hAnsi="Arial"/>
          <w:sz w:val="22"/>
          <w:szCs w:val="22"/>
          <w:b w:val="1"/>
          <w:bCs w:val="1"/>
          <w:color w:val="auto"/>
        </w:rPr>
      </w:pPr>
    </w:p>
    <w:p>
      <w:pPr>
        <w:ind w:left="1740" w:hanging="868"/>
        <w:spacing w:after="0"/>
        <w:tabs>
          <w:tab w:leader="none" w:pos="1740" w:val="left"/>
        </w:tabs>
        <w:numPr>
          <w:ilvl w:val="0"/>
          <w:numId w:val="49"/>
        </w:numPr>
        <w:rPr>
          <w:rFonts w:ascii="Arial" w:cs="Arial" w:eastAsia="Arial" w:hAnsi="Arial"/>
          <w:sz w:val="19"/>
          <w:szCs w:val="19"/>
          <w:b w:val="1"/>
          <w:b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determine</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or</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determined</w:t>
      </w:r>
      <w:r>
        <w:rPr>
          <w:rFonts w:ascii="Arial" w:cs="Arial" w:eastAsia="Arial" w:hAnsi="Arial"/>
          <w:sz w:val="19"/>
          <w:szCs w:val="19"/>
          <w:color w:val="auto"/>
        </w:rPr>
        <w:t>” means as determined by the Board or the Committee (or its designee) in its</w:t>
      </w:r>
    </w:p>
    <w:p>
      <w:pPr>
        <w:spacing w:after="0" w:line="42"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sole discretion.</w:t>
      </w:r>
    </w:p>
    <w:p>
      <w:pPr>
        <w:spacing w:after="0" w:line="188" w:lineRule="exact"/>
        <w:rPr>
          <w:rFonts w:ascii="Arial" w:cs="Arial" w:eastAsia="Arial" w:hAnsi="Arial"/>
          <w:sz w:val="19"/>
          <w:szCs w:val="19"/>
          <w:b w:val="1"/>
          <w:bCs w:val="1"/>
          <w:color w:val="auto"/>
        </w:rPr>
      </w:pPr>
    </w:p>
    <w:p>
      <w:pPr>
        <w:jc w:val="both"/>
        <w:ind w:firstLine="872"/>
        <w:spacing w:after="0" w:line="236" w:lineRule="auto"/>
        <w:tabs>
          <w:tab w:leader="none" w:pos="1727" w:val="left"/>
        </w:tabs>
        <w:numPr>
          <w:ilvl w:val="0"/>
          <w:numId w:val="49"/>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Disability</w:t>
      </w:r>
      <w:r>
        <w:rPr>
          <w:rFonts w:ascii="Arial" w:cs="Arial" w:eastAsia="Arial" w:hAnsi="Arial"/>
          <w:sz w:val="22"/>
          <w:szCs w:val="22"/>
          <w:color w:val="auto"/>
        </w:rPr>
        <w:t>” means, with respect to a Participant, such Participant is unable to engage in any substantial gainful activity by reason of any medically determinable physical or mental impairment which can be expected to result in death or which has lasted or can be expected to last for a continuous period of not less than 12 months, as provided in Section 22(e)(3) of the Code, and will be determined by the Board on the basis of such medical evidence as the Board deems warranted under the circumstances.</w:t>
      </w:r>
    </w:p>
    <w:p>
      <w:pPr>
        <w:spacing w:after="0" w:line="187" w:lineRule="exact"/>
        <w:rPr>
          <w:rFonts w:ascii="Arial" w:cs="Arial" w:eastAsia="Arial" w:hAnsi="Arial"/>
          <w:sz w:val="22"/>
          <w:szCs w:val="22"/>
          <w:b w:val="1"/>
          <w:bCs w:val="1"/>
          <w:color w:val="auto"/>
        </w:rPr>
      </w:pPr>
    </w:p>
    <w:p>
      <w:pPr>
        <w:ind w:firstLine="872"/>
        <w:spacing w:after="0" w:line="250" w:lineRule="auto"/>
        <w:tabs>
          <w:tab w:leader="none" w:pos="1870" w:val="left"/>
        </w:tabs>
        <w:numPr>
          <w:ilvl w:val="0"/>
          <w:numId w:val="49"/>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Effective Date</w:t>
      </w:r>
      <w:r>
        <w:rPr>
          <w:rFonts w:ascii="Arial" w:cs="Arial" w:eastAsia="Arial" w:hAnsi="Arial"/>
          <w:sz w:val="22"/>
          <w:szCs w:val="22"/>
          <w:color w:val="auto"/>
        </w:rPr>
        <w:t>” means the date of the annual meeting of stockholders of the Company held in 2020 provided this Plan is approved by the Company’s stockholders at such meeting.</w:t>
      </w:r>
    </w:p>
    <w:p>
      <w:pPr>
        <w:spacing w:after="0" w:line="174" w:lineRule="exact"/>
        <w:rPr>
          <w:rFonts w:ascii="Arial" w:cs="Arial" w:eastAsia="Arial" w:hAnsi="Arial"/>
          <w:sz w:val="22"/>
          <w:szCs w:val="22"/>
          <w:b w:val="1"/>
          <w:bCs w:val="1"/>
          <w:color w:val="auto"/>
        </w:rPr>
      </w:pPr>
    </w:p>
    <w:p>
      <w:pPr>
        <w:jc w:val="both"/>
        <w:ind w:firstLine="872"/>
        <w:spacing w:after="0"/>
        <w:tabs>
          <w:tab w:leader="none" w:pos="1763" w:val="left"/>
        </w:tabs>
        <w:numPr>
          <w:ilvl w:val="0"/>
          <w:numId w:val="49"/>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Employee</w:t>
      </w:r>
      <w:r>
        <w:rPr>
          <w:rFonts w:ascii="Arial" w:cs="Arial" w:eastAsia="Arial" w:hAnsi="Arial"/>
          <w:sz w:val="22"/>
          <w:szCs w:val="22"/>
          <w:color w:val="auto"/>
        </w:rPr>
        <w:t>” means any person employed by the Company or an Affiliate. However, service solely as a Director, or payment of a fee for such services, will not cause a Director to be considered an “Employee” for purposes of the Plan.</w:t>
      </w:r>
    </w:p>
    <w:p>
      <w:pPr>
        <w:spacing w:after="0" w:line="186" w:lineRule="exact"/>
        <w:rPr>
          <w:rFonts w:ascii="Arial" w:cs="Arial" w:eastAsia="Arial" w:hAnsi="Arial"/>
          <w:sz w:val="22"/>
          <w:szCs w:val="22"/>
          <w:b w:val="1"/>
          <w:bCs w:val="1"/>
          <w:color w:val="auto"/>
        </w:rPr>
      </w:pPr>
    </w:p>
    <w:p>
      <w:pPr>
        <w:ind w:left="1820" w:hanging="948"/>
        <w:spacing w:after="0"/>
        <w:tabs>
          <w:tab w:leader="none" w:pos="1820" w:val="left"/>
        </w:tabs>
        <w:numPr>
          <w:ilvl w:val="0"/>
          <w:numId w:val="49"/>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Employer</w:t>
      </w:r>
      <w:r>
        <w:rPr>
          <w:rFonts w:ascii="Arial" w:cs="Arial" w:eastAsia="Arial" w:hAnsi="Arial"/>
          <w:sz w:val="22"/>
          <w:szCs w:val="22"/>
          <w:color w:val="auto"/>
        </w:rPr>
        <w:t>” means the Company or the Affiliate of the Company that employs the Participant.</w:t>
      </w:r>
    </w:p>
    <w:p>
      <w:pPr>
        <w:spacing w:after="0" w:line="206" w:lineRule="exact"/>
        <w:rPr>
          <w:rFonts w:ascii="Arial" w:cs="Arial" w:eastAsia="Arial" w:hAnsi="Arial"/>
          <w:sz w:val="22"/>
          <w:szCs w:val="22"/>
          <w:b w:val="1"/>
          <w:bCs w:val="1"/>
          <w:color w:val="auto"/>
        </w:rPr>
      </w:pPr>
    </w:p>
    <w:p>
      <w:pPr>
        <w:ind w:left="1780" w:hanging="908"/>
        <w:spacing w:after="0"/>
        <w:tabs>
          <w:tab w:leader="none" w:pos="1780" w:val="left"/>
        </w:tabs>
        <w:numPr>
          <w:ilvl w:val="0"/>
          <w:numId w:val="49"/>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Entity</w:t>
      </w:r>
      <w:r>
        <w:rPr>
          <w:rFonts w:ascii="Arial" w:cs="Arial" w:eastAsia="Arial" w:hAnsi="Arial"/>
          <w:sz w:val="22"/>
          <w:szCs w:val="22"/>
          <w:color w:val="auto"/>
        </w:rPr>
        <w:t>” means a corporation, partnership, limited liability company or other entity.</w:t>
      </w:r>
    </w:p>
    <w:p>
      <w:pPr>
        <w:spacing w:after="0" w:line="206" w:lineRule="exact"/>
        <w:rPr>
          <w:rFonts w:ascii="Arial" w:cs="Arial" w:eastAsia="Arial" w:hAnsi="Arial"/>
          <w:sz w:val="22"/>
          <w:szCs w:val="22"/>
          <w:b w:val="1"/>
          <w:bCs w:val="1"/>
          <w:color w:val="auto"/>
        </w:rPr>
      </w:pPr>
    </w:p>
    <w:p>
      <w:pPr>
        <w:ind w:firstLine="872"/>
        <w:spacing w:after="0" w:line="250" w:lineRule="auto"/>
        <w:tabs>
          <w:tab w:leader="none" w:pos="1763" w:val="left"/>
        </w:tabs>
        <w:numPr>
          <w:ilvl w:val="0"/>
          <w:numId w:val="49"/>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Exchange Act</w:t>
      </w:r>
      <w:r>
        <w:rPr>
          <w:rFonts w:ascii="Arial" w:cs="Arial" w:eastAsia="Arial" w:hAnsi="Arial"/>
          <w:sz w:val="22"/>
          <w:szCs w:val="22"/>
          <w:color w:val="auto"/>
        </w:rPr>
        <w:t>” means the Securities Exchange Act of 1934, as amended, and the rules and regulations promulgated thereunder.</w:t>
      </w:r>
    </w:p>
    <w:p>
      <w:pPr>
        <w:spacing w:after="0" w:line="174" w:lineRule="exact"/>
        <w:rPr>
          <w:rFonts w:ascii="Arial" w:cs="Arial" w:eastAsia="Arial" w:hAnsi="Arial"/>
          <w:sz w:val="22"/>
          <w:szCs w:val="22"/>
          <w:b w:val="1"/>
          <w:bCs w:val="1"/>
          <w:color w:val="auto"/>
        </w:rPr>
      </w:pPr>
    </w:p>
    <w:p>
      <w:pPr>
        <w:jc w:val="both"/>
        <w:ind w:firstLine="872"/>
        <w:spacing w:after="0" w:line="245" w:lineRule="auto"/>
        <w:tabs>
          <w:tab w:leader="none" w:pos="1751" w:val="left"/>
        </w:tabs>
        <w:numPr>
          <w:ilvl w:val="0"/>
          <w:numId w:val="49"/>
        </w:numPr>
        <w:rPr>
          <w:rFonts w:ascii="Arial" w:cs="Arial" w:eastAsia="Arial" w:hAnsi="Arial"/>
          <w:sz w:val="21"/>
          <w:szCs w:val="21"/>
          <w:b w:val="1"/>
          <w:bCs w:val="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Exchange Act Person</w:t>
      </w:r>
      <w:r>
        <w:rPr>
          <w:rFonts w:ascii="Arial" w:cs="Arial" w:eastAsia="Arial" w:hAnsi="Arial"/>
          <w:sz w:val="21"/>
          <w:szCs w:val="21"/>
          <w:color w:val="auto"/>
        </w:rPr>
        <w:t>” means any natural person, Entity or “group” (within the meaning of Section 13(d) or 14(d) of the Exchange Act), except that “Exchange Act Person” will not include (i) the 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 registered public offering of such securities, (iv) an Entity Owned, directly or indirectly, by the stockholders of the Company in substantially the same proportions as their Ownership of stock of the Company; or (v) any natural person, Entity or “group” (within the meaning of Section 13(d) or 14(d) of the Exchange Act) that, as of the Effective Date, is the Owner, directly or indirectly, of securities of the Company representing more than 50% of the combined voting power of the Company’s then outstanding securities.</w:t>
      </w:r>
    </w:p>
    <w:p>
      <w:pPr>
        <w:spacing w:after="0" w:line="184" w:lineRule="exact"/>
        <w:rPr>
          <w:sz w:val="20"/>
          <w:szCs w:val="20"/>
          <w:color w:val="auto"/>
        </w:rPr>
      </w:pPr>
    </w:p>
    <w:p>
      <w:pPr>
        <w:ind w:firstLine="872"/>
        <w:spacing w:after="0" w:line="274" w:lineRule="auto"/>
        <w:tabs>
          <w:tab w:leader="none" w:pos="1871" w:val="left"/>
        </w:tabs>
        <w:numPr>
          <w:ilvl w:val="0"/>
          <w:numId w:val="50"/>
        </w:numPr>
        <w:rPr>
          <w:rFonts w:ascii="Arial" w:cs="Arial" w:eastAsia="Arial" w:hAnsi="Arial"/>
          <w:sz w:val="21"/>
          <w:szCs w:val="21"/>
          <w:b w:val="1"/>
          <w:bCs w:val="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Fair Market Value</w:t>
      </w:r>
      <w:r>
        <w:rPr>
          <w:rFonts w:ascii="Arial" w:cs="Arial" w:eastAsia="Arial" w:hAnsi="Arial"/>
          <w:sz w:val="21"/>
          <w:szCs w:val="21"/>
          <w:color w:val="auto"/>
        </w:rPr>
        <w:t>” means, as of any date, unless otherwise determined by the Board, the value of the Common Stock (as determined on a per share or aggregate basis, as applicable) determined as follows:</w:t>
      </w:r>
    </w:p>
    <w:p>
      <w:pPr>
        <w:spacing w:after="0" w:line="150" w:lineRule="exact"/>
        <w:rPr>
          <w:rFonts w:ascii="Arial" w:cs="Arial" w:eastAsia="Arial" w:hAnsi="Arial"/>
          <w:sz w:val="21"/>
          <w:szCs w:val="21"/>
          <w:b w:val="1"/>
          <w:bCs w:val="1"/>
          <w:color w:val="auto"/>
        </w:rPr>
      </w:pPr>
    </w:p>
    <w:p>
      <w:pPr>
        <w:jc w:val="both"/>
        <w:ind w:firstLine="1735"/>
        <w:spacing w:after="0" w:line="238" w:lineRule="auto"/>
        <w:tabs>
          <w:tab w:leader="none" w:pos="2579" w:val="left"/>
        </w:tabs>
        <w:numPr>
          <w:ilvl w:val="1"/>
          <w:numId w:val="50"/>
        </w:numPr>
        <w:rPr>
          <w:rFonts w:ascii="Arial" w:cs="Arial" w:eastAsia="Arial" w:hAnsi="Arial"/>
          <w:sz w:val="22"/>
          <w:szCs w:val="22"/>
          <w:b w:val="1"/>
          <w:bCs w:val="1"/>
          <w:color w:val="auto"/>
        </w:rPr>
      </w:pPr>
      <w:r>
        <w:rPr>
          <w:rFonts w:ascii="Arial" w:cs="Arial" w:eastAsia="Arial" w:hAnsi="Arial"/>
          <w:sz w:val="22"/>
          <w:szCs w:val="22"/>
          <w:color w:val="auto"/>
        </w:rPr>
        <w:t>If the Common Stock is listed on any established stock exchange or traded on any established market, the Fair Market Value will be the closing sales price for such stock as quoted on such exchange or market (or the exchange or market with the greatest volume of trading in the Common Stock) on the date of determination, as reported in a source the Board deems reliable.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58" w:name="page59"/>
    <w:bookmarkEnd w:id="58"/>
    <w:p>
      <w:pPr>
        <w:ind w:firstLine="1735"/>
        <w:spacing w:after="0" w:line="274" w:lineRule="auto"/>
        <w:tabs>
          <w:tab w:leader="none" w:pos="2639" w:val="left"/>
        </w:tabs>
        <w:numPr>
          <w:ilvl w:val="1"/>
          <w:numId w:val="51"/>
        </w:numPr>
        <w:rPr>
          <w:rFonts w:ascii="Arial" w:cs="Arial" w:eastAsia="Arial" w:hAnsi="Arial"/>
          <w:sz w:val="21"/>
          <w:szCs w:val="21"/>
          <w:b w:val="1"/>
          <w:bCs w:val="1"/>
          <w:color w:val="auto"/>
        </w:rPr>
      </w:pPr>
      <w:r>
        <w:rPr>
          <w:rFonts w:ascii="Arial" w:cs="Arial" w:eastAsia="Arial" w:hAnsi="Arial"/>
          <w:sz w:val="21"/>
          <w:szCs w:val="21"/>
          <w:color w:val="auto"/>
        </w:rPr>
        <w:t>If there is no closing sales price for the Common Stock on the date of determination, then the Fair Market Value will be the closing selling price on the last preceding date for which such quotation exists.</w:t>
      </w:r>
    </w:p>
    <w:p>
      <w:pPr>
        <w:spacing w:after="0" w:line="150" w:lineRule="exact"/>
        <w:rPr>
          <w:rFonts w:ascii="Arial" w:cs="Arial" w:eastAsia="Arial" w:hAnsi="Arial"/>
          <w:sz w:val="21"/>
          <w:szCs w:val="21"/>
          <w:b w:val="1"/>
          <w:bCs w:val="1"/>
          <w:color w:val="auto"/>
        </w:rPr>
      </w:pPr>
    </w:p>
    <w:p>
      <w:pPr>
        <w:jc w:val="both"/>
        <w:ind w:firstLine="1735"/>
        <w:spacing w:after="0"/>
        <w:tabs>
          <w:tab w:leader="none" w:pos="2699" w:val="left"/>
        </w:tabs>
        <w:numPr>
          <w:ilvl w:val="1"/>
          <w:numId w:val="51"/>
        </w:numPr>
        <w:rPr>
          <w:rFonts w:ascii="Arial" w:cs="Arial" w:eastAsia="Arial" w:hAnsi="Arial"/>
          <w:sz w:val="22"/>
          <w:szCs w:val="22"/>
          <w:b w:val="1"/>
          <w:bCs w:val="1"/>
          <w:color w:val="auto"/>
        </w:rPr>
      </w:pPr>
      <w:r>
        <w:rPr>
          <w:rFonts w:ascii="Arial" w:cs="Arial" w:eastAsia="Arial" w:hAnsi="Arial"/>
          <w:sz w:val="22"/>
          <w:szCs w:val="22"/>
          <w:color w:val="auto"/>
        </w:rPr>
        <w:t>In the absence of such markets for the Common Stock, or if otherwise determined by the Board, the Fair Market Value will be determined by the Board in good faith and in a manner that complies with Sections 409A and 422 of the Code.</w:t>
      </w:r>
    </w:p>
    <w:p>
      <w:pPr>
        <w:spacing w:after="0" w:line="186" w:lineRule="exact"/>
        <w:rPr>
          <w:rFonts w:ascii="Arial" w:cs="Arial" w:eastAsia="Arial" w:hAnsi="Arial"/>
          <w:sz w:val="22"/>
          <w:szCs w:val="22"/>
          <w:b w:val="1"/>
          <w:bCs w:val="1"/>
          <w:color w:val="auto"/>
        </w:rPr>
      </w:pPr>
    </w:p>
    <w:p>
      <w:pPr>
        <w:jc w:val="both"/>
        <w:ind w:firstLine="872"/>
        <w:spacing w:after="0" w:line="246" w:lineRule="auto"/>
        <w:tabs>
          <w:tab w:leader="none" w:pos="1896" w:val="left"/>
        </w:tabs>
        <w:numPr>
          <w:ilvl w:val="0"/>
          <w:numId w:val="52"/>
        </w:numPr>
        <w:rPr>
          <w:rFonts w:ascii="Arial" w:cs="Arial" w:eastAsia="Arial" w:hAnsi="Arial"/>
          <w:sz w:val="21"/>
          <w:szCs w:val="21"/>
          <w:b w:val="1"/>
          <w:bCs w:val="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Governmental Body</w:t>
      </w:r>
      <w:r>
        <w:rPr>
          <w:rFonts w:ascii="Arial" w:cs="Arial" w:eastAsia="Arial" w:hAnsi="Arial"/>
          <w:sz w:val="21"/>
          <w:szCs w:val="21"/>
          <w:color w:val="auto"/>
        </w:rPr>
        <w:t>” means any: (a) nation, state, commonwealth, province, territory, county, municipality, district or other jurisdiction of any nature; (b) federal, state, local, municipal, foreign or other government; (c) governmental or regulatory body, or quasi-governmental body of any nature (including any governmental division, department, administrative agency or bureau, commission, authority, instrumentality, official, ministry, fund, foundation, center, organization, unit, body or Entity and any court or other tribunal, and for the avoidance of doubt, any Tax authority) or other body exercising similar powers or authority; or (d) self-regulatory organization (including the Nasdaq Stock Market, New York Stock Exchange, and the Financial Industry Regulatory Authority).</w:t>
      </w:r>
    </w:p>
    <w:p>
      <w:pPr>
        <w:spacing w:after="0" w:line="184" w:lineRule="exact"/>
        <w:rPr>
          <w:rFonts w:ascii="Arial" w:cs="Arial" w:eastAsia="Arial" w:hAnsi="Arial"/>
          <w:sz w:val="21"/>
          <w:szCs w:val="21"/>
          <w:b w:val="1"/>
          <w:bCs w:val="1"/>
          <w:color w:val="auto"/>
        </w:rPr>
      </w:pPr>
    </w:p>
    <w:p>
      <w:pPr>
        <w:jc w:val="both"/>
        <w:ind w:firstLine="872"/>
        <w:spacing w:after="0" w:line="238" w:lineRule="auto"/>
        <w:tabs>
          <w:tab w:leader="none" w:pos="1847" w:val="left"/>
        </w:tabs>
        <w:numPr>
          <w:ilvl w:val="0"/>
          <w:numId w:val="52"/>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Grant Notice</w:t>
      </w:r>
      <w:r>
        <w:rPr>
          <w:rFonts w:ascii="Arial" w:cs="Arial" w:eastAsia="Arial" w:hAnsi="Arial"/>
          <w:sz w:val="22"/>
          <w:szCs w:val="22"/>
          <w:color w:val="auto"/>
        </w:rPr>
        <w:t>” means the notice provided to a Participant that he or she has been granted an Award under the Plan and which includes the name of the Participant, the type of Award, the date of grant of the Award, number of shares of Common Stock subject to the Award or potential cash payment right, (if any), the vesting schedule for the Award (if any) and other key terms applicable to the Award.</w:t>
      </w:r>
    </w:p>
    <w:p>
      <w:pPr>
        <w:spacing w:after="0" w:line="184" w:lineRule="exact"/>
        <w:rPr>
          <w:rFonts w:ascii="Arial" w:cs="Arial" w:eastAsia="Arial" w:hAnsi="Arial"/>
          <w:sz w:val="22"/>
          <w:szCs w:val="22"/>
          <w:b w:val="1"/>
          <w:bCs w:val="1"/>
          <w:color w:val="auto"/>
        </w:rPr>
      </w:pPr>
    </w:p>
    <w:p>
      <w:pPr>
        <w:ind w:firstLine="872"/>
        <w:spacing w:after="0" w:line="250" w:lineRule="auto"/>
        <w:tabs>
          <w:tab w:leader="none" w:pos="1896" w:val="left"/>
        </w:tabs>
        <w:numPr>
          <w:ilvl w:val="0"/>
          <w:numId w:val="52"/>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Incentive Stock Option</w:t>
      </w:r>
      <w:r>
        <w:rPr>
          <w:rFonts w:ascii="Arial" w:cs="Arial" w:eastAsia="Arial" w:hAnsi="Arial"/>
          <w:sz w:val="22"/>
          <w:szCs w:val="22"/>
          <w:color w:val="auto"/>
        </w:rPr>
        <w:t>” means an option granted pursuant to Section 4 of the Plan that is intended to be, and qualifies as, an “incentive stock option” within the meaning of Section 422 of the Code.</w:t>
      </w:r>
    </w:p>
    <w:p>
      <w:pPr>
        <w:spacing w:after="0" w:line="174" w:lineRule="exact"/>
        <w:rPr>
          <w:rFonts w:ascii="Arial" w:cs="Arial" w:eastAsia="Arial" w:hAnsi="Arial"/>
          <w:sz w:val="22"/>
          <w:szCs w:val="22"/>
          <w:b w:val="1"/>
          <w:bCs w:val="1"/>
          <w:color w:val="auto"/>
        </w:rPr>
      </w:pPr>
    </w:p>
    <w:p>
      <w:pPr>
        <w:jc w:val="both"/>
        <w:ind w:firstLine="872"/>
        <w:spacing w:after="0" w:line="245" w:lineRule="auto"/>
        <w:tabs>
          <w:tab w:leader="none" w:pos="1901" w:val="left"/>
        </w:tabs>
        <w:numPr>
          <w:ilvl w:val="0"/>
          <w:numId w:val="52"/>
        </w:numPr>
        <w:rPr>
          <w:rFonts w:ascii="Arial" w:cs="Arial" w:eastAsia="Arial" w:hAnsi="Arial"/>
          <w:sz w:val="21"/>
          <w:szCs w:val="21"/>
          <w:b w:val="1"/>
          <w:bCs w:val="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Materially Impair</w:t>
      </w:r>
      <w:r>
        <w:rPr>
          <w:rFonts w:ascii="Arial" w:cs="Arial" w:eastAsia="Arial" w:hAnsi="Arial"/>
          <w:sz w:val="21"/>
          <w:szCs w:val="21"/>
          <w:color w:val="auto"/>
        </w:rPr>
        <w:t>” means any amendment to the terms of the Award that materially adversely affects the Participant’s rights under the Award. A Participant's rights under an Award will not be deemed to have been Materially Impaired by any such amendment if the Board, in its sole discretion, determines that the amendment, taken as a whole, does not materially impair the Participant's rights. For example, the following types of amendments to the terms of an Award do not Materially Impair the Participant’s rights under the Award: (i) imposition of reasonable restrictions on the minimum number of shares subject to an Option that may be exercised, (ii) to maintain the qualified status of the Award as an Incentive Stock Option under Section 422 of the Code; (iii) to change the terms of an Incentive Stock Option in a manner that disqualifies, impairs or otherwise affects the qualified status of the Award as an Incentive Stock Option under Section 422 of the Code; (iv) to clarify the manner of exemption from, or to bring the Award into compliance with or qualify it for an exemption from, Section 409A; or (v) to comply with other Applicable Laws.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59" w:name="page60"/>
    <w:bookmarkEnd w:id="59"/>
    <w:p>
      <w:pPr>
        <w:jc w:val="both"/>
        <w:ind w:firstLine="872"/>
        <w:spacing w:after="0" w:line="277" w:lineRule="auto"/>
        <w:tabs>
          <w:tab w:leader="none" w:pos="1799" w:val="left"/>
        </w:tabs>
        <w:numPr>
          <w:ilvl w:val="0"/>
          <w:numId w:val="53"/>
        </w:numPr>
        <w:rPr>
          <w:rFonts w:ascii="Arial" w:cs="Arial" w:eastAsia="Arial" w:hAnsi="Arial"/>
          <w:sz w:val="19"/>
          <w:szCs w:val="19"/>
          <w:b w:val="1"/>
          <w:b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Non-Employee Director</w:t>
      </w:r>
      <w:r>
        <w:rPr>
          <w:rFonts w:ascii="Arial" w:cs="Arial" w:eastAsia="Arial" w:hAnsi="Arial"/>
          <w:sz w:val="19"/>
          <w:szCs w:val="19"/>
          <w:color w:val="auto"/>
        </w:rPr>
        <w:t>” means a Director who either (i) is not a current employee or officer of the Company or an Affiliate, does not receive compensation, either directly or indirectly, from the Company or an Affiliate for services rendered as a consultant or in any capacity other than as a Director (except for an amount as to which disclosure would not be required under Item 404(a) of Regulation S-K promulgated pursuant to the Securities Act (“</w:t>
      </w:r>
      <w:r>
        <w:rPr>
          <w:rFonts w:ascii="Arial" w:cs="Arial" w:eastAsia="Arial" w:hAnsi="Arial"/>
          <w:sz w:val="19"/>
          <w:szCs w:val="19"/>
          <w:b w:val="1"/>
          <w:bCs w:val="1"/>
          <w:i w:val="1"/>
          <w:iCs w:val="1"/>
          <w:color w:val="auto"/>
        </w:rPr>
        <w:t>Regulation S-K</w:t>
      </w:r>
      <w:r>
        <w:rPr>
          <w:rFonts w:ascii="Arial" w:cs="Arial" w:eastAsia="Arial" w:hAnsi="Arial"/>
          <w:sz w:val="19"/>
          <w:szCs w:val="19"/>
          <w:color w:val="auto"/>
        </w:rPr>
        <w:t>”)), does not possess an interest in any other transaction for which disclosure would be required under Item 404(a) of Regulation S-K, and is not engaged in a business relationship for which disclosure would be required pursuant to Item 404(b) of Regulation S-K; or (ii) is otherwise considered a “non-employee director” for purposes of Rule 16b-3.</w:t>
      </w:r>
    </w:p>
    <w:p>
      <w:pPr>
        <w:spacing w:after="0" w:line="151" w:lineRule="exact"/>
        <w:rPr>
          <w:rFonts w:ascii="Arial" w:cs="Arial" w:eastAsia="Arial" w:hAnsi="Arial"/>
          <w:sz w:val="19"/>
          <w:szCs w:val="19"/>
          <w:b w:val="1"/>
          <w:bCs w:val="1"/>
          <w:color w:val="auto"/>
        </w:rPr>
      </w:pPr>
    </w:p>
    <w:p>
      <w:pPr>
        <w:ind w:firstLine="872"/>
        <w:spacing w:after="0" w:line="250" w:lineRule="auto"/>
        <w:tabs>
          <w:tab w:leader="none" w:pos="1871" w:val="left"/>
        </w:tabs>
        <w:numPr>
          <w:ilvl w:val="0"/>
          <w:numId w:val="53"/>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Nonstatutory Stock Option</w:t>
      </w:r>
      <w:r>
        <w:rPr>
          <w:rFonts w:ascii="Arial" w:cs="Arial" w:eastAsia="Arial" w:hAnsi="Arial"/>
          <w:sz w:val="22"/>
          <w:szCs w:val="22"/>
          <w:color w:val="auto"/>
        </w:rPr>
        <w:t>” means any option granted pursuant to Section 4 of the Plan that does not qualify as an Incentive Stock Option.</w:t>
      </w:r>
    </w:p>
    <w:p>
      <w:pPr>
        <w:spacing w:after="0" w:line="174" w:lineRule="exact"/>
        <w:rPr>
          <w:rFonts w:ascii="Arial" w:cs="Arial" w:eastAsia="Arial" w:hAnsi="Arial"/>
          <w:sz w:val="22"/>
          <w:szCs w:val="22"/>
          <w:b w:val="1"/>
          <w:bCs w:val="1"/>
          <w:color w:val="auto"/>
        </w:rPr>
      </w:pPr>
    </w:p>
    <w:p>
      <w:pPr>
        <w:ind w:left="1900" w:hanging="1028"/>
        <w:spacing w:after="0"/>
        <w:tabs>
          <w:tab w:leader="none" w:pos="1900" w:val="left"/>
        </w:tabs>
        <w:numPr>
          <w:ilvl w:val="0"/>
          <w:numId w:val="53"/>
        </w:numPr>
        <w:rPr>
          <w:rFonts w:ascii="Arial" w:cs="Arial" w:eastAsia="Arial" w:hAnsi="Arial"/>
          <w:sz w:val="21"/>
          <w:szCs w:val="21"/>
          <w:b w:val="1"/>
          <w:bCs w:val="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Officer</w:t>
      </w:r>
      <w:r>
        <w:rPr>
          <w:rFonts w:ascii="Arial" w:cs="Arial" w:eastAsia="Arial" w:hAnsi="Arial"/>
          <w:sz w:val="21"/>
          <w:szCs w:val="21"/>
          <w:color w:val="auto"/>
        </w:rPr>
        <w:t>” means a person who is an officer of the Company within the meaning of Section 16 of the</w:t>
      </w:r>
    </w:p>
    <w:p>
      <w:pPr>
        <w:spacing w:after="0" w:line="19" w:lineRule="exact"/>
        <w:rPr>
          <w:rFonts w:ascii="Arial" w:cs="Arial" w:eastAsia="Arial" w:hAnsi="Arial"/>
          <w:sz w:val="21"/>
          <w:szCs w:val="21"/>
          <w:b w:val="1"/>
          <w:bCs w:val="1"/>
          <w:color w:val="auto"/>
        </w:rPr>
      </w:pPr>
    </w:p>
    <w:p>
      <w:pPr>
        <w:spacing w:after="0"/>
        <w:rPr>
          <w:rFonts w:ascii="Arial" w:cs="Arial" w:eastAsia="Arial" w:hAnsi="Arial"/>
          <w:sz w:val="21"/>
          <w:szCs w:val="21"/>
          <w:b w:val="1"/>
          <w:bCs w:val="1"/>
          <w:color w:val="auto"/>
        </w:rPr>
      </w:pPr>
      <w:r>
        <w:rPr>
          <w:rFonts w:ascii="Arial" w:cs="Arial" w:eastAsia="Arial" w:hAnsi="Arial"/>
          <w:sz w:val="22"/>
          <w:szCs w:val="22"/>
          <w:color w:val="auto"/>
        </w:rPr>
        <w:t>Exchange Act.</w:t>
      </w:r>
    </w:p>
    <w:p>
      <w:pPr>
        <w:spacing w:after="0" w:line="188" w:lineRule="exact"/>
        <w:rPr>
          <w:rFonts w:ascii="Arial" w:cs="Arial" w:eastAsia="Arial" w:hAnsi="Arial"/>
          <w:sz w:val="21"/>
          <w:szCs w:val="21"/>
          <w:b w:val="1"/>
          <w:bCs w:val="1"/>
          <w:color w:val="auto"/>
        </w:rPr>
      </w:pPr>
    </w:p>
    <w:p>
      <w:pPr>
        <w:ind w:firstLine="872"/>
        <w:spacing w:after="0" w:line="250" w:lineRule="auto"/>
        <w:tabs>
          <w:tab w:leader="none" w:pos="1775" w:val="left"/>
        </w:tabs>
        <w:numPr>
          <w:ilvl w:val="0"/>
          <w:numId w:val="53"/>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Option</w:t>
      </w:r>
      <w:r>
        <w:rPr>
          <w:rFonts w:ascii="Arial" w:cs="Arial" w:eastAsia="Arial" w:hAnsi="Arial"/>
          <w:sz w:val="22"/>
          <w:szCs w:val="22"/>
          <w:color w:val="auto"/>
        </w:rPr>
        <w:t>” means an Incentive Stock Option or a Nonstatutory Stock Option to purchase shares of Common Stock granted pursuant to the Plan.</w:t>
      </w:r>
    </w:p>
    <w:p>
      <w:pPr>
        <w:spacing w:after="0" w:line="174" w:lineRule="exact"/>
        <w:rPr>
          <w:rFonts w:ascii="Arial" w:cs="Arial" w:eastAsia="Arial" w:hAnsi="Arial"/>
          <w:sz w:val="22"/>
          <w:szCs w:val="22"/>
          <w:b w:val="1"/>
          <w:bCs w:val="1"/>
          <w:color w:val="auto"/>
        </w:rPr>
      </w:pPr>
    </w:p>
    <w:p>
      <w:pPr>
        <w:jc w:val="both"/>
        <w:ind w:firstLine="872"/>
        <w:spacing w:after="0" w:line="287" w:lineRule="auto"/>
        <w:tabs>
          <w:tab w:leader="none" w:pos="1799" w:val="left"/>
        </w:tabs>
        <w:numPr>
          <w:ilvl w:val="0"/>
          <w:numId w:val="53"/>
        </w:numPr>
        <w:rPr>
          <w:rFonts w:ascii="Arial" w:cs="Arial" w:eastAsia="Arial" w:hAnsi="Arial"/>
          <w:sz w:val="19"/>
          <w:szCs w:val="19"/>
          <w:b w:val="1"/>
          <w:b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Option Agreement</w:t>
      </w:r>
      <w:r>
        <w:rPr>
          <w:rFonts w:ascii="Arial" w:cs="Arial" w:eastAsia="Arial" w:hAnsi="Arial"/>
          <w:sz w:val="19"/>
          <w:szCs w:val="19"/>
          <w:color w:val="auto"/>
        </w:rPr>
        <w:t>” means a written agreement between the Company and the Optionholder evidencing the terms and conditions of the Option grant. The Option Agreement includes the Grant Notice for the Option and the agreement containing the written summary of the general terms and conditions applicable to the Option and which is provided to a Participant along with the Grant Notice. Each Option Agreement will be subject to the terms and conditions of the Plan.</w:t>
      </w:r>
    </w:p>
    <w:p>
      <w:pPr>
        <w:spacing w:after="0" w:line="142" w:lineRule="exact"/>
        <w:rPr>
          <w:rFonts w:ascii="Arial" w:cs="Arial" w:eastAsia="Arial" w:hAnsi="Arial"/>
          <w:sz w:val="19"/>
          <w:szCs w:val="19"/>
          <w:b w:val="1"/>
          <w:bCs w:val="1"/>
          <w:color w:val="auto"/>
        </w:rPr>
      </w:pPr>
    </w:p>
    <w:p>
      <w:pPr>
        <w:ind w:firstLine="872"/>
        <w:spacing w:after="0" w:line="250" w:lineRule="auto"/>
        <w:tabs>
          <w:tab w:leader="none" w:pos="1896" w:val="left"/>
        </w:tabs>
        <w:numPr>
          <w:ilvl w:val="0"/>
          <w:numId w:val="53"/>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Optionholder</w:t>
      </w:r>
      <w:r>
        <w:rPr>
          <w:rFonts w:ascii="Arial" w:cs="Arial" w:eastAsia="Arial" w:hAnsi="Arial"/>
          <w:sz w:val="22"/>
          <w:szCs w:val="22"/>
          <w:color w:val="auto"/>
        </w:rPr>
        <w:t>” means a person to whom an Option is granted pursuant to the Plan or, if applicable, such other person who holds an outstanding Option.</w:t>
      </w:r>
    </w:p>
    <w:p>
      <w:pPr>
        <w:spacing w:after="0" w:line="174" w:lineRule="exact"/>
        <w:rPr>
          <w:rFonts w:ascii="Arial" w:cs="Arial" w:eastAsia="Arial" w:hAnsi="Arial"/>
          <w:sz w:val="22"/>
          <w:szCs w:val="22"/>
          <w:b w:val="1"/>
          <w:bCs w:val="1"/>
          <w:color w:val="auto"/>
        </w:rPr>
      </w:pPr>
    </w:p>
    <w:p>
      <w:pPr>
        <w:ind w:firstLine="872"/>
        <w:spacing w:after="0" w:line="250" w:lineRule="auto"/>
        <w:tabs>
          <w:tab w:leader="none" w:pos="1775" w:val="left"/>
        </w:tabs>
        <w:numPr>
          <w:ilvl w:val="0"/>
          <w:numId w:val="53"/>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Other Award</w:t>
      </w:r>
      <w:r>
        <w:rPr>
          <w:rFonts w:ascii="Arial" w:cs="Arial" w:eastAsia="Arial" w:hAnsi="Arial"/>
          <w:sz w:val="22"/>
          <w:szCs w:val="22"/>
          <w:color w:val="auto"/>
        </w:rPr>
        <w:t>” means an award based in whole or in part by reference to the Common Stock which is granted pursuant to the terms and conditions of Section 5(c).</w:t>
      </w:r>
    </w:p>
    <w:p>
      <w:pPr>
        <w:spacing w:after="0" w:line="174" w:lineRule="exact"/>
        <w:rPr>
          <w:rFonts w:ascii="Arial" w:cs="Arial" w:eastAsia="Arial" w:hAnsi="Arial"/>
          <w:sz w:val="22"/>
          <w:szCs w:val="22"/>
          <w:b w:val="1"/>
          <w:bCs w:val="1"/>
          <w:color w:val="auto"/>
        </w:rPr>
      </w:pPr>
    </w:p>
    <w:p>
      <w:pPr>
        <w:jc w:val="both"/>
        <w:ind w:firstLine="872"/>
        <w:spacing w:after="0"/>
        <w:tabs>
          <w:tab w:leader="none" w:pos="2015" w:val="left"/>
        </w:tabs>
        <w:numPr>
          <w:ilvl w:val="0"/>
          <w:numId w:val="53"/>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Other Award Agreement</w:t>
      </w:r>
      <w:r>
        <w:rPr>
          <w:rFonts w:ascii="Arial" w:cs="Arial" w:eastAsia="Arial" w:hAnsi="Arial"/>
          <w:sz w:val="22"/>
          <w:szCs w:val="22"/>
          <w:color w:val="auto"/>
        </w:rPr>
        <w:t>” means a written agreement between the Company and a holder of an Other Award evidencing the terms and conditions of an Other Award grant. Each Other Award Agreement will be subject to the terms and conditions of the Plan.</w:t>
      </w:r>
    </w:p>
    <w:p>
      <w:pPr>
        <w:spacing w:after="0" w:line="186" w:lineRule="exact"/>
        <w:rPr>
          <w:rFonts w:ascii="Arial" w:cs="Arial" w:eastAsia="Arial" w:hAnsi="Arial"/>
          <w:sz w:val="22"/>
          <w:szCs w:val="22"/>
          <w:b w:val="1"/>
          <w:bCs w:val="1"/>
          <w:color w:val="auto"/>
        </w:rPr>
      </w:pPr>
    </w:p>
    <w:p>
      <w:pPr>
        <w:jc w:val="both"/>
        <w:ind w:firstLine="872"/>
        <w:spacing w:after="0" w:line="238" w:lineRule="auto"/>
        <w:tabs>
          <w:tab w:leader="none" w:pos="1896" w:val="left"/>
        </w:tabs>
        <w:numPr>
          <w:ilvl w:val="0"/>
          <w:numId w:val="53"/>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Own,</w:t>
      </w:r>
      <w:r>
        <w:rPr>
          <w:rFonts w:ascii="Arial" w:cs="Arial" w:eastAsia="Arial" w:hAnsi="Arial"/>
          <w:sz w:val="22"/>
          <w:szCs w:val="22"/>
          <w:color w:val="auto"/>
        </w:rPr>
        <w:t>” “</w:t>
      </w:r>
      <w:r>
        <w:rPr>
          <w:rFonts w:ascii="Arial" w:cs="Arial" w:eastAsia="Arial" w:hAnsi="Arial"/>
          <w:sz w:val="22"/>
          <w:szCs w:val="22"/>
          <w:b w:val="1"/>
          <w:bCs w:val="1"/>
          <w:i w:val="1"/>
          <w:iCs w:val="1"/>
          <w:color w:val="auto"/>
        </w:rPr>
        <w:t>Owned,</w:t>
      </w:r>
      <w:r>
        <w:rPr>
          <w:rFonts w:ascii="Arial" w:cs="Arial" w:eastAsia="Arial" w:hAnsi="Arial"/>
          <w:sz w:val="22"/>
          <w:szCs w:val="22"/>
          <w:color w:val="auto"/>
        </w:rPr>
        <w:t>” “</w:t>
      </w:r>
      <w:r>
        <w:rPr>
          <w:rFonts w:ascii="Arial" w:cs="Arial" w:eastAsia="Arial" w:hAnsi="Arial"/>
          <w:sz w:val="22"/>
          <w:szCs w:val="22"/>
          <w:b w:val="1"/>
          <w:bCs w:val="1"/>
          <w:i w:val="1"/>
          <w:iCs w:val="1"/>
          <w:color w:val="auto"/>
        </w:rPr>
        <w:t>Owner,</w:t>
      </w:r>
      <w:r>
        <w:rPr>
          <w:rFonts w:ascii="Arial" w:cs="Arial" w:eastAsia="Arial" w:hAnsi="Arial"/>
          <w:sz w:val="22"/>
          <w:szCs w:val="22"/>
          <w:color w:val="auto"/>
        </w:rPr>
        <w:t>” “</w:t>
      </w:r>
      <w:r>
        <w:rPr>
          <w:rFonts w:ascii="Arial" w:cs="Arial" w:eastAsia="Arial" w:hAnsi="Arial"/>
          <w:sz w:val="22"/>
          <w:szCs w:val="22"/>
          <w:b w:val="1"/>
          <w:bCs w:val="1"/>
          <w:i w:val="1"/>
          <w:iCs w:val="1"/>
          <w:color w:val="auto"/>
        </w:rPr>
        <w:t>Ownership</w:t>
      </w:r>
      <w:r>
        <w:rPr>
          <w:rFonts w:ascii="Arial" w:cs="Arial" w:eastAsia="Arial" w:hAnsi="Arial"/>
          <w:sz w:val="22"/>
          <w:szCs w:val="22"/>
          <w:color w:val="auto"/>
        </w:rPr>
        <w:t>” means that a person or Entity will be deemed to “Own,” to have “Owned,” to be the “Owner” of, or to have acquired “Ownership” of securities if such person or Entity, directly or indirectly, through any contract, arrangement, understanding, relationship or otherwise, has or shares voting power, which includes the power to vote or to direct the voting, with respect to such securities.</w:t>
      </w:r>
    </w:p>
    <w:p>
      <w:pPr>
        <w:spacing w:after="0" w:line="184" w:lineRule="exact"/>
        <w:rPr>
          <w:rFonts w:ascii="Arial" w:cs="Arial" w:eastAsia="Arial" w:hAnsi="Arial"/>
          <w:sz w:val="22"/>
          <w:szCs w:val="22"/>
          <w:b w:val="1"/>
          <w:bCs w:val="1"/>
          <w:color w:val="auto"/>
        </w:rPr>
      </w:pPr>
    </w:p>
    <w:p>
      <w:pPr>
        <w:ind w:firstLine="872"/>
        <w:spacing w:after="0" w:line="250" w:lineRule="auto"/>
        <w:tabs>
          <w:tab w:leader="none" w:pos="1871" w:val="left"/>
        </w:tabs>
        <w:numPr>
          <w:ilvl w:val="0"/>
          <w:numId w:val="53"/>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Participant</w:t>
      </w:r>
      <w:r>
        <w:rPr>
          <w:rFonts w:ascii="Arial" w:cs="Arial" w:eastAsia="Arial" w:hAnsi="Arial"/>
          <w:sz w:val="22"/>
          <w:szCs w:val="22"/>
          <w:color w:val="auto"/>
        </w:rPr>
        <w:t>” means an Employee, Director or Consultant to whom an Award is granted pursuant to the Plan or, if applicable, such other person who holds an outstanding Award.</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60" w:name="page61"/>
    <w:bookmarkEnd w:id="60"/>
    <w:p>
      <w:pPr>
        <w:jc w:val="both"/>
        <w:ind w:firstLine="872"/>
        <w:spacing w:after="0" w:line="279" w:lineRule="auto"/>
        <w:tabs>
          <w:tab w:leader="none" w:pos="1896" w:val="left"/>
        </w:tabs>
        <w:numPr>
          <w:ilvl w:val="1"/>
          <w:numId w:val="54"/>
        </w:numPr>
        <w:rPr>
          <w:rFonts w:ascii="Arial" w:cs="Arial" w:eastAsia="Arial" w:hAnsi="Arial"/>
          <w:sz w:val="19"/>
          <w:szCs w:val="19"/>
          <w:b w:val="1"/>
          <w:b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Performance Award</w:t>
      </w:r>
      <w:r>
        <w:rPr>
          <w:rFonts w:ascii="Arial" w:cs="Arial" w:eastAsia="Arial" w:hAnsi="Arial"/>
          <w:sz w:val="19"/>
          <w:szCs w:val="19"/>
          <w:color w:val="auto"/>
        </w:rPr>
        <w:t>” means an Award that may vest or may be exercised or a cash award that may vest or become earned and paid contingent upon the attainment during a Performance Period of certain Performance Goals and which is granted under the terms and conditions of Section 5(b) pursuant to such terms as are approved by the Board. In addition, to the extent permitted by Applicable Law and set forth in the applicable Award Agreement, the Board may determine that cash or other property may be used in payment of Performance Awards. Performance Awards that are settled in cash or other property are not required to be valued in whole or in part by reference to, or otherwise based on, the Common Stock.</w:t>
      </w:r>
    </w:p>
    <w:p>
      <w:pPr>
        <w:spacing w:after="0" w:line="150" w:lineRule="exact"/>
        <w:rPr>
          <w:rFonts w:ascii="Arial" w:cs="Arial" w:eastAsia="Arial" w:hAnsi="Arial"/>
          <w:sz w:val="19"/>
          <w:szCs w:val="19"/>
          <w:b w:val="1"/>
          <w:bCs w:val="1"/>
          <w:color w:val="auto"/>
        </w:rPr>
      </w:pPr>
    </w:p>
    <w:p>
      <w:pPr>
        <w:jc w:val="both"/>
        <w:ind w:firstLine="872"/>
        <w:spacing w:after="0"/>
        <w:tabs>
          <w:tab w:leader="none" w:pos="2004" w:val="left"/>
        </w:tabs>
        <w:numPr>
          <w:ilvl w:val="1"/>
          <w:numId w:val="54"/>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Performance Criteria</w:t>
      </w:r>
      <w:r>
        <w:rPr>
          <w:rFonts w:ascii="Arial" w:cs="Arial" w:eastAsia="Arial" w:hAnsi="Arial"/>
          <w:sz w:val="22"/>
          <w:szCs w:val="22"/>
          <w:color w:val="auto"/>
        </w:rPr>
        <w:t>” means the one or more criteria that the Board will select for purposes of establishing the Performance Goals for a Performance Period. The Performance Criteria that will be used to establish such Performance Goals may be based on any measure of performance selected by the Board.</w:t>
      </w:r>
    </w:p>
    <w:p>
      <w:pPr>
        <w:spacing w:after="0" w:line="186" w:lineRule="exact"/>
        <w:rPr>
          <w:rFonts w:ascii="Arial" w:cs="Arial" w:eastAsia="Arial" w:hAnsi="Arial"/>
          <w:sz w:val="22"/>
          <w:szCs w:val="22"/>
          <w:b w:val="1"/>
          <w:bCs w:val="1"/>
          <w:color w:val="auto"/>
        </w:rPr>
      </w:pPr>
    </w:p>
    <w:p>
      <w:pPr>
        <w:jc w:val="both"/>
        <w:ind w:firstLine="872"/>
        <w:spacing w:after="0" w:line="268" w:lineRule="auto"/>
        <w:tabs>
          <w:tab w:leader="none" w:pos="1847" w:val="left"/>
        </w:tabs>
        <w:numPr>
          <w:ilvl w:val="1"/>
          <w:numId w:val="54"/>
        </w:numPr>
        <w:rPr>
          <w:rFonts w:ascii="Arial" w:cs="Arial" w:eastAsia="Arial" w:hAnsi="Arial"/>
          <w:sz w:val="19"/>
          <w:szCs w:val="19"/>
          <w:b w:val="1"/>
          <w:b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Performance Goals</w:t>
      </w:r>
      <w:r>
        <w:rPr>
          <w:rFonts w:ascii="Arial" w:cs="Arial" w:eastAsia="Arial" w:hAnsi="Arial"/>
          <w:sz w:val="19"/>
          <w:szCs w:val="19"/>
          <w:color w:val="auto"/>
        </w:rPr>
        <w:t>” means, for a Performance Period, the one or more goals established by the Board for the Performance Period based upon the Performance Criteria.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by the Board (i) in the Award Agreement at the time the Award is granted or (ii) in such other document setting forth the Performance Goals at the time the Performance Goals are established, the Board will appropriately make adjustments in the method of calculating the attainment of Performance Goals for a Performance Period as follows: (1) to exclude restructuring and/or other nonrecurring charges; (2) to exclude exchange rate effects; (3) to exclude the effects of changes to generally accepted accounting principles; (4) to exclude the effects of any statutory adjustments to corporate tax rates; (5) to exclude the effects of items that are “unusual” in nature or occur “infrequently” as determined under generally accepted accounting principles; (6) to exclude the dilutive effects of acquisitions or joint ventures; (7) to assume that any business divested by the Company achieved performance objectives at targeted levels during the balance of a Performance Period following such divestiture; (8) to exclude the effect of any change in the outstanding shares of common stock of the Company by reason of any stock dividend or split, stock repurchase, reorganization, recapitalization, merger, consolidation, spin-off, combination or exchange of shares or other similar corporate change, or any distributions to common stockholders other than regular cash dividends; (9) to exclude the effects of stock based compensation and the award of bonuses under the Company’s bonus plans;</w:t>
      </w:r>
    </w:p>
    <w:p>
      <w:pPr>
        <w:spacing w:after="0" w:line="2" w:lineRule="exact"/>
        <w:rPr>
          <w:rFonts w:ascii="Arial" w:cs="Arial" w:eastAsia="Arial" w:hAnsi="Arial"/>
          <w:sz w:val="19"/>
          <w:szCs w:val="19"/>
          <w:b w:val="1"/>
          <w:bCs w:val="1"/>
          <w:color w:val="auto"/>
        </w:rPr>
      </w:pPr>
    </w:p>
    <w:p>
      <w:pPr>
        <w:jc w:val="both"/>
        <w:ind w:firstLine="8"/>
        <w:spacing w:after="0" w:line="272" w:lineRule="auto"/>
        <w:tabs>
          <w:tab w:leader="none" w:pos="457" w:val="left"/>
        </w:tabs>
        <w:numPr>
          <w:ilvl w:val="0"/>
          <w:numId w:val="55"/>
        </w:numPr>
        <w:rPr>
          <w:rFonts w:ascii="Arial" w:cs="Arial" w:eastAsia="Arial" w:hAnsi="Arial"/>
          <w:sz w:val="19"/>
          <w:szCs w:val="19"/>
          <w:color w:val="auto"/>
        </w:rPr>
      </w:pPr>
      <w:r>
        <w:rPr>
          <w:rFonts w:ascii="Arial" w:cs="Arial" w:eastAsia="Arial" w:hAnsi="Arial"/>
          <w:sz w:val="19"/>
          <w:szCs w:val="19"/>
          <w:color w:val="auto"/>
        </w:rPr>
        <w:t>to exclude costs incurred in connection with potential acquisitions or divestitures that are required to expensed under generally accepted accounting principles; (11) to exclude the goodwill and intangible asset impairment charges that are required to be recorded under generally accepted accounting principles; and (12) to exclude the effects of the timing of acceptance for filing, review and/or approval of submissions to the U.S. Food and Drug Administration or any other regulatory body. In addition, the Board retains the discretion to reduce or eliminate the compensation or economic benefit due upon attainment of Performance Goals and to define the manner of calculating the Performance Criteria it selects to use for such Performance Period. Partial achievement of the specified criteria may result in the payment or vesting corresponding to the degree of achievement as specified in the Award Agreement or the written terms of a Performance Cash Award.</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61" w:name="page62"/>
    <w:bookmarkEnd w:id="61"/>
    <w:p>
      <w:pPr>
        <w:jc w:val="both"/>
        <w:ind w:firstLine="872"/>
        <w:spacing w:after="0" w:line="297" w:lineRule="auto"/>
        <w:tabs>
          <w:tab w:leader="none" w:pos="1824" w:val="left"/>
        </w:tabs>
        <w:numPr>
          <w:ilvl w:val="0"/>
          <w:numId w:val="56"/>
        </w:numPr>
        <w:rPr>
          <w:rFonts w:ascii="Arial" w:cs="Arial" w:eastAsia="Arial" w:hAnsi="Arial"/>
          <w:sz w:val="19"/>
          <w:szCs w:val="19"/>
          <w:b w:val="1"/>
          <w:b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Performance Period</w:t>
      </w:r>
      <w:r>
        <w:rPr>
          <w:rFonts w:ascii="Arial" w:cs="Arial" w:eastAsia="Arial" w:hAnsi="Arial"/>
          <w:sz w:val="19"/>
          <w:szCs w:val="19"/>
          <w:color w:val="auto"/>
        </w:rPr>
        <w:t>” means the period of time selected by the Board over which the attainment of one or more Performance Goals will be measured for the purpose of determining a Participant’s right to vesting or exercise of an Award. Performance Periods may be of varying and overlapping duration, at the sole discretion of the Board.</w:t>
      </w:r>
    </w:p>
    <w:p>
      <w:pPr>
        <w:spacing w:after="0" w:line="133" w:lineRule="exact"/>
        <w:rPr>
          <w:rFonts w:ascii="Arial" w:cs="Arial" w:eastAsia="Arial" w:hAnsi="Arial"/>
          <w:sz w:val="19"/>
          <w:szCs w:val="19"/>
          <w:b w:val="1"/>
          <w:bCs w:val="1"/>
          <w:color w:val="auto"/>
        </w:rPr>
      </w:pPr>
    </w:p>
    <w:p>
      <w:pPr>
        <w:ind w:left="1800" w:hanging="928"/>
        <w:spacing w:after="0"/>
        <w:tabs>
          <w:tab w:leader="none" w:pos="1800" w:val="left"/>
        </w:tabs>
        <w:numPr>
          <w:ilvl w:val="0"/>
          <w:numId w:val="56"/>
        </w:numPr>
        <w:rPr>
          <w:rFonts w:ascii="Arial" w:cs="Arial" w:eastAsia="Arial" w:hAnsi="Arial"/>
          <w:sz w:val="21"/>
          <w:szCs w:val="21"/>
          <w:b w:val="1"/>
          <w:bCs w:val="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Plan</w:t>
      </w:r>
      <w:r>
        <w:rPr>
          <w:rFonts w:ascii="Arial" w:cs="Arial" w:eastAsia="Arial" w:hAnsi="Arial"/>
          <w:sz w:val="21"/>
          <w:szCs w:val="21"/>
          <w:color w:val="auto"/>
        </w:rPr>
        <w:t>” means this Amended and Restated Minerva Neurosciences, Inc. 2013 Equity Incentive Plan.</w:t>
      </w:r>
    </w:p>
    <w:p>
      <w:pPr>
        <w:spacing w:after="0" w:line="217" w:lineRule="exact"/>
        <w:rPr>
          <w:rFonts w:ascii="Arial" w:cs="Arial" w:eastAsia="Arial" w:hAnsi="Arial"/>
          <w:sz w:val="21"/>
          <w:szCs w:val="21"/>
          <w:b w:val="1"/>
          <w:bCs w:val="1"/>
          <w:color w:val="auto"/>
        </w:rPr>
      </w:pPr>
    </w:p>
    <w:p>
      <w:pPr>
        <w:ind w:firstLine="872"/>
        <w:spacing w:after="0" w:line="274" w:lineRule="auto"/>
        <w:tabs>
          <w:tab w:leader="none" w:pos="1896" w:val="left"/>
        </w:tabs>
        <w:numPr>
          <w:ilvl w:val="0"/>
          <w:numId w:val="56"/>
        </w:numPr>
        <w:rPr>
          <w:rFonts w:ascii="Arial" w:cs="Arial" w:eastAsia="Arial" w:hAnsi="Arial"/>
          <w:sz w:val="21"/>
          <w:szCs w:val="21"/>
          <w:b w:val="1"/>
          <w:bCs w:val="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Plan Administrator</w:t>
      </w:r>
      <w:r>
        <w:rPr>
          <w:rFonts w:ascii="Arial" w:cs="Arial" w:eastAsia="Arial" w:hAnsi="Arial"/>
          <w:sz w:val="21"/>
          <w:szCs w:val="21"/>
          <w:color w:val="auto"/>
        </w:rPr>
        <w:t>” means the person, persons, and/or third-party administrator designated by the Company to administer the day to day operations of the Plan and the Company’s other equity incentive programs.</w:t>
      </w:r>
    </w:p>
    <w:p>
      <w:pPr>
        <w:spacing w:after="0" w:line="150" w:lineRule="exact"/>
        <w:rPr>
          <w:rFonts w:ascii="Arial" w:cs="Arial" w:eastAsia="Arial" w:hAnsi="Arial"/>
          <w:sz w:val="21"/>
          <w:szCs w:val="21"/>
          <w:b w:val="1"/>
          <w:bCs w:val="1"/>
          <w:color w:val="auto"/>
        </w:rPr>
      </w:pPr>
    </w:p>
    <w:p>
      <w:pPr>
        <w:ind w:firstLine="872"/>
        <w:spacing w:after="0" w:line="250" w:lineRule="auto"/>
        <w:tabs>
          <w:tab w:leader="none" w:pos="1871" w:val="left"/>
        </w:tabs>
        <w:numPr>
          <w:ilvl w:val="0"/>
          <w:numId w:val="56"/>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Post-Termination Exercise Period</w:t>
      </w:r>
      <w:r>
        <w:rPr>
          <w:rFonts w:ascii="Arial" w:cs="Arial" w:eastAsia="Arial" w:hAnsi="Arial"/>
          <w:sz w:val="22"/>
          <w:szCs w:val="22"/>
          <w:color w:val="auto"/>
        </w:rPr>
        <w:t>” means the period following termination of a Participant’s Continuous Service within which an Option or SAR is exercisable, as specified in Section 4(h).</w:t>
      </w:r>
    </w:p>
    <w:p>
      <w:pPr>
        <w:spacing w:after="0" w:line="174" w:lineRule="exact"/>
        <w:rPr>
          <w:rFonts w:ascii="Arial" w:cs="Arial" w:eastAsia="Arial" w:hAnsi="Arial"/>
          <w:sz w:val="22"/>
          <w:szCs w:val="22"/>
          <w:b w:val="1"/>
          <w:bCs w:val="1"/>
          <w:color w:val="auto"/>
        </w:rPr>
      </w:pPr>
    </w:p>
    <w:p>
      <w:pPr>
        <w:ind w:firstLine="872"/>
        <w:spacing w:after="0" w:line="250" w:lineRule="auto"/>
        <w:tabs>
          <w:tab w:leader="none" w:pos="1967" w:val="left"/>
        </w:tabs>
        <w:numPr>
          <w:ilvl w:val="0"/>
          <w:numId w:val="56"/>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Prior Plan’s Available Reserve</w:t>
      </w:r>
      <w:r>
        <w:rPr>
          <w:rFonts w:ascii="Arial" w:cs="Arial" w:eastAsia="Arial" w:hAnsi="Arial"/>
          <w:sz w:val="22"/>
          <w:szCs w:val="22"/>
          <w:color w:val="auto"/>
        </w:rPr>
        <w:t>” means the number of shares available for the grant of new awards under the Prior Plan as of immediately prior to the Effective Date.</w:t>
      </w:r>
    </w:p>
    <w:p>
      <w:pPr>
        <w:spacing w:after="0" w:line="174" w:lineRule="exact"/>
        <w:rPr>
          <w:rFonts w:ascii="Arial" w:cs="Arial" w:eastAsia="Arial" w:hAnsi="Arial"/>
          <w:sz w:val="22"/>
          <w:szCs w:val="22"/>
          <w:b w:val="1"/>
          <w:bCs w:val="1"/>
          <w:color w:val="auto"/>
        </w:rPr>
      </w:pPr>
    </w:p>
    <w:p>
      <w:pPr>
        <w:ind w:firstLine="872"/>
        <w:spacing w:after="0" w:line="250" w:lineRule="auto"/>
        <w:tabs>
          <w:tab w:leader="none" w:pos="1871" w:val="left"/>
        </w:tabs>
        <w:numPr>
          <w:ilvl w:val="0"/>
          <w:numId w:val="56"/>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Prior Plan</w:t>
      </w:r>
      <w:r>
        <w:rPr>
          <w:rFonts w:ascii="Arial" w:cs="Arial" w:eastAsia="Arial" w:hAnsi="Arial"/>
          <w:sz w:val="22"/>
          <w:szCs w:val="22"/>
          <w:color w:val="auto"/>
        </w:rPr>
        <w:t>” means the Amended and Restated Minerva Neurosciences, Inc. 2013 Equity Incentive Plan prior to the Effective Date the Plan.</w:t>
      </w:r>
    </w:p>
    <w:p>
      <w:pPr>
        <w:spacing w:after="0" w:line="174" w:lineRule="exact"/>
        <w:rPr>
          <w:rFonts w:ascii="Arial" w:cs="Arial" w:eastAsia="Arial" w:hAnsi="Arial"/>
          <w:sz w:val="22"/>
          <w:szCs w:val="22"/>
          <w:b w:val="1"/>
          <w:bCs w:val="1"/>
          <w:color w:val="auto"/>
        </w:rPr>
      </w:pPr>
    </w:p>
    <w:p>
      <w:pPr>
        <w:ind w:left="1880" w:hanging="1008"/>
        <w:spacing w:after="0"/>
        <w:tabs>
          <w:tab w:leader="none" w:pos="1880" w:val="left"/>
        </w:tabs>
        <w:numPr>
          <w:ilvl w:val="0"/>
          <w:numId w:val="56"/>
        </w:numPr>
        <w:rPr>
          <w:rFonts w:ascii="Arial" w:cs="Arial" w:eastAsia="Arial" w:hAnsi="Arial"/>
          <w:sz w:val="21"/>
          <w:szCs w:val="21"/>
          <w:b w:val="1"/>
          <w:bCs w:val="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Prospectus</w:t>
      </w:r>
      <w:r>
        <w:rPr>
          <w:rFonts w:ascii="Arial" w:cs="Arial" w:eastAsia="Arial" w:hAnsi="Arial"/>
          <w:sz w:val="21"/>
          <w:szCs w:val="21"/>
          <w:color w:val="auto"/>
        </w:rPr>
        <w:t>” means the document containing the Plan information specified in Section 10(a) of the</w:t>
      </w:r>
    </w:p>
    <w:p>
      <w:pPr>
        <w:spacing w:after="0" w:line="19" w:lineRule="exact"/>
        <w:rPr>
          <w:rFonts w:ascii="Arial" w:cs="Arial" w:eastAsia="Arial" w:hAnsi="Arial"/>
          <w:sz w:val="21"/>
          <w:szCs w:val="21"/>
          <w:b w:val="1"/>
          <w:bCs w:val="1"/>
          <w:color w:val="auto"/>
        </w:rPr>
      </w:pPr>
    </w:p>
    <w:p>
      <w:pPr>
        <w:spacing w:after="0"/>
        <w:rPr>
          <w:rFonts w:ascii="Arial" w:cs="Arial" w:eastAsia="Arial" w:hAnsi="Arial"/>
          <w:sz w:val="21"/>
          <w:szCs w:val="21"/>
          <w:b w:val="1"/>
          <w:bCs w:val="1"/>
          <w:color w:val="auto"/>
        </w:rPr>
      </w:pPr>
      <w:r>
        <w:rPr>
          <w:rFonts w:ascii="Arial" w:cs="Arial" w:eastAsia="Arial" w:hAnsi="Arial"/>
          <w:sz w:val="22"/>
          <w:szCs w:val="22"/>
          <w:color w:val="auto"/>
        </w:rPr>
        <w:t>Securities Act.</w:t>
      </w:r>
    </w:p>
    <w:p>
      <w:pPr>
        <w:spacing w:after="0" w:line="188" w:lineRule="exact"/>
        <w:rPr>
          <w:rFonts w:ascii="Arial" w:cs="Arial" w:eastAsia="Arial" w:hAnsi="Arial"/>
          <w:sz w:val="21"/>
          <w:szCs w:val="21"/>
          <w:b w:val="1"/>
          <w:bCs w:val="1"/>
          <w:color w:val="auto"/>
        </w:rPr>
      </w:pPr>
    </w:p>
    <w:p>
      <w:pPr>
        <w:ind w:firstLine="872"/>
        <w:spacing w:after="0" w:line="250" w:lineRule="auto"/>
        <w:tabs>
          <w:tab w:leader="none" w:pos="1847" w:val="left"/>
        </w:tabs>
        <w:numPr>
          <w:ilvl w:val="0"/>
          <w:numId w:val="56"/>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Restricted Stock Award</w:t>
      </w:r>
      <w:r>
        <w:rPr>
          <w:rFonts w:ascii="Arial" w:cs="Arial" w:eastAsia="Arial" w:hAnsi="Arial"/>
          <w:sz w:val="22"/>
          <w:szCs w:val="22"/>
          <w:color w:val="auto"/>
        </w:rPr>
        <w:t>” or “</w:t>
      </w:r>
      <w:r>
        <w:rPr>
          <w:rFonts w:ascii="Arial" w:cs="Arial" w:eastAsia="Arial" w:hAnsi="Arial"/>
          <w:sz w:val="22"/>
          <w:szCs w:val="22"/>
          <w:b w:val="1"/>
          <w:bCs w:val="1"/>
          <w:i w:val="1"/>
          <w:iCs w:val="1"/>
          <w:color w:val="auto"/>
        </w:rPr>
        <w:t>RSA</w:t>
      </w:r>
      <w:r>
        <w:rPr>
          <w:rFonts w:ascii="Arial" w:cs="Arial" w:eastAsia="Arial" w:hAnsi="Arial"/>
          <w:sz w:val="22"/>
          <w:szCs w:val="22"/>
          <w:color w:val="auto"/>
        </w:rPr>
        <w:t>” means an Award of shares of Common Stock which is granted pursuant to the terms and conditions of Section 5(a).</w:t>
      </w:r>
    </w:p>
    <w:p>
      <w:pPr>
        <w:spacing w:after="0" w:line="175" w:lineRule="exact"/>
        <w:rPr>
          <w:sz w:val="20"/>
          <w:szCs w:val="20"/>
          <w:color w:val="auto"/>
        </w:rPr>
      </w:pPr>
    </w:p>
    <w:p>
      <w:pPr>
        <w:jc w:val="both"/>
        <w:ind w:firstLine="872"/>
        <w:spacing w:after="0" w:line="282" w:lineRule="auto"/>
        <w:tabs>
          <w:tab w:leader="none" w:pos="1979" w:val="left"/>
        </w:tabs>
        <w:numPr>
          <w:ilvl w:val="0"/>
          <w:numId w:val="57"/>
        </w:numPr>
        <w:rPr>
          <w:rFonts w:ascii="Arial" w:cs="Arial" w:eastAsia="Arial" w:hAnsi="Arial"/>
          <w:sz w:val="19"/>
          <w:szCs w:val="19"/>
          <w:b w:val="1"/>
          <w:b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Restricted Stock Award Agreement</w:t>
      </w:r>
      <w:r>
        <w:rPr>
          <w:rFonts w:ascii="Arial" w:cs="Arial" w:eastAsia="Arial" w:hAnsi="Arial"/>
          <w:sz w:val="19"/>
          <w:szCs w:val="19"/>
          <w:color w:val="auto"/>
        </w:rPr>
        <w:t>” means a written agreement between the Company and a holder of a Restricted Stock Award evidencing the terms and conditions of a Restricted Stock Award grant. The Restricted Stock Award Agreement includes the Grant Notice for the Restricted Stock Award and the agreement containing the written summary of the general terms and conditions applicable to the Restricted Stock Award and which is provided to a Participant along with the Grant Notice. Each Restricted Stock Award Agreement will be subject to the terms and conditions of the Plan.</w:t>
      </w:r>
    </w:p>
    <w:p>
      <w:pPr>
        <w:spacing w:after="0" w:line="147" w:lineRule="exact"/>
        <w:rPr>
          <w:rFonts w:ascii="Arial" w:cs="Arial" w:eastAsia="Arial" w:hAnsi="Arial"/>
          <w:sz w:val="19"/>
          <w:szCs w:val="19"/>
          <w:b w:val="1"/>
          <w:bCs w:val="1"/>
          <w:color w:val="auto"/>
        </w:rPr>
      </w:pPr>
    </w:p>
    <w:p>
      <w:pPr>
        <w:jc w:val="both"/>
        <w:ind w:firstLine="872"/>
        <w:spacing w:after="0" w:line="249" w:lineRule="auto"/>
        <w:tabs>
          <w:tab w:leader="none" w:pos="2016" w:val="left"/>
        </w:tabs>
        <w:numPr>
          <w:ilvl w:val="0"/>
          <w:numId w:val="57"/>
        </w:numPr>
        <w:rPr>
          <w:rFonts w:ascii="Arial" w:cs="Arial" w:eastAsia="Arial" w:hAnsi="Arial"/>
          <w:sz w:val="21"/>
          <w:szCs w:val="21"/>
          <w:b w:val="1"/>
          <w:bCs w:val="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Returning Shares</w:t>
      </w:r>
      <w:r>
        <w:rPr>
          <w:rFonts w:ascii="Arial" w:cs="Arial" w:eastAsia="Arial" w:hAnsi="Arial"/>
          <w:sz w:val="21"/>
          <w:szCs w:val="21"/>
          <w:color w:val="auto"/>
        </w:rPr>
        <w:t>” means shares subject to outstanding stock awards granted under the Prior Plan and that following the Effective Date: (A) are not issued because such stock award or any portion thereof expires or otherwise terminates without all of the shares covered by such stock award having been issued; (B) are not issued because such stock award or any portion thereof is settled in cash; or (C) are forfeited back to or repurchased by the Company because of the failure to meet a contingency or condition required for the vesting of such shares.</w:t>
      </w:r>
    </w:p>
    <w:p>
      <w:pPr>
        <w:spacing w:after="0" w:line="178" w:lineRule="exact"/>
        <w:rPr>
          <w:rFonts w:ascii="Arial" w:cs="Arial" w:eastAsia="Arial" w:hAnsi="Arial"/>
          <w:sz w:val="21"/>
          <w:szCs w:val="21"/>
          <w:b w:val="1"/>
          <w:bCs w:val="1"/>
          <w:color w:val="auto"/>
        </w:rPr>
      </w:pPr>
    </w:p>
    <w:p>
      <w:pPr>
        <w:ind w:firstLine="872"/>
        <w:spacing w:after="0" w:line="274" w:lineRule="auto"/>
        <w:tabs>
          <w:tab w:leader="none" w:pos="1943" w:val="left"/>
        </w:tabs>
        <w:numPr>
          <w:ilvl w:val="0"/>
          <w:numId w:val="57"/>
        </w:numPr>
        <w:rPr>
          <w:rFonts w:ascii="Arial" w:cs="Arial" w:eastAsia="Arial" w:hAnsi="Arial"/>
          <w:sz w:val="21"/>
          <w:szCs w:val="21"/>
          <w:b w:val="1"/>
          <w:bCs w:val="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RSU Award</w:t>
      </w:r>
      <w:r>
        <w:rPr>
          <w:rFonts w:ascii="Arial" w:cs="Arial" w:eastAsia="Arial" w:hAnsi="Arial"/>
          <w:sz w:val="21"/>
          <w:szCs w:val="21"/>
          <w:color w:val="auto"/>
        </w:rPr>
        <w:t>” or “</w:t>
      </w:r>
      <w:r>
        <w:rPr>
          <w:rFonts w:ascii="Arial" w:cs="Arial" w:eastAsia="Arial" w:hAnsi="Arial"/>
          <w:sz w:val="21"/>
          <w:szCs w:val="21"/>
          <w:b w:val="1"/>
          <w:bCs w:val="1"/>
          <w:i w:val="1"/>
          <w:iCs w:val="1"/>
          <w:color w:val="auto"/>
        </w:rPr>
        <w:t>RSU</w:t>
      </w:r>
      <w:r>
        <w:rPr>
          <w:rFonts w:ascii="Arial" w:cs="Arial" w:eastAsia="Arial" w:hAnsi="Arial"/>
          <w:sz w:val="21"/>
          <w:szCs w:val="21"/>
          <w:color w:val="auto"/>
        </w:rPr>
        <w:t>” means an Award of restricted stock units representing the right to receive an issuance of shares of Common Stock which is granted pursuant to the terms and conditions of Section 5(a).</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62" w:name="page63"/>
    <w:bookmarkEnd w:id="62"/>
    <w:p>
      <w:pPr>
        <w:jc w:val="both"/>
        <w:ind w:firstLine="872"/>
        <w:spacing w:after="0" w:line="236" w:lineRule="auto"/>
        <w:tabs>
          <w:tab w:leader="none" w:pos="2016" w:val="left"/>
        </w:tabs>
        <w:numPr>
          <w:ilvl w:val="0"/>
          <w:numId w:val="58"/>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RSU Award Agreement</w:t>
      </w:r>
      <w:r>
        <w:rPr>
          <w:rFonts w:ascii="Arial" w:cs="Arial" w:eastAsia="Arial" w:hAnsi="Arial"/>
          <w:sz w:val="22"/>
          <w:szCs w:val="22"/>
          <w:color w:val="auto"/>
        </w:rPr>
        <w:t>” means a written agreement between the Company and a holder of a RSU Award evidencing the terms and conditions of a RSU Award grant. The RSU Award Agreement includes the Grant Notice for the RSU Award and the agreement containing the written summary of the general terms and conditions applicable to the RSU Award and which is provided to a Participant along with the Grant Notice. Each RSU Award Agreement will be subject to the terms and conditions of the Plan.</w:t>
      </w:r>
    </w:p>
    <w:p>
      <w:pPr>
        <w:spacing w:after="0" w:line="187" w:lineRule="exact"/>
        <w:rPr>
          <w:rFonts w:ascii="Arial" w:cs="Arial" w:eastAsia="Arial" w:hAnsi="Arial"/>
          <w:sz w:val="22"/>
          <w:szCs w:val="22"/>
          <w:b w:val="1"/>
          <w:bCs w:val="1"/>
          <w:color w:val="auto"/>
        </w:rPr>
      </w:pPr>
    </w:p>
    <w:p>
      <w:pPr>
        <w:ind w:right="20" w:firstLine="872"/>
        <w:spacing w:after="0" w:line="250" w:lineRule="auto"/>
        <w:tabs>
          <w:tab w:leader="none" w:pos="1943" w:val="left"/>
        </w:tabs>
        <w:numPr>
          <w:ilvl w:val="0"/>
          <w:numId w:val="58"/>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Rule 16b-3</w:t>
      </w:r>
      <w:r>
        <w:rPr>
          <w:rFonts w:ascii="Arial" w:cs="Arial" w:eastAsia="Arial" w:hAnsi="Arial"/>
          <w:sz w:val="22"/>
          <w:szCs w:val="22"/>
          <w:color w:val="auto"/>
        </w:rPr>
        <w:t>” means Rule 16b-3 promulgated under the Exchange Act or any successor to Rule 16b-3, as in effect from time to time.</w:t>
      </w:r>
    </w:p>
    <w:p>
      <w:pPr>
        <w:spacing w:after="0" w:line="174" w:lineRule="exact"/>
        <w:rPr>
          <w:rFonts w:ascii="Arial" w:cs="Arial" w:eastAsia="Arial" w:hAnsi="Arial"/>
          <w:sz w:val="22"/>
          <w:szCs w:val="22"/>
          <w:b w:val="1"/>
          <w:bCs w:val="1"/>
          <w:color w:val="auto"/>
        </w:rPr>
      </w:pPr>
    </w:p>
    <w:p>
      <w:pPr>
        <w:ind w:left="1880" w:hanging="1008"/>
        <w:spacing w:after="0"/>
        <w:tabs>
          <w:tab w:leader="none" w:pos="1880" w:val="left"/>
        </w:tabs>
        <w:numPr>
          <w:ilvl w:val="0"/>
          <w:numId w:val="58"/>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Rule 405</w:t>
      </w:r>
      <w:r>
        <w:rPr>
          <w:rFonts w:ascii="Arial" w:cs="Arial" w:eastAsia="Arial" w:hAnsi="Arial"/>
          <w:sz w:val="22"/>
          <w:szCs w:val="22"/>
          <w:color w:val="auto"/>
        </w:rPr>
        <w:t>” means Rule 405 promulgated under the Securities Act.</w:t>
      </w:r>
    </w:p>
    <w:p>
      <w:pPr>
        <w:spacing w:after="0" w:line="206" w:lineRule="exact"/>
        <w:rPr>
          <w:rFonts w:ascii="Arial" w:cs="Arial" w:eastAsia="Arial" w:hAnsi="Arial"/>
          <w:sz w:val="22"/>
          <w:szCs w:val="22"/>
          <w:b w:val="1"/>
          <w:bCs w:val="1"/>
          <w:color w:val="auto"/>
        </w:rPr>
      </w:pPr>
    </w:p>
    <w:p>
      <w:pPr>
        <w:ind w:left="1980" w:hanging="1108"/>
        <w:spacing w:after="0"/>
        <w:tabs>
          <w:tab w:leader="none" w:pos="1980" w:val="left"/>
        </w:tabs>
        <w:numPr>
          <w:ilvl w:val="0"/>
          <w:numId w:val="58"/>
        </w:numPr>
        <w:rPr>
          <w:rFonts w:ascii="Arial" w:cs="Arial" w:eastAsia="Arial" w:hAnsi="Arial"/>
          <w:sz w:val="19"/>
          <w:szCs w:val="19"/>
          <w:b w:val="1"/>
          <w:b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Section 409A</w:t>
      </w:r>
      <w:r>
        <w:rPr>
          <w:rFonts w:ascii="Arial" w:cs="Arial" w:eastAsia="Arial" w:hAnsi="Arial"/>
          <w:sz w:val="19"/>
          <w:szCs w:val="19"/>
          <w:color w:val="auto"/>
        </w:rPr>
        <w:t>” means Section 409A of the Code and the regulations and other guidance thereunder.</w:t>
      </w:r>
    </w:p>
    <w:p>
      <w:pPr>
        <w:spacing w:after="0" w:line="240" w:lineRule="exact"/>
        <w:rPr>
          <w:rFonts w:ascii="Arial" w:cs="Arial" w:eastAsia="Arial" w:hAnsi="Arial"/>
          <w:sz w:val="19"/>
          <w:szCs w:val="19"/>
          <w:b w:val="1"/>
          <w:bCs w:val="1"/>
          <w:color w:val="auto"/>
        </w:rPr>
      </w:pPr>
    </w:p>
    <w:p>
      <w:pPr>
        <w:jc w:val="both"/>
        <w:ind w:firstLine="872"/>
        <w:spacing w:after="0" w:line="257" w:lineRule="auto"/>
        <w:tabs>
          <w:tab w:leader="none" w:pos="2016" w:val="left"/>
        </w:tabs>
        <w:numPr>
          <w:ilvl w:val="0"/>
          <w:numId w:val="58"/>
        </w:numPr>
        <w:rPr>
          <w:rFonts w:ascii="Arial" w:cs="Arial" w:eastAsia="Arial" w:hAnsi="Arial"/>
          <w:sz w:val="21"/>
          <w:szCs w:val="21"/>
          <w:b w:val="1"/>
          <w:bCs w:val="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Section 409A Change in Control</w:t>
      </w:r>
      <w:r>
        <w:rPr>
          <w:rFonts w:ascii="Arial" w:cs="Arial" w:eastAsia="Arial" w:hAnsi="Arial"/>
          <w:sz w:val="21"/>
          <w:szCs w:val="21"/>
          <w:color w:val="auto"/>
        </w:rPr>
        <w:t>” means a change in the ownership or effective control of the Company, or in the ownership of a substantial portion of the Company’s assets, as provided in Section 409A(a)(2)(A)(v) of the Code and Treasury Regulations Section 1.409A-3(i)(5) (without regard to any alternative definition thereunder).</w:t>
      </w:r>
    </w:p>
    <w:p>
      <w:pPr>
        <w:spacing w:after="0" w:line="169" w:lineRule="exact"/>
        <w:rPr>
          <w:rFonts w:ascii="Arial" w:cs="Arial" w:eastAsia="Arial" w:hAnsi="Arial"/>
          <w:sz w:val="21"/>
          <w:szCs w:val="21"/>
          <w:b w:val="1"/>
          <w:bCs w:val="1"/>
          <w:color w:val="auto"/>
        </w:rPr>
      </w:pPr>
    </w:p>
    <w:p>
      <w:pPr>
        <w:ind w:left="1840" w:hanging="968"/>
        <w:spacing w:after="0"/>
        <w:tabs>
          <w:tab w:leader="none" w:pos="1840" w:val="left"/>
        </w:tabs>
        <w:numPr>
          <w:ilvl w:val="0"/>
          <w:numId w:val="58"/>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Securities Act</w:t>
      </w:r>
      <w:r>
        <w:rPr>
          <w:rFonts w:ascii="Arial" w:cs="Arial" w:eastAsia="Arial" w:hAnsi="Arial"/>
          <w:sz w:val="22"/>
          <w:szCs w:val="22"/>
          <w:color w:val="auto"/>
        </w:rPr>
        <w:t>” means the Securities Act of 1933, as amended.</w:t>
      </w:r>
    </w:p>
    <w:p>
      <w:pPr>
        <w:spacing w:after="0" w:line="206" w:lineRule="exact"/>
        <w:rPr>
          <w:rFonts w:ascii="Arial" w:cs="Arial" w:eastAsia="Arial" w:hAnsi="Arial"/>
          <w:sz w:val="22"/>
          <w:szCs w:val="22"/>
          <w:b w:val="1"/>
          <w:bCs w:val="1"/>
          <w:color w:val="auto"/>
        </w:rPr>
      </w:pPr>
    </w:p>
    <w:p>
      <w:pPr>
        <w:ind w:left="1880" w:hanging="1008"/>
        <w:spacing w:after="0"/>
        <w:tabs>
          <w:tab w:leader="none" w:pos="1880" w:val="left"/>
        </w:tabs>
        <w:numPr>
          <w:ilvl w:val="0"/>
          <w:numId w:val="58"/>
        </w:numPr>
        <w:rPr>
          <w:rFonts w:ascii="Arial" w:cs="Arial" w:eastAsia="Arial" w:hAnsi="Arial"/>
          <w:sz w:val="19"/>
          <w:szCs w:val="19"/>
          <w:b w:val="1"/>
          <w:b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Share Reserve</w:t>
      </w:r>
      <w:r>
        <w:rPr>
          <w:rFonts w:ascii="Arial" w:cs="Arial" w:eastAsia="Arial" w:hAnsi="Arial"/>
          <w:sz w:val="19"/>
          <w:szCs w:val="19"/>
          <w:color w:val="auto"/>
        </w:rPr>
        <w:t>” means the number of shares available for issuance under the Plan as set forth in Section</w:t>
      </w:r>
    </w:p>
    <w:p>
      <w:pPr>
        <w:spacing w:after="0" w:line="42"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2(a).</w:t>
      </w:r>
    </w:p>
    <w:p>
      <w:pPr>
        <w:spacing w:after="0" w:line="188" w:lineRule="exact"/>
        <w:rPr>
          <w:rFonts w:ascii="Arial" w:cs="Arial" w:eastAsia="Arial" w:hAnsi="Arial"/>
          <w:sz w:val="19"/>
          <w:szCs w:val="19"/>
          <w:b w:val="1"/>
          <w:bCs w:val="1"/>
          <w:color w:val="auto"/>
        </w:rPr>
      </w:pPr>
    </w:p>
    <w:p>
      <w:pPr>
        <w:ind w:firstLine="872"/>
        <w:spacing w:after="0" w:line="250" w:lineRule="auto"/>
        <w:tabs>
          <w:tab w:leader="none" w:pos="2016" w:val="left"/>
        </w:tabs>
        <w:numPr>
          <w:ilvl w:val="0"/>
          <w:numId w:val="58"/>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Stock Appreciation Right</w:t>
      </w:r>
      <w:r>
        <w:rPr>
          <w:rFonts w:ascii="Arial" w:cs="Arial" w:eastAsia="Arial" w:hAnsi="Arial"/>
          <w:sz w:val="22"/>
          <w:szCs w:val="22"/>
          <w:color w:val="auto"/>
        </w:rPr>
        <w:t>” or “</w:t>
      </w:r>
      <w:r>
        <w:rPr>
          <w:rFonts w:ascii="Arial" w:cs="Arial" w:eastAsia="Arial" w:hAnsi="Arial"/>
          <w:sz w:val="22"/>
          <w:szCs w:val="22"/>
          <w:b w:val="1"/>
          <w:bCs w:val="1"/>
          <w:i w:val="1"/>
          <w:iCs w:val="1"/>
          <w:color w:val="auto"/>
        </w:rPr>
        <w:t>SAR</w:t>
      </w:r>
      <w:r>
        <w:rPr>
          <w:rFonts w:ascii="Arial" w:cs="Arial" w:eastAsia="Arial" w:hAnsi="Arial"/>
          <w:sz w:val="22"/>
          <w:szCs w:val="22"/>
          <w:color w:val="auto"/>
        </w:rPr>
        <w:t>” means a right to receive the appreciation on Common Stock that is granted pursuant to the terms and conditions of Section 4.</w:t>
      </w:r>
    </w:p>
    <w:p>
      <w:pPr>
        <w:spacing w:after="0" w:line="174" w:lineRule="exact"/>
        <w:rPr>
          <w:rFonts w:ascii="Arial" w:cs="Arial" w:eastAsia="Arial" w:hAnsi="Arial"/>
          <w:sz w:val="22"/>
          <w:szCs w:val="22"/>
          <w:b w:val="1"/>
          <w:bCs w:val="1"/>
          <w:color w:val="auto"/>
        </w:rPr>
      </w:pPr>
    </w:p>
    <w:p>
      <w:pPr>
        <w:jc w:val="both"/>
        <w:ind w:firstLine="872"/>
        <w:spacing w:after="0" w:line="287" w:lineRule="auto"/>
        <w:tabs>
          <w:tab w:leader="none" w:pos="1835" w:val="left"/>
        </w:tabs>
        <w:numPr>
          <w:ilvl w:val="0"/>
          <w:numId w:val="58"/>
        </w:numPr>
        <w:rPr>
          <w:rFonts w:ascii="Arial" w:cs="Arial" w:eastAsia="Arial" w:hAnsi="Arial"/>
          <w:sz w:val="19"/>
          <w:szCs w:val="19"/>
          <w:b w:val="1"/>
          <w:b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SAR Agreement</w:t>
      </w:r>
      <w:r>
        <w:rPr>
          <w:rFonts w:ascii="Arial" w:cs="Arial" w:eastAsia="Arial" w:hAnsi="Arial"/>
          <w:sz w:val="19"/>
          <w:szCs w:val="19"/>
          <w:color w:val="auto"/>
        </w:rPr>
        <w:t>” means a written agreement between the Company and a holder of a SAR evidencing the terms and conditions of a SAR grant. The SAR Agreement includes the Grant Notice for the SAR and the agreement containing the written summary of the general terms and conditions applicable to the SAR and which is provided to a Participant along with the Grant Notice. Each SAR Agreement will be subject to the terms and conditions of the Plan.</w:t>
      </w:r>
    </w:p>
    <w:p>
      <w:pPr>
        <w:spacing w:after="0" w:line="142" w:lineRule="exact"/>
        <w:rPr>
          <w:rFonts w:ascii="Arial" w:cs="Arial" w:eastAsia="Arial" w:hAnsi="Arial"/>
          <w:sz w:val="19"/>
          <w:szCs w:val="19"/>
          <w:b w:val="1"/>
          <w:bCs w:val="1"/>
          <w:color w:val="auto"/>
        </w:rPr>
      </w:pPr>
    </w:p>
    <w:p>
      <w:pPr>
        <w:jc w:val="both"/>
        <w:ind w:firstLine="872"/>
        <w:spacing w:after="0" w:line="248" w:lineRule="auto"/>
        <w:tabs>
          <w:tab w:leader="none" w:pos="2195" w:val="left"/>
        </w:tabs>
        <w:numPr>
          <w:ilvl w:val="0"/>
          <w:numId w:val="58"/>
        </w:numPr>
        <w:rPr>
          <w:rFonts w:ascii="Arial" w:cs="Arial" w:eastAsia="Arial" w:hAnsi="Arial"/>
          <w:sz w:val="21"/>
          <w:szCs w:val="21"/>
          <w:b w:val="1"/>
          <w:bCs w:val="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Subsidiary</w:t>
      </w:r>
      <w:r>
        <w:rPr>
          <w:rFonts w:ascii="Arial" w:cs="Arial" w:eastAsia="Arial" w:hAnsi="Arial"/>
          <w:sz w:val="21"/>
          <w:szCs w:val="21"/>
          <w:color w:val="auto"/>
        </w:rPr>
        <w:t>” means, with respect to the Company, (i) any corporation of which more than 50% of the outstanding capital stock having ordinary voting power to elect a majority of the board of directors of such corporation (irrespective of whether, at the time, stock of any other class or classes of such corporation will have or might have voting power by reason of the happening of any contingency) is at the time, directly or indirectly, Owned by the Company, and (ii) any partnership, limited liability company or other entity in which the Company has a direct or indirect interest (whether in the form of voting or participation in profits or capital contribution) of more than 50%.</w:t>
      </w:r>
    </w:p>
    <w:p>
      <w:pPr>
        <w:spacing w:after="0" w:line="176" w:lineRule="exact"/>
        <w:rPr>
          <w:rFonts w:ascii="Arial" w:cs="Arial" w:eastAsia="Arial" w:hAnsi="Arial"/>
          <w:sz w:val="21"/>
          <w:szCs w:val="21"/>
          <w:b w:val="1"/>
          <w:bCs w:val="1"/>
          <w:color w:val="auto"/>
        </w:rPr>
      </w:pPr>
    </w:p>
    <w:p>
      <w:pPr>
        <w:jc w:val="both"/>
        <w:ind w:firstLine="872"/>
        <w:spacing w:after="0"/>
        <w:tabs>
          <w:tab w:leader="none" w:pos="2016" w:val="left"/>
        </w:tabs>
        <w:numPr>
          <w:ilvl w:val="0"/>
          <w:numId w:val="58"/>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Ten Percent Stockholder</w:t>
      </w:r>
      <w:r>
        <w:rPr>
          <w:rFonts w:ascii="Arial" w:cs="Arial" w:eastAsia="Arial" w:hAnsi="Arial"/>
          <w:sz w:val="22"/>
          <w:szCs w:val="22"/>
          <w:color w:val="auto"/>
        </w:rPr>
        <w:t>” means a person who Owns (or is deemed to Own pursuant to Section 424(d) of the Code) stock possessing more than 10% of the total combined voting power of all classes of stock of the Company or any Affiliate.</w:t>
      </w:r>
    </w:p>
    <w:p>
      <w:pPr>
        <w:spacing w:after="0" w:line="186" w:lineRule="exact"/>
        <w:rPr>
          <w:rFonts w:ascii="Arial" w:cs="Arial" w:eastAsia="Arial" w:hAnsi="Arial"/>
          <w:sz w:val="22"/>
          <w:szCs w:val="22"/>
          <w:b w:val="1"/>
          <w:bCs w:val="1"/>
          <w:color w:val="auto"/>
        </w:rPr>
      </w:pPr>
    </w:p>
    <w:p>
      <w:pPr>
        <w:jc w:val="both"/>
        <w:ind w:firstLine="872"/>
        <w:spacing w:after="0"/>
        <w:tabs>
          <w:tab w:leader="none" w:pos="1979" w:val="left"/>
        </w:tabs>
        <w:numPr>
          <w:ilvl w:val="0"/>
          <w:numId w:val="58"/>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Trading Policy</w:t>
      </w:r>
      <w:r>
        <w:rPr>
          <w:rFonts w:ascii="Arial" w:cs="Arial" w:eastAsia="Arial" w:hAnsi="Arial"/>
          <w:sz w:val="22"/>
          <w:szCs w:val="22"/>
          <w:color w:val="auto"/>
        </w:rPr>
        <w:t>” means the Company’s policy permitting certain individuals to sell Company shares only during certain "window" periods and/or otherwise restricts the ability of certain individuals to transfer or encumber Company shares, as in effect from time to time.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240"/>
          </w:cols>
          <w:pgMar w:left="320" w:top="550" w:right="3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Remy Luthringer, certify that:</w:t>
      </w:r>
    </w:p>
    <w:p>
      <w:pPr>
        <w:spacing w:after="0" w:line="117" w:lineRule="exact"/>
        <w:rPr>
          <w:sz w:val="20"/>
          <w:szCs w:val="20"/>
          <w:color w:val="auto"/>
        </w:rPr>
      </w:pPr>
    </w:p>
    <w:p>
      <w:pPr>
        <w:ind w:left="500" w:hanging="492"/>
        <w:spacing w:after="0"/>
        <w:tabs>
          <w:tab w:leader="none" w:pos="5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 have reviewed this Form 10-Q of Minerva Neurosciences, Inc.;</w:t>
      </w:r>
    </w:p>
    <w:p>
      <w:pPr>
        <w:spacing w:after="0" w:line="117"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5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500" w:right="260" w:hanging="492"/>
        <w:spacing w:after="0" w:line="263" w:lineRule="auto"/>
        <w:tabs>
          <w:tab w:leader="none" w:pos="5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00" w:right="340" w:hanging="493"/>
        <w:spacing w:after="0" w:line="263" w:lineRule="auto"/>
        <w:tabs>
          <w:tab w:leader="none" w:pos="10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000" w:right="500" w:hanging="493"/>
        <w:spacing w:after="0" w:line="342" w:lineRule="auto"/>
        <w:tabs>
          <w:tab w:leader="none" w:pos="1000" w:val="left"/>
        </w:tabs>
        <w:numPr>
          <w:ilvl w:val="1"/>
          <w:numId w:val="5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00" w:right="20" w:hanging="493"/>
        <w:spacing w:after="0" w:line="263" w:lineRule="auto"/>
        <w:tabs>
          <w:tab w:leader="none" w:pos="10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00" w:right="220" w:hanging="492"/>
        <w:spacing w:after="0" w:line="342" w:lineRule="auto"/>
        <w:tabs>
          <w:tab w:leader="none" w:pos="5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000" w:right="740" w:hanging="493"/>
        <w:spacing w:after="0" w:line="342" w:lineRule="auto"/>
        <w:tabs>
          <w:tab w:leader="none" w:pos="1000" w:val="left"/>
        </w:tabs>
        <w:numPr>
          <w:ilvl w:val="1"/>
          <w:numId w:val="5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00" w:right="440" w:hanging="493"/>
        <w:spacing w:after="0" w:line="277" w:lineRule="auto"/>
        <w:tabs>
          <w:tab w:leader="none" w:pos="10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8020" w:val="left"/>
        </w:tabs>
        <w:rPr>
          <w:sz w:val="20"/>
          <w:szCs w:val="20"/>
          <w:color w:val="auto"/>
        </w:rPr>
      </w:pPr>
      <w:r>
        <w:rPr>
          <w:rFonts w:ascii="Arial" w:cs="Arial" w:eastAsia="Arial" w:hAnsi="Arial"/>
          <w:sz w:val="18"/>
          <w:szCs w:val="18"/>
          <w:color w:val="auto"/>
        </w:rPr>
        <w:t>Date: August 3, 2020</w:t>
      </w:r>
      <w:r>
        <w:rPr>
          <w:sz w:val="20"/>
          <w:szCs w:val="20"/>
          <w:color w:val="auto"/>
        </w:rPr>
        <w:tab/>
      </w:r>
      <w:r>
        <w:rPr>
          <w:rFonts w:ascii="Arial" w:cs="Arial" w:eastAsia="Arial" w:hAnsi="Arial"/>
          <w:sz w:val="16"/>
          <w:szCs w:val="16"/>
          <w:color w:val="auto"/>
        </w:rPr>
        <w:t>/s/ Remy Luthringer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31750</wp:posOffset>
            </wp:positionV>
            <wp:extent cx="284607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57" w:lineRule="exact"/>
        <w:rPr>
          <w:sz w:val="20"/>
          <w:szCs w:val="20"/>
          <w:color w:val="auto"/>
        </w:rPr>
      </w:pPr>
    </w:p>
    <w:p>
      <w:pPr>
        <w:jc w:val="center"/>
        <w:ind w:left="6740"/>
        <w:spacing w:after="0"/>
        <w:rPr>
          <w:sz w:val="20"/>
          <w:szCs w:val="20"/>
          <w:color w:val="auto"/>
        </w:rPr>
      </w:pPr>
      <w:r>
        <w:rPr>
          <w:rFonts w:ascii="Arial" w:cs="Arial" w:eastAsia="Arial" w:hAnsi="Arial"/>
          <w:sz w:val="18"/>
          <w:szCs w:val="18"/>
          <w:color w:val="auto"/>
        </w:rPr>
        <w:t>Remy Luthringer Ph.D.</w:t>
      </w:r>
    </w:p>
    <w:p>
      <w:pPr>
        <w:spacing w:after="0" w:line="23" w:lineRule="exact"/>
        <w:rPr>
          <w:sz w:val="20"/>
          <w:szCs w:val="20"/>
          <w:color w:val="auto"/>
        </w:rPr>
      </w:pPr>
    </w:p>
    <w:p>
      <w:pPr>
        <w:jc w:val="center"/>
        <w:ind w:left="6740"/>
        <w:spacing w:after="0"/>
        <w:rPr>
          <w:sz w:val="20"/>
          <w:szCs w:val="20"/>
          <w:color w:val="auto"/>
        </w:rPr>
      </w:pPr>
      <w:r>
        <w:rPr>
          <w:rFonts w:ascii="Arial" w:cs="Arial" w:eastAsia="Arial" w:hAnsi="Arial"/>
          <w:sz w:val="18"/>
          <w:szCs w:val="18"/>
          <w:color w:val="auto"/>
        </w:rPr>
        <w:t>Chief Executive Officer and</w:t>
      </w:r>
    </w:p>
    <w:p>
      <w:pPr>
        <w:spacing w:after="0" w:line="22" w:lineRule="exact"/>
        <w:rPr>
          <w:sz w:val="20"/>
          <w:szCs w:val="20"/>
          <w:color w:val="auto"/>
        </w:rPr>
      </w:pPr>
    </w:p>
    <w:p>
      <w:pPr>
        <w:jc w:val="center"/>
        <w:ind w:left="6740"/>
        <w:spacing w:after="0"/>
        <w:rPr>
          <w:sz w:val="20"/>
          <w:szCs w:val="20"/>
          <w:color w:val="auto"/>
        </w:rPr>
      </w:pPr>
      <w:r>
        <w:rPr>
          <w:rFonts w:ascii="Arial" w:cs="Arial" w:eastAsia="Arial" w:hAnsi="Arial"/>
          <w:sz w:val="18"/>
          <w:szCs w:val="18"/>
          <w:color w:val="auto"/>
        </w:rPr>
        <w:t>Chairman of the Board of Directors</w:t>
      </w:r>
    </w:p>
    <w:p>
      <w:pPr>
        <w:spacing w:after="0" w:line="36" w:lineRule="exact"/>
        <w:rPr>
          <w:sz w:val="20"/>
          <w:szCs w:val="20"/>
          <w:color w:val="auto"/>
        </w:rPr>
      </w:pPr>
    </w:p>
    <w:p>
      <w:pPr>
        <w:jc w:val="center"/>
        <w:ind w:left="67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337" w:right="3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Geoffrey Race, certify that:</w:t>
      </w:r>
    </w:p>
    <w:p>
      <w:pPr>
        <w:spacing w:after="0" w:line="117" w:lineRule="exact"/>
        <w:rPr>
          <w:sz w:val="20"/>
          <w:szCs w:val="20"/>
          <w:color w:val="auto"/>
        </w:rPr>
      </w:pPr>
    </w:p>
    <w:p>
      <w:pPr>
        <w:ind w:left="500" w:hanging="492"/>
        <w:spacing w:after="0"/>
        <w:tabs>
          <w:tab w:leader="none" w:pos="5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 have reviewed this Form 10-Q of Minerva Neurosciences, Inc.;</w:t>
      </w:r>
    </w:p>
    <w:p>
      <w:pPr>
        <w:spacing w:after="0" w:line="117"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00" w:right="260" w:hanging="492"/>
        <w:spacing w:after="0" w:line="263" w:lineRule="auto"/>
        <w:tabs>
          <w:tab w:leader="none" w:pos="5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00" w:right="340" w:hanging="493"/>
        <w:spacing w:after="0" w:line="263" w:lineRule="auto"/>
        <w:tabs>
          <w:tab w:leader="none" w:pos="10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000" w:right="500" w:hanging="493"/>
        <w:spacing w:after="0" w:line="342" w:lineRule="auto"/>
        <w:tabs>
          <w:tab w:leader="none" w:pos="1000" w:val="left"/>
        </w:tabs>
        <w:numPr>
          <w:ilvl w:val="1"/>
          <w:numId w:val="6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00" w:right="20" w:hanging="493"/>
        <w:spacing w:after="0" w:line="263" w:lineRule="auto"/>
        <w:tabs>
          <w:tab w:leader="none" w:pos="10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00" w:right="160" w:hanging="492"/>
        <w:spacing w:after="0" w:line="308" w:lineRule="auto"/>
        <w:tabs>
          <w:tab w:leader="none" w:pos="5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00" w:right="740" w:hanging="493"/>
        <w:spacing w:after="0" w:line="342" w:lineRule="auto"/>
        <w:tabs>
          <w:tab w:leader="none" w:pos="1000" w:val="left"/>
        </w:tabs>
        <w:numPr>
          <w:ilvl w:val="1"/>
          <w:numId w:val="6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00" w:right="440" w:hanging="493"/>
        <w:spacing w:after="0" w:line="277" w:lineRule="auto"/>
        <w:tabs>
          <w:tab w:leader="none" w:pos="10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8340" w:val="left"/>
        </w:tabs>
        <w:rPr>
          <w:sz w:val="20"/>
          <w:szCs w:val="20"/>
          <w:color w:val="auto"/>
        </w:rPr>
      </w:pPr>
      <w:r>
        <w:rPr>
          <w:rFonts w:ascii="Arial" w:cs="Arial" w:eastAsia="Arial" w:hAnsi="Arial"/>
          <w:sz w:val="18"/>
          <w:szCs w:val="18"/>
          <w:color w:val="auto"/>
        </w:rPr>
        <w:t>Date: August 3, 2020</w:t>
      </w:r>
      <w:r>
        <w:rPr>
          <w:sz w:val="20"/>
          <w:szCs w:val="20"/>
          <w:color w:val="auto"/>
        </w:rPr>
        <w:tab/>
      </w:r>
      <w:r>
        <w:rPr>
          <w:rFonts w:ascii="Arial" w:cs="Arial" w:eastAsia="Arial" w:hAnsi="Arial"/>
          <w:sz w:val="16"/>
          <w:szCs w:val="16"/>
          <w:color w:val="auto"/>
        </w:rPr>
        <w:t>/s/ Geoffrey Race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31750</wp:posOffset>
            </wp:positionV>
            <wp:extent cx="284607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57" w:lineRule="exact"/>
        <w:rPr>
          <w:sz w:val="20"/>
          <w:szCs w:val="20"/>
          <w:color w:val="auto"/>
        </w:rPr>
      </w:pPr>
    </w:p>
    <w:p>
      <w:pPr>
        <w:jc w:val="center"/>
        <w:ind w:left="6740"/>
        <w:spacing w:after="0"/>
        <w:rPr>
          <w:sz w:val="20"/>
          <w:szCs w:val="20"/>
          <w:color w:val="auto"/>
        </w:rPr>
      </w:pPr>
      <w:r>
        <w:rPr>
          <w:rFonts w:ascii="Arial" w:cs="Arial" w:eastAsia="Arial" w:hAnsi="Arial"/>
          <w:sz w:val="18"/>
          <w:szCs w:val="18"/>
          <w:color w:val="auto"/>
        </w:rPr>
        <w:t>Geoffrey Race</w:t>
      </w:r>
    </w:p>
    <w:p>
      <w:pPr>
        <w:spacing w:after="0" w:line="23" w:lineRule="exact"/>
        <w:rPr>
          <w:sz w:val="20"/>
          <w:szCs w:val="20"/>
          <w:color w:val="auto"/>
        </w:rPr>
      </w:pPr>
    </w:p>
    <w:p>
      <w:pPr>
        <w:jc w:val="center"/>
        <w:ind w:left="6740"/>
        <w:spacing w:after="0"/>
        <w:rPr>
          <w:sz w:val="20"/>
          <w:szCs w:val="20"/>
          <w:color w:val="auto"/>
        </w:rPr>
      </w:pPr>
      <w:r>
        <w:rPr>
          <w:rFonts w:ascii="Arial" w:cs="Arial" w:eastAsia="Arial" w:hAnsi="Arial"/>
          <w:sz w:val="18"/>
          <w:szCs w:val="18"/>
          <w:color w:val="auto"/>
        </w:rPr>
        <w:t>Chief Financial Officer</w:t>
      </w:r>
    </w:p>
    <w:p>
      <w:pPr>
        <w:spacing w:after="0" w:line="22" w:lineRule="exact"/>
        <w:rPr>
          <w:sz w:val="20"/>
          <w:szCs w:val="20"/>
          <w:color w:val="auto"/>
        </w:rPr>
      </w:pPr>
    </w:p>
    <w:p>
      <w:pPr>
        <w:ind w:left="798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337" w:right="3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PURSUANT TO 18 U.S.C. § 1350</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the requirement set forth in Rule 13a-14(b) of the Securities Exchange Act of 1934, as amended (the “Exchange Act”), and Section 1350 of Chapter 63 of Title 18 of the United States Code (18 U.S.C. §1350), Remy Luthringer, President and Chief Executive Officer (Principal Executive Officer) of Minerva Neurosciences, Inc. (the “Company”) and Geoffrey Race, Chief Financial Officer (Principal Financial Officer) of the Company, each hereby certifies that, to the best of his knowledge:</w:t>
      </w:r>
    </w:p>
    <w:p>
      <w:pPr>
        <w:spacing w:after="0" w:line="79" w:lineRule="exact"/>
        <w:rPr>
          <w:sz w:val="20"/>
          <w:szCs w:val="20"/>
          <w:color w:val="auto"/>
        </w:rPr>
      </w:pPr>
    </w:p>
    <w:p>
      <w:pPr>
        <w:ind w:left="500" w:right="20" w:hanging="492"/>
        <w:spacing w:after="0" w:line="277" w:lineRule="auto"/>
        <w:tabs>
          <w:tab w:leader="none" w:pos="5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period ended June 30, 2020, to which this Certification is attached as Exhibit 32.1 (the “Quarterly Report”) fully complies with the requirements of Section 13(a) or 15(d) of the Exchange Act; and</w:t>
      </w:r>
    </w:p>
    <w:p>
      <w:pPr>
        <w:spacing w:after="0" w:line="62" w:lineRule="exact"/>
        <w:rPr>
          <w:rFonts w:ascii="Arial" w:cs="Arial" w:eastAsia="Arial" w:hAnsi="Arial"/>
          <w:sz w:val="18"/>
          <w:szCs w:val="18"/>
          <w:color w:val="auto"/>
        </w:rPr>
      </w:pPr>
    </w:p>
    <w:p>
      <w:pPr>
        <w:ind w:left="500" w:right="20" w:hanging="492"/>
        <w:spacing w:after="0" w:line="277" w:lineRule="auto"/>
        <w:tabs>
          <w:tab w:leader="none" w:pos="5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fairly presents, in all material respects, the financial condition and results of operations of the Company.</w:t>
      </w:r>
    </w:p>
    <w:p>
      <w:pPr>
        <w:spacing w:after="0" w:line="197"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Remy Luthringer,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spacing w:after="0"/>
        <w:tabs>
          <w:tab w:leader="none" w:pos="6740" w:val="left"/>
        </w:tabs>
        <w:rPr>
          <w:sz w:val="20"/>
          <w:szCs w:val="20"/>
          <w:color w:val="auto"/>
        </w:rPr>
      </w:pPr>
      <w:r>
        <w:rPr>
          <w:rFonts w:ascii="Arial" w:cs="Arial" w:eastAsia="Arial" w:hAnsi="Arial"/>
          <w:sz w:val="18"/>
          <w:szCs w:val="18"/>
          <w:color w:val="auto"/>
        </w:rPr>
        <w:t>Date: August 3, 2020</w:t>
      </w:r>
      <w:r>
        <w:rPr>
          <w:sz w:val="20"/>
          <w:szCs w:val="20"/>
          <w:color w:val="auto"/>
        </w:rPr>
        <w:tab/>
      </w:r>
      <w:r>
        <w:rPr>
          <w:rFonts w:ascii="Arial" w:cs="Arial" w:eastAsia="Arial" w:hAnsi="Arial"/>
          <w:sz w:val="16"/>
          <w:szCs w:val="16"/>
          <w:color w:val="auto"/>
        </w:rPr>
        <w:t>Remy Luthringer, Ph.D.</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Executive Officer and</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Chairman of the Board of Directors</w:t>
      </w:r>
    </w:p>
    <w:p>
      <w:pPr>
        <w:spacing w:after="0" w:line="238"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Geoffrey Race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9">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spacing w:after="0"/>
        <w:tabs>
          <w:tab w:leader="none" w:pos="6740" w:val="left"/>
        </w:tabs>
        <w:rPr>
          <w:sz w:val="20"/>
          <w:szCs w:val="20"/>
          <w:color w:val="auto"/>
        </w:rPr>
      </w:pPr>
      <w:r>
        <w:rPr>
          <w:rFonts w:ascii="Arial" w:cs="Arial" w:eastAsia="Arial" w:hAnsi="Arial"/>
          <w:sz w:val="18"/>
          <w:szCs w:val="18"/>
          <w:color w:val="auto"/>
        </w:rPr>
        <w:t>Date: August 3, 2020</w:t>
      </w:r>
      <w:r>
        <w:rPr>
          <w:sz w:val="20"/>
          <w:szCs w:val="20"/>
          <w:color w:val="auto"/>
        </w:rPr>
        <w:tab/>
      </w:r>
      <w:r>
        <w:rPr>
          <w:rFonts w:ascii="Arial" w:cs="Arial" w:eastAsia="Arial" w:hAnsi="Arial"/>
          <w:sz w:val="16"/>
          <w:szCs w:val="16"/>
          <w:color w:val="auto"/>
        </w:rPr>
        <w:t>Geoffrey Race</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Financial Officer)</w:t>
      </w:r>
    </w:p>
    <w:p>
      <w:pPr>
        <w:spacing w:after="0" w:line="21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This certification accompanies the Form 10-Q to which it relates, is not deemed filed with the Securities and Exchange Commission and is not incorporated by reference into any filing of Minerva Neurosciences, Inc. under the Securities Act of 1933, as amended, or the Securities Exchange Act of 1934, as amended (whether made before or after the date of the Form 10-Q), irrespective of any general incorporation language contained in such filing.</w:t>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abstractNum>
  <w:abstractNum w:abstractNumId="1">
    <w:nsid w:val="737B8DDC"/>
    <w:multiLevelType w:val="hybridMultilevel"/>
    <w:lvl w:ilvl="0">
      <w:lvlJc w:val="left"/>
      <w:lvlText w:val="☐"/>
      <w:numFmt w:val="bullet"/>
      <w:start w:val="1"/>
    </w:lvl>
  </w:abstractNum>
  <w:abstractNum w:abstractNumId="2">
    <w:nsid w:val="6CEAF087"/>
    <w:multiLevelType w:val="hybridMultilevel"/>
    <w:lvl w:ilvl="0">
      <w:lvlJc w:val="left"/>
      <w:lvlText w:val="•"/>
      <w:numFmt w:val="bullet"/>
      <w:start w:val="1"/>
    </w:lvl>
  </w:abstractNum>
  <w:abstractNum w:abstractNumId="3">
    <w:nsid w:val="22221A70"/>
    <w:multiLevelType w:val="hybridMultilevel"/>
    <w:lvl w:ilvl="0">
      <w:lvlJc w:val="left"/>
      <w:lvlText w:val="%1"/>
      <w:numFmt w:val="decimal"/>
      <w:start w:val="104"/>
    </w:lvl>
  </w:abstractNum>
  <w:abstractNum w:abstractNumId="4">
    <w:nsid w:val="4516DDE9"/>
    <w:multiLevelType w:val="hybridMultilevel"/>
    <w:lvl w:ilvl="0">
      <w:lvlJc w:val="left"/>
      <w:lvlText w:val="+"/>
      <w:numFmt w:val="bullet"/>
      <w:start w:val="1"/>
    </w:lvl>
  </w:abstractNum>
  <w:abstractNum w:abstractNumId="5">
    <w:nsid w:val="3006C83E"/>
    <w:multiLevelType w:val="hybridMultilevel"/>
    <w:lvl w:ilvl="0">
      <w:lvlJc w:val="left"/>
      <w:lvlText w:val="†"/>
      <w:numFmt w:val="bullet"/>
      <w:start w:val="1"/>
    </w:lvl>
  </w:abstractNum>
  <w:abstractNum w:abstractNumId="6">
    <w:nsid w:val="614FD4A1"/>
    <w:multiLevelType w:val="hybridMultilevel"/>
    <w:lvl w:ilvl="0">
      <w:lvlJc w:val="left"/>
      <w:lvlText w:val="%1."/>
      <w:numFmt w:val="decimal"/>
      <w:start w:val="1"/>
    </w:lvl>
  </w:abstractNum>
  <w:abstractNum w:abstractNumId="7">
    <w:nsid w:val="419AC241"/>
    <w:multiLevelType w:val="hybridMultilevel"/>
    <w:lvl w:ilvl="0">
      <w:lvlJc w:val="left"/>
      <w:lvlText w:val="%1."/>
      <w:numFmt w:val="decimal"/>
      <w:start w:val="3"/>
    </w:lvl>
  </w:abstractNum>
  <w:abstractNum w:abstractNumId="8">
    <w:nsid w:val="5577F8E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9">
    <w:nsid w:val="440BADF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10">
    <w:nsid w:val="5072367"/>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1">
    <w:nsid w:val="3804823E"/>
    <w:multiLevelType w:val="hybridMultilevel"/>
    <w:lvl w:ilvl="0">
      <w:lvlJc w:val="left"/>
      <w:lvlText w:val="%1"/>
      <w:numFmt w:val="lowerRoman"/>
      <w:start w:val="1"/>
    </w:lvl>
    <w:lvl w:ilvl="1">
      <w:lvlJc w:val="left"/>
      <w:lvlText w:val="(%2)"/>
      <w:numFmt w:val="lowerRoman"/>
      <w:start w:val="4"/>
    </w:lvl>
  </w:abstractNum>
  <w:abstractNum w:abstractNumId="12">
    <w:nsid w:val="77465F01"/>
    <w:multiLevelType w:val="hybridMultilevel"/>
    <w:lvl w:ilvl="0">
      <w:lvlJc w:val="left"/>
      <w:lvlText w:val="(%1)"/>
      <w:numFmt w:val="lowerRoman"/>
      <w:start w:val="3"/>
    </w:lvl>
    <w:lvl w:ilvl="1">
      <w:lvlJc w:val="left"/>
      <w:lvlText w:val="(%2)"/>
      <w:numFmt w:val="lowerRoman"/>
      <w:start w:val="6"/>
    </w:lvl>
  </w:abstractNum>
  <w:abstractNum w:abstractNumId="13">
    <w:nsid w:val="7724C67E"/>
    <w:multiLevelType w:val="hybridMultilevel"/>
    <w:lvl w:ilvl="0">
      <w:lvlJc w:val="left"/>
      <w:lvlText w:val="(%1)"/>
      <w:numFmt w:val="lowerLetter"/>
      <w:start w:val="3"/>
    </w:lvl>
  </w:abstractNum>
  <w:abstractNum w:abstractNumId="14">
    <w:nsid w:val="5C482A97"/>
    <w:multiLevelType w:val="hybridMultilevel"/>
    <w:lvl w:ilvl="0">
      <w:lvlJc w:val="left"/>
      <w:lvlText w:val="%1."/>
      <w:numFmt w:val="decimal"/>
      <w:start w:val="4"/>
    </w:lvl>
  </w:abstractNum>
  <w:abstractNum w:abstractNumId="15">
    <w:nsid w:val="2463B9EA"/>
    <w:multiLevelType w:val="hybridMultilevel"/>
    <w:lvl w:ilvl="0">
      <w:lvlJc w:val="left"/>
      <w:lvlText w:val="(%1)"/>
      <w:numFmt w:val="lowerLetter"/>
      <w:start w:val="1"/>
    </w:lvl>
    <w:lvl w:ilvl="1">
      <w:lvlJc w:val="left"/>
      <w:lvlText w:val="(%2)"/>
      <w:numFmt w:val="lowerRoman"/>
      <w:start w:val="1"/>
    </w:lvl>
  </w:abstractNum>
  <w:abstractNum w:abstractNumId="16">
    <w:nsid w:val="5E884ADC"/>
    <w:multiLevelType w:val="hybridMultilevel"/>
    <w:lvl w:ilvl="0">
      <w:lvlJc w:val="left"/>
      <w:lvlText w:val="%1"/>
      <w:numFmt w:val="lowerLetter"/>
      <w:start w:val="1"/>
    </w:lvl>
    <w:lvl w:ilvl="1">
      <w:lvlJc w:val="left"/>
      <w:lvlText w:val="(%2)"/>
      <w:numFmt w:val="lowerRoman"/>
      <w:start w:val="4"/>
    </w:lvl>
  </w:abstractNum>
  <w:abstractNum w:abstractNumId="17">
    <w:nsid w:val="51EAD36B"/>
    <w:multiLevelType w:val="hybridMultilevel"/>
    <w:lvl w:ilvl="0">
      <w:lvlJc w:val="left"/>
      <w:lvlText w:val="(%1)"/>
      <w:numFmt w:val="lowerLetter"/>
      <w:start w:val="4"/>
    </w:lvl>
    <w:lvl w:ilvl="1">
      <w:lvlJc w:val="left"/>
      <w:lvlText w:val="(%2)"/>
      <w:numFmt w:val="lowerRoman"/>
      <w:start w:val="1"/>
    </w:lvl>
  </w:abstractNum>
  <w:abstractNum w:abstractNumId="18">
    <w:nsid w:val="2D517796"/>
    <w:multiLevelType w:val="hybridMultilevel"/>
    <w:lvl w:ilvl="0">
      <w:lvlJc w:val="left"/>
      <w:lvlText w:val="(%1)"/>
      <w:numFmt w:val="lowerLetter"/>
      <w:start w:val="6"/>
    </w:lvl>
    <w:lvl w:ilvl="1">
      <w:lvlJc w:val="left"/>
      <w:lvlText w:val="(%2)"/>
      <w:numFmt w:val="lowerRoman"/>
      <w:start w:val="1"/>
    </w:lvl>
  </w:abstractNum>
  <w:abstractNum w:abstractNumId="19">
    <w:nsid w:val="580BD78F"/>
    <w:multiLevelType w:val="hybridMultilevel"/>
    <w:lvl w:ilvl="0">
      <w:lvlJc w:val="left"/>
      <w:lvlText w:val="%1"/>
      <w:numFmt w:val="decimal"/>
      <w:start w:val="1"/>
    </w:lvl>
    <w:lvl w:ilvl="1">
      <w:lvlJc w:val="left"/>
      <w:lvlText w:val="(%2)"/>
      <w:numFmt w:val="lowerLetter"/>
      <w:start w:val="9"/>
    </w:lvl>
    <w:lvl w:ilvl="2">
      <w:lvlJc w:val="left"/>
      <w:lvlText w:val="%3"/>
      <w:numFmt w:val="lowerRoman"/>
      <w:start w:val="1"/>
    </w:lvl>
    <w:lvl w:ilvl="3">
      <w:lvlJc w:val="left"/>
      <w:lvlText w:val="%4"/>
      <w:numFmt w:val="decimal"/>
      <w:start w:val="1"/>
    </w:lvl>
  </w:abstractNum>
  <w:abstractNum w:abstractNumId="20">
    <w:nsid w:val="153EA438"/>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21">
    <w:nsid w:val="3855585C"/>
    <w:multiLevelType w:val="hybridMultilevel"/>
    <w:lvl w:ilvl="0">
      <w:lvlJc w:val="left"/>
      <w:lvlText w:val="%1"/>
      <w:numFmt w:val="lowerRoman"/>
      <w:start w:val="1"/>
    </w:lvl>
    <w:lvl w:ilvl="1">
      <w:lvlJc w:val="left"/>
      <w:lvlText w:val="(%2)"/>
      <w:numFmt w:val="decimal"/>
      <w:start w:val="2"/>
    </w:lvl>
  </w:abstractNum>
  <w:abstractNum w:abstractNumId="22">
    <w:nsid w:val="70A64E2A"/>
    <w:multiLevelType w:val="hybridMultilevel"/>
    <w:lvl w:ilvl="0">
      <w:lvlJc w:val="left"/>
      <w:lvlText w:val="(%1)"/>
      <w:numFmt w:val="lowerRoman"/>
      <w:start w:val="2"/>
    </w:lvl>
    <w:lvl w:ilvl="1">
      <w:lvlJc w:val="left"/>
      <w:lvlText w:val="(%2)"/>
      <w:numFmt w:val="decimal"/>
      <w:start w:val="1"/>
    </w:lvl>
  </w:abstractNum>
  <w:abstractNum w:abstractNumId="23">
    <w:nsid w:val="6A2342E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6"/>
    </w:lvl>
  </w:abstractNum>
  <w:abstractNum w:abstractNumId="24">
    <w:nsid w:val="2A487CB0"/>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5">
    <w:nsid w:val="1D4ED43B"/>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26">
    <w:nsid w:val="725A06FB"/>
    <w:multiLevelType w:val="hybridMultilevel"/>
    <w:lvl w:ilvl="0">
      <w:lvlJc w:val="left"/>
      <w:lvlText w:val="(%1)"/>
      <w:numFmt w:val="lowerLetter"/>
      <w:start w:val="3"/>
    </w:lvl>
    <w:lvl w:ilvl="1">
      <w:lvlJc w:val="left"/>
      <w:lvlText w:val="(%2)"/>
      <w:numFmt w:val="lowerRoman"/>
      <w:start w:val="1"/>
    </w:lvl>
  </w:abstractNum>
  <w:abstractNum w:abstractNumId="27">
    <w:nsid w:val="2CD89A3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28">
    <w:nsid w:val="57E4CCAF"/>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29">
    <w:nsid w:val="7A6D8D3C"/>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30">
    <w:nsid w:val="4B588F54"/>
    <w:multiLevelType w:val="hybridMultilevel"/>
    <w:lvl w:ilvl="0">
      <w:lvlJc w:val="left"/>
      <w:lvlText w:val="(%1)"/>
      <w:numFmt w:val="lowerRoman"/>
      <w:start w:val="3"/>
    </w:lvl>
  </w:abstractNum>
  <w:abstractNum w:abstractNumId="31">
    <w:nsid w:val="542289EC"/>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abstractNum>
  <w:abstractNum w:abstractNumId="32">
    <w:nsid w:val="6DE91B18"/>
    <w:multiLevelType w:val="hybridMultilevel"/>
    <w:lvl w:ilvl="0">
      <w:lvlJc w:val="left"/>
      <w:lvlText w:val="(%1)"/>
      <w:numFmt w:val="lowerLetter"/>
      <w:start w:val="9"/>
    </w:lvl>
    <w:lvl w:ilvl="1">
      <w:lvlJc w:val="left"/>
      <w:lvlText w:val="(%2)"/>
      <w:numFmt w:val="lowerLetter"/>
      <w:start w:val="6"/>
    </w:lvl>
    <w:lvl w:ilvl="2">
      <w:lvlJc w:val="left"/>
      <w:lvlText w:val="%3"/>
      <w:numFmt w:val="lowerRoman"/>
      <w:start w:val="1"/>
    </w:lvl>
  </w:abstractNum>
  <w:abstractNum w:abstractNumId="33">
    <w:nsid w:val="38437FDB"/>
    <w:multiLevelType w:val="hybridMultilevel"/>
    <w:lvl w:ilvl="0">
      <w:lvlJc w:val="left"/>
      <w:lvlText w:val="%1."/>
      <w:numFmt w:val="decimal"/>
      <w:start w:val="8"/>
    </w:lvl>
    <w:lvl w:ilvl="1">
      <w:lvlJc w:val="left"/>
      <w:lvlText w:val="(%2)"/>
      <w:numFmt w:val="lowerLetter"/>
      <w:start w:val="1"/>
    </w:lvl>
  </w:abstractNum>
  <w:abstractNum w:abstractNumId="34">
    <w:nsid w:val="7644A45C"/>
    <w:multiLevelType w:val="hybridMultilevel"/>
    <w:lvl w:ilvl="0">
      <w:lvlJc w:val="left"/>
      <w:lvlText w:val="%1"/>
      <w:numFmt w:val="decimal"/>
      <w:start w:val="1"/>
    </w:lvl>
    <w:lvl w:ilvl="1">
      <w:lvlJc w:val="left"/>
      <w:lvlText w:val="(%2)"/>
      <w:numFmt w:val="lowerLetter"/>
      <w:start w:val="4"/>
    </w:lvl>
  </w:abstractNum>
  <w:abstractNum w:abstractNumId="35">
    <w:nsid w:val="32FFF902"/>
    <w:multiLevelType w:val="hybridMultilevel"/>
    <w:lvl w:ilvl="0">
      <w:lvlJc w:val="left"/>
      <w:lvlText w:val="%1."/>
      <w:numFmt w:val="decimal"/>
      <w:start w:val="9"/>
    </w:lvl>
    <w:lvl w:ilvl="1">
      <w:lvlJc w:val="left"/>
      <w:lvlText w:val="(%2)"/>
      <w:numFmt w:val="lowerLetter"/>
      <w:start w:val="1"/>
    </w:lvl>
  </w:abstractNum>
  <w:abstractNum w:abstractNumId="36">
    <w:nsid w:val="684A481A"/>
    <w:multiLevelType w:val="hybridMultilevel"/>
    <w:lvl w:ilvl="0">
      <w:lvlJc w:val="left"/>
      <w:lvlText w:val="%1"/>
      <w:numFmt w:val="lowerLetter"/>
      <w:start w:val="1"/>
    </w:lvl>
    <w:lvl w:ilvl="1">
      <w:lvlJc w:val="left"/>
      <w:lvlText w:val="(%2)"/>
      <w:numFmt w:val="lowerLetter"/>
      <w:start w:val="6"/>
    </w:lvl>
  </w:abstractNum>
  <w:abstractNum w:abstractNumId="37">
    <w:nsid w:val="579478FE"/>
    <w:multiLevelType w:val="hybridMultilevel"/>
    <w:lvl w:ilvl="0">
      <w:lvlJc w:val="left"/>
      <w:lvlText w:val="(%1)"/>
      <w:numFmt w:val="lowerLetter"/>
      <w:start w:val="9"/>
    </w:lvl>
    <w:lvl w:ilvl="1">
      <w:lvlJc w:val="left"/>
      <w:lvlText w:val="%2"/>
      <w:numFmt w:val="lowerLetter"/>
      <w:start w:val="1"/>
    </w:lvl>
  </w:abstractNum>
  <w:abstractNum w:abstractNumId="38">
    <w:nsid w:val="749ABB43"/>
    <w:multiLevelType w:val="hybridMultilevel"/>
    <w:lvl w:ilvl="0">
      <w:lvlJc w:val="left"/>
      <w:lvlText w:val="(%1)"/>
      <w:numFmt w:val="lowerLetter"/>
      <w:start w:val="11"/>
    </w:lvl>
  </w:abstractNum>
  <w:abstractNum w:abstractNumId="39">
    <w:nsid w:val="3DC240FB"/>
    <w:multiLevelType w:val="hybridMultilevel"/>
    <w:lvl w:ilvl="0">
      <w:lvlJc w:val="left"/>
      <w:lvlText w:val="%1."/>
      <w:numFmt w:val="decimal"/>
      <w:start w:val="10"/>
    </w:lvl>
    <w:lvl w:ilvl="1">
      <w:lvlJc w:val="left"/>
      <w:lvlText w:val="(%2)"/>
      <w:numFmt w:val="lowerLetter"/>
      <w:start w:val="1"/>
    </w:lvl>
  </w:abstractNum>
  <w:abstractNum w:abstractNumId="40">
    <w:nsid w:val="1BA026FA"/>
    <w:multiLevelType w:val="hybridMultilevel"/>
    <w:lvl w:ilvl="0">
      <w:lvlJc w:val="left"/>
      <w:lvlText w:val="%1."/>
      <w:numFmt w:val="decimal"/>
      <w:start w:val="12"/>
    </w:lvl>
  </w:abstractNum>
  <w:abstractNum w:abstractNumId="41">
    <w:nsid w:val="79A1DEAA"/>
    <w:multiLevelType w:val="hybridMultilevel"/>
    <w:lvl w:ilvl="0">
      <w:lvlJc w:val="left"/>
      <w:lvlText w:val="%1."/>
      <w:numFmt w:val="decimal"/>
      <w:start w:val="13"/>
    </w:lvl>
  </w:abstractNum>
  <w:abstractNum w:abstractNumId="42">
    <w:nsid w:val="75C6C33A"/>
    <w:multiLevelType w:val="hybridMultilevel"/>
    <w:lvl w:ilvl="0">
      <w:lvlJc w:val="left"/>
      <w:lvlText w:val="(%1)"/>
      <w:numFmt w:val="lowerLetter"/>
      <w:start w:val="1"/>
    </w:lvl>
  </w:abstractNum>
  <w:abstractNum w:abstractNumId="43">
    <w:nsid w:val="12E685FB"/>
    <w:multiLevelType w:val="hybridMultilevel"/>
    <w:lvl w:ilvl="0">
      <w:lvlJc w:val="left"/>
      <w:lvlText w:val="(%1)"/>
      <w:numFmt w:val="lowerLetter"/>
      <w:start w:val="4"/>
    </w:lvl>
  </w:abstractNum>
  <w:abstractNum w:abstractNumId="44">
    <w:nsid w:val="70C6A529"/>
    <w:multiLevelType w:val="hybridMultilevel"/>
    <w:lvl w:ilvl="0">
      <w:lvlJc w:val="left"/>
      <w:lvlText w:val="(%1)"/>
      <w:numFmt w:val="lowerRoman"/>
      <w:start w:val="1"/>
    </w:lvl>
  </w:abstractNum>
  <w:abstractNum w:abstractNumId="45">
    <w:nsid w:val="520EEDD1"/>
    <w:multiLevelType w:val="hybridMultilevel"/>
    <w:lvl w:ilvl="0">
      <w:lvlJc w:val="left"/>
      <w:lvlText w:val="%1"/>
      <w:numFmt w:val="upperLetter"/>
      <w:start w:val="1"/>
    </w:lvl>
    <w:lvl w:ilvl="1">
      <w:lvlJc w:val="left"/>
      <w:lvlText w:val="(%2)"/>
      <w:numFmt w:val="lowerLetter"/>
      <w:start w:val="10"/>
    </w:lvl>
    <w:lvl w:ilvl="2">
      <w:lvlJc w:val="left"/>
      <w:lvlText w:val="(%3)"/>
      <w:numFmt w:val="lowerRoman"/>
      <w:start w:val="1"/>
    </w:lvl>
  </w:abstractNum>
  <w:abstractNum w:abstractNumId="46">
    <w:nsid w:val="374A3FE6"/>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
    </w:lvl>
  </w:abstractNum>
  <w:abstractNum w:abstractNumId="47">
    <w:nsid w:val="4F4EF005"/>
    <w:multiLevelType w:val="hybridMultilevel"/>
    <w:lvl w:ilvl="0">
      <w:lvlJc w:val="left"/>
      <w:lvlText w:val="(%1)"/>
      <w:numFmt w:val="lowerLetter"/>
      <w:start w:val="11"/>
    </w:lvl>
  </w:abstractNum>
  <w:abstractNum w:abstractNumId="48">
    <w:nsid w:val="23F9C13C"/>
    <w:multiLevelType w:val="hybridMultilevel"/>
    <w:lvl w:ilvl="0">
      <w:lvlJc w:val="left"/>
      <w:lvlText w:val="(%1)"/>
      <w:numFmt w:val="lowerLetter"/>
      <w:start w:val="18"/>
    </w:lvl>
  </w:abstractNum>
  <w:abstractNum w:abstractNumId="49">
    <w:nsid w:val="649BB77C"/>
    <w:multiLevelType w:val="hybridMultilevel"/>
    <w:lvl w:ilvl="0">
      <w:lvlJc w:val="left"/>
      <w:lvlText w:val="(%1)"/>
      <w:numFmt w:val="lowerLetter"/>
      <w:start w:val="27"/>
    </w:lvl>
    <w:lvl w:ilvl="1">
      <w:lvlJc w:val="left"/>
      <w:lvlText w:val="(%2)"/>
      <w:numFmt w:val="lowerLetter"/>
      <w:start w:val="9"/>
    </w:lvl>
  </w:abstractNum>
  <w:abstractNum w:abstractNumId="50">
    <w:nsid w:val="275AC794"/>
    <w:multiLevelType w:val="hybridMultilevel"/>
    <w:lvl w:ilvl="0">
      <w:lvlJc w:val="left"/>
      <w:lvlText w:val="%1"/>
      <w:numFmt w:val="lowerLetter"/>
      <w:start w:val="1"/>
    </w:lvl>
    <w:lvl w:ilvl="1">
      <w:lvlJc w:val="left"/>
      <w:lvlText w:val="(%2)"/>
      <w:numFmt w:val="lowerRoman"/>
      <w:start w:val="2"/>
    </w:lvl>
  </w:abstractNum>
  <w:abstractNum w:abstractNumId="51">
    <w:nsid w:val="39386575"/>
    <w:multiLevelType w:val="hybridMultilevel"/>
    <w:lvl w:ilvl="0">
      <w:lvlJc w:val="left"/>
      <w:lvlText w:val="(%1)"/>
      <w:numFmt w:val="lowerLetter"/>
      <w:start w:val="28"/>
    </w:lvl>
    <w:lvl w:ilvl="1">
      <w:lvlJc w:val="left"/>
      <w:lvlText w:val="%2"/>
      <w:numFmt w:val="lowerRoman"/>
      <w:start w:val="1"/>
    </w:lvl>
  </w:abstractNum>
  <w:abstractNum w:abstractNumId="52">
    <w:nsid w:val="1CF10FD8"/>
    <w:multiLevelType w:val="hybridMultilevel"/>
    <w:lvl w:ilvl="0">
      <w:lvlJc w:val="left"/>
      <w:lvlText w:val="(%1)"/>
      <w:numFmt w:val="lowerLetter"/>
      <w:start w:val="32"/>
    </w:lvl>
  </w:abstractNum>
  <w:abstractNum w:abstractNumId="53">
    <w:nsid w:val="180115BE"/>
    <w:multiLevelType w:val="hybridMultilevel"/>
    <w:lvl w:ilvl="0">
      <w:lvlJc w:val="left"/>
      <w:lvlText w:val="%1"/>
      <w:numFmt w:val="decimal"/>
      <w:start w:val="1"/>
    </w:lvl>
    <w:lvl w:ilvl="1">
      <w:lvlJc w:val="left"/>
      <w:lvlText w:val="(%2)"/>
      <w:numFmt w:val="lowerLetter"/>
      <w:start w:val="42"/>
    </w:lvl>
  </w:abstractNum>
  <w:abstractNum w:abstractNumId="54">
    <w:nsid w:val="235BA861"/>
    <w:multiLevelType w:val="hybridMultilevel"/>
    <w:lvl w:ilvl="0">
      <w:lvlJc w:val="left"/>
      <w:lvlText w:val="(%1)"/>
      <w:numFmt w:val="decimal"/>
      <w:start w:val="10"/>
    </w:lvl>
    <w:lvl w:ilvl="1">
      <w:lvlJc w:val="left"/>
      <w:lvlText w:val="%2"/>
      <w:numFmt w:val="lowerLetter"/>
      <w:start w:val="1"/>
    </w:lvl>
  </w:abstractNum>
  <w:abstractNum w:abstractNumId="55">
    <w:nsid w:val="47398C89"/>
    <w:multiLevelType w:val="hybridMultilevel"/>
    <w:lvl w:ilvl="0">
      <w:lvlJc w:val="left"/>
      <w:lvlText w:val="(%1)"/>
      <w:numFmt w:val="lowerLetter"/>
      <w:start w:val="45"/>
    </w:lvl>
  </w:abstractNum>
  <w:abstractNum w:abstractNumId="56">
    <w:nsid w:val="354FE9F9"/>
    <w:multiLevelType w:val="hybridMultilevel"/>
    <w:lvl w:ilvl="0">
      <w:lvlJc w:val="left"/>
      <w:lvlText w:val="(%1)"/>
      <w:numFmt w:val="lowerLetter"/>
      <w:start w:val="53"/>
    </w:lvl>
  </w:abstractNum>
  <w:abstractNum w:abstractNumId="57">
    <w:nsid w:val="15B5AF5C"/>
    <w:multiLevelType w:val="hybridMultilevel"/>
    <w:lvl w:ilvl="0">
      <w:lvlJc w:val="left"/>
      <w:lvlText w:val="(%1)"/>
      <w:numFmt w:val="lowerLetter"/>
      <w:start w:val="56"/>
    </w:lvl>
  </w:abstractNum>
  <w:abstractNum w:abstractNumId="58">
    <w:nsid w:val="741226BB"/>
    <w:multiLevelType w:val="hybridMultilevel"/>
    <w:lvl w:ilvl="0">
      <w:lvlJc w:val="left"/>
      <w:lvlText w:val="%1."/>
      <w:numFmt w:val="decimal"/>
      <w:start w:val="1"/>
    </w:lvl>
    <w:lvl w:ilvl="1">
      <w:lvlJc w:val="left"/>
      <w:lvlText w:val="%2."/>
      <w:numFmt w:val="lowerLetter"/>
      <w:start w:val="1"/>
    </w:lvl>
  </w:abstractNum>
  <w:abstractNum w:abstractNumId="59">
    <w:nsid w:val="D34B6A8"/>
    <w:multiLevelType w:val="hybridMultilevel"/>
    <w:lvl w:ilvl="0">
      <w:lvlJc w:val="left"/>
      <w:lvlText w:val="%1."/>
      <w:numFmt w:val="decimal"/>
      <w:start w:val="1"/>
    </w:lvl>
    <w:lvl w:ilvl="1">
      <w:lvlJc w:val="left"/>
      <w:lvlText w:val="%2."/>
      <w:numFmt w:val="lowerLetter"/>
      <w:start w:val="1"/>
    </w:lvl>
  </w:abstractNum>
  <w:abstractNum w:abstractNumId="60">
    <w:nsid w:val="10233C9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png"/><Relationship Id="rId47" Type="http://schemas.openxmlformats.org/officeDocument/2006/relationships/hyperlink" Target="http://www.sec.gov/Archives/edgar/data/0001598646/000104746914005459/a2219972zex-3_1.htm" TargetMode="External"/><Relationship Id="rId48" Type="http://schemas.openxmlformats.org/officeDocument/2006/relationships/hyperlink" Target="http://www.sec.gov/Archives/edgar/data/0001598646/000156459019039496/nerv-ex32_112.htm" TargetMode="External"/><Relationship Id="rId49" Type="http://schemas.openxmlformats.org/officeDocument/2006/relationships/hyperlink" Target="http://www.sec.gov/Archives/edgar/data/1598646/000119312518246082/d602457dex1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2020-08-03T06:03:10Z</dcterms:created>
  <dcterms:modified xsi:type="dcterms:W3CDTF">2020-08-03T06:03:10Z</dcterms:modified>
</cp:coreProperties>
</file>