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113665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9" w:lineRule="exact"/>
        <w:rPr>
          <w:sz w:val="24"/>
          <w:szCs w:val="24"/>
          <w:color w:val="auto"/>
        </w:rPr>
      </w:pPr>
    </w:p>
    <w:p>
      <w:pPr>
        <w:ind w:left="520" w:right="360" w:hanging="512"/>
        <w:spacing w:after="0" w:line="262" w:lineRule="auto"/>
        <w:tabs>
          <w:tab w:leader="none" w:pos="5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20" w:right="360" w:hanging="512"/>
        <w:spacing w:after="0" w:line="262" w:lineRule="auto"/>
        <w:tabs>
          <w:tab w:leader="none" w:pos="5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500"/>
        <w:spacing w:after="0"/>
        <w:tabs>
          <w:tab w:leader="none" w:pos="68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-5080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114300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Minerva Neurosciences,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9"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44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2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26-0784194</w:t>
            </w:r>
          </w:p>
        </w:tc>
      </w:tr>
      <w:tr>
        <w:trPr>
          <w:trHeight w:val="149"/>
        </w:trPr>
        <w:tc>
          <w:tcPr>
            <w:tcW w:w="444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20" w:type="dxa"/>
            <w:vAlign w:val="bottom"/>
          </w:tcPr>
          <w:p>
            <w:pPr>
              <w:jc w:val="center"/>
              <w:ind w:left="19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444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1601 Trapelo Road, Suite 284</w:t>
            </w:r>
          </w:p>
        </w:tc>
        <w:tc>
          <w:tcPr>
            <w:tcW w:w="3120" w:type="dxa"/>
            <w:vAlign w:val="bottom"/>
          </w:tcPr>
          <w:p>
            <w:pPr>
              <w:spacing w:after="0"/>
              <w:rPr>
                <w:sz w:val="24"/>
                <w:szCs w:val="24"/>
                <w:color w:val="auto"/>
              </w:rPr>
            </w:pPr>
          </w:p>
        </w:tc>
      </w:tr>
      <w:tr>
        <w:trPr>
          <w:trHeight w:val="214"/>
        </w:trPr>
        <w:tc>
          <w:tcPr>
            <w:tcW w:w="444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31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4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20" w:type="dxa"/>
            <w:vAlign w:val="bottom"/>
          </w:tcPr>
          <w:p>
            <w:pPr>
              <w:jc w:val="center"/>
              <w:ind w:left="19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600-7373</w:t>
      </w:r>
    </w:p>
    <w:p>
      <w:pPr>
        <w:spacing w:after="0" w:line="1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102870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6" w:lineRule="exact"/>
        <w:rPr>
          <w:sz w:val="24"/>
          <w:szCs w:val="24"/>
          <w:color w:val="auto"/>
        </w:rPr>
      </w:pPr>
    </w:p>
    <w:p>
      <w:pPr>
        <w:ind w:right="4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8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82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 not check if smaller reporting company)</w:t>
            </w:r>
          </w:p>
        </w:tc>
        <w:tc>
          <w:tcPr>
            <w:tcW w:w="33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4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482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pacing w:after="0" w:line="83"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7580" w:val="left"/>
          <w:tab w:leader="none" w:pos="83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$0.0001 par value per share, outstanding as of July 31, 2017 was 42,509,003.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622300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4" w:right="2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160" w:type="dxa"/>
            <w:vAlign w:val="bottom"/>
            <w:gridSpan w:val="12"/>
            <w:vMerge w:val="restart"/>
          </w:tcPr>
          <w:p>
            <w:pPr>
              <w:jc w:val="center"/>
              <w:ind w:right="3600"/>
              <w:spacing w:after="0"/>
              <w:rPr>
                <w:rFonts w:ascii="Times New Roman" w:cs="Times New Roman" w:eastAsia="Times New Roman" w:hAnsi="Times New Roman"/>
                <w:sz w:val="18"/>
                <w:szCs w:val="18"/>
                <w:b w:val="1"/>
                <w:bCs w:val="1"/>
                <w:color w:val="0000EE"/>
                <w:w w:val="99"/>
              </w:rPr>
            </w:pPr>
            <w:hyperlink w:anchor="page4">
              <w:r>
                <w:rPr>
                  <w:rFonts w:ascii="Times New Roman" w:cs="Times New Roman" w:eastAsia="Times New Roman" w:hAnsi="Times New Roman"/>
                  <w:sz w:val="18"/>
                  <w:szCs w:val="18"/>
                  <w:b w:val="1"/>
                  <w:bCs w:val="1"/>
                  <w:color w:val="0000EE"/>
                  <w:w w:val="99"/>
                </w:rPr>
                <w:t>PART I — Financial Information</w:t>
              </w:r>
            </w:hyperlink>
          </w:p>
        </w:tc>
        <w:tc>
          <w:tcPr>
            <w:tcW w:w="6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160" w:type="dxa"/>
            <w:vAlign w:val="bottom"/>
            <w:gridSpan w:val="12"/>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Financial Statements (unaudited):</w:t>
              </w:r>
            </w:hyperlink>
          </w:p>
        </w:tc>
        <w:tc>
          <w:tcPr>
            <w:tcW w:w="1060" w:type="dxa"/>
            <w:vAlign w:val="bottom"/>
          </w:tcPr>
          <w:p>
            <w:pPr>
              <w:spacing w:after="0"/>
              <w:rPr>
                <w:sz w:val="24"/>
                <w:szCs w:val="24"/>
                <w:color w:val="auto"/>
              </w:rPr>
            </w:pPr>
          </w:p>
        </w:tc>
        <w:tc>
          <w:tcPr>
            <w:tcW w:w="2560" w:type="dxa"/>
            <w:vAlign w:val="bottom"/>
            <w:tcBorders>
              <w:top w:val="single" w:sz="8" w:color="0000EE"/>
            </w:tcBorders>
            <w:gridSpan w:val="6"/>
          </w:tcPr>
          <w:p>
            <w:pPr>
              <w:spacing w:after="0"/>
              <w:rPr>
                <w:sz w:val="24"/>
                <w:szCs w:val="24"/>
                <w:color w:val="auto"/>
              </w:rPr>
            </w:pPr>
          </w:p>
        </w:tc>
        <w:tc>
          <w:tcPr>
            <w:tcW w:w="3600" w:type="dxa"/>
            <w:vAlign w:val="bottom"/>
            <w:gridSpan w:val="6"/>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as of June 30, 2017 and December 31, 2016</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Operations for the three and six months ended June 30, 2017 and 2016</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9640" w:type="dxa"/>
            <w:vAlign w:val="bottom"/>
            <w:gridSpan w:val="20"/>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 of Changes in Stockholders’ Equity for the six months ended June 30, 2017 and 2016</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87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six months ended June 30, 2017 and 2016</w:t>
              </w:r>
            </w:hyperlink>
          </w:p>
        </w:tc>
        <w:tc>
          <w:tcPr>
            <w:tcW w:w="90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7280" w:type="dxa"/>
            <w:vAlign w:val="bottom"/>
            <w:tcBorders>
              <w:top w:val="single" w:sz="8" w:color="0000EE"/>
            </w:tcBorders>
            <w:gridSpan w:val="17"/>
          </w:tcPr>
          <w:p>
            <w:pPr>
              <w:spacing w:after="0" w:line="196" w:lineRule="exact"/>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236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640" w:type="dxa"/>
            <w:vAlign w:val="bottom"/>
            <w:gridSpan w:val="20"/>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30">
              <w:r>
                <w:rPr>
                  <w:rFonts w:ascii="Times New Roman" w:cs="Times New Roman" w:eastAsia="Times New Roman" w:hAnsi="Times New Roman"/>
                  <w:sz w:val="18"/>
                  <w:szCs w:val="18"/>
                  <w:color w:val="0000EE"/>
                  <w:w w:val="99"/>
                </w:rPr>
                <w:t>Quantitative and Qualitative Disclosures about Market Risk</w:t>
              </w:r>
            </w:hyperlink>
          </w:p>
        </w:tc>
        <w:tc>
          <w:tcPr>
            <w:tcW w:w="2140" w:type="dxa"/>
            <w:vAlign w:val="bottom"/>
            <w:tcBorders>
              <w:top w:val="single" w:sz="8" w:color="0000EE"/>
            </w:tcBorders>
            <w:gridSpan w:val="5"/>
          </w:tcPr>
          <w:p>
            <w:pPr>
              <w:spacing w:after="0"/>
              <w:rPr>
                <w:sz w:val="17"/>
                <w:szCs w:val="17"/>
                <w:color w:val="auto"/>
              </w:rPr>
            </w:pPr>
          </w:p>
        </w:tc>
        <w:tc>
          <w:tcPr>
            <w:tcW w:w="320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640" w:type="dxa"/>
            <w:vAlign w:val="bottom"/>
            <w:gridSpan w:val="20"/>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Controls and Procedures</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60" w:type="dxa"/>
            <w:vAlign w:val="bottom"/>
            <w:gridSpan w:val="11"/>
          </w:tcPr>
          <w:p>
            <w:pPr>
              <w:jc w:val="center"/>
              <w:ind w:right="3700"/>
              <w:spacing w:after="0"/>
              <w:rPr>
                <w:rFonts w:ascii="Times New Roman" w:cs="Times New Roman" w:eastAsia="Times New Roman" w:hAnsi="Times New Roman"/>
                <w:sz w:val="18"/>
                <w:szCs w:val="18"/>
                <w:b w:val="1"/>
                <w:bCs w:val="1"/>
                <w:color w:val="0000EE"/>
                <w:w w:val="98"/>
              </w:rPr>
            </w:pPr>
            <w:hyperlink w:anchor="page31">
              <w:r>
                <w:rPr>
                  <w:rFonts w:ascii="Times New Roman" w:cs="Times New Roman" w:eastAsia="Times New Roman" w:hAnsi="Times New Roman"/>
                  <w:sz w:val="18"/>
                  <w:szCs w:val="18"/>
                  <w:b w:val="1"/>
                  <w:bCs w:val="1"/>
                  <w:color w:val="0000EE"/>
                  <w:w w:val="98"/>
                </w:rPr>
                <w:t>PART II — Other Information</w:t>
              </w:r>
            </w:hyperlink>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580" w:type="dxa"/>
            <w:vAlign w:val="bottom"/>
            <w:gridSpan w:val="9"/>
          </w:tcPr>
          <w:p>
            <w:pPr>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Legal Proceedings</w:t>
              </w:r>
            </w:hyperlink>
          </w:p>
        </w:tc>
        <w:tc>
          <w:tcPr>
            <w:tcW w:w="2360" w:type="dxa"/>
            <w:vAlign w:val="bottom"/>
            <w:tcBorders>
              <w:top w:val="single" w:sz="8" w:color="0000EE"/>
            </w:tcBorders>
            <w:gridSpan w:val="4"/>
          </w:tcPr>
          <w:p>
            <w:pPr>
              <w:spacing w:after="0"/>
              <w:rPr>
                <w:sz w:val="24"/>
                <w:szCs w:val="24"/>
                <w:color w:val="auto"/>
              </w:rPr>
            </w:pPr>
          </w:p>
        </w:tc>
        <w:tc>
          <w:tcPr>
            <w:tcW w:w="3700" w:type="dxa"/>
            <w:vAlign w:val="bottom"/>
            <w:gridSpan w:val="7"/>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17"/>
                <w:szCs w:val="17"/>
                <w:color w:val="auto"/>
              </w:rPr>
            </w:pPr>
          </w:p>
        </w:tc>
        <w:tc>
          <w:tcPr>
            <w:tcW w:w="8320" w:type="dxa"/>
            <w:vAlign w:val="bottom"/>
            <w:gridSpan w:val="1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Unregistered Sales of Equity Securities and Use of Proceeds</w:t>
              </w:r>
            </w:hyperlink>
          </w:p>
        </w:tc>
        <w:tc>
          <w:tcPr>
            <w:tcW w:w="5300" w:type="dxa"/>
            <w:vAlign w:val="bottom"/>
            <w:gridSpan w:val="8"/>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w:anchor="page61">
              <w:r>
                <w:rPr>
                  <w:rFonts w:ascii="Times New Roman" w:cs="Times New Roman" w:eastAsia="Times New Roman" w:hAnsi="Times New Roman"/>
                  <w:sz w:val="18"/>
                  <w:szCs w:val="18"/>
                  <w:color w:val="0000EE"/>
                  <w:w w:val="98"/>
                </w:rPr>
                <w:t>Defaults Upon Senior Securities</w:t>
              </w:r>
            </w:hyperlink>
          </w:p>
        </w:tc>
        <w:tc>
          <w:tcPr>
            <w:tcW w:w="7320" w:type="dxa"/>
            <w:vAlign w:val="bottom"/>
            <w:gridSpan w:val="1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61">
              <w:r>
                <w:rPr>
                  <w:rFonts w:ascii="Times New Roman" w:cs="Times New Roman" w:eastAsia="Times New Roman" w:hAnsi="Times New Roman"/>
                  <w:sz w:val="18"/>
                  <w:szCs w:val="18"/>
                  <w:color w:val="0000EE"/>
                  <w:w w:val="98"/>
                </w:rPr>
                <w:t>Mine Safety Disclosures</w:t>
              </w:r>
            </w:hyperlink>
          </w:p>
        </w:tc>
        <w:tc>
          <w:tcPr>
            <w:tcW w:w="7880" w:type="dxa"/>
            <w:vAlign w:val="bottom"/>
            <w:gridSpan w:val="1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640" w:type="dxa"/>
            <w:vAlign w:val="bottom"/>
            <w:gridSpan w:val="20"/>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Other Information</w:t>
              </w:r>
            </w:hyperlink>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Exhibits</w:t>
              </w:r>
            </w:hyperlink>
          </w:p>
        </w:tc>
        <w:tc>
          <w:tcPr>
            <w:tcW w:w="8340" w:type="dxa"/>
            <w:vAlign w:val="bottom"/>
            <w:gridSpan w:val="1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060" w:type="dxa"/>
            <w:vAlign w:val="bottom"/>
            <w:gridSpan w:val="1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740" w:type="dxa"/>
            <w:vAlign w:val="bottom"/>
            <w:gridSpan w:val="21"/>
          </w:tcPr>
          <w:p>
            <w:pPr>
              <w:spacing w:after="0"/>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SIGNATURES</w:t>
              </w:r>
            </w:hyperlink>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110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 w:name="page3"/>
    <w:bookmarkEnd w:id="2"/>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5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and service marks appearing in this Quarterly Report on Form 10-Q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5" w:right="2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07"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6"/>
                <w:szCs w:val="16"/>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0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FF0FC"/>
          </w:tcPr>
          <w:p>
            <w:pPr>
              <w:ind w:left="3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50,191,362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82,980,609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Marketable securities</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27,381,492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421,693</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803,241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78,074,547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83,863,850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34,200,000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Deferred public offering costs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232,980</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127,379,962</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132,942,889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5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Notes payable - current portion</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5,066,500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4,853,753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1,443,439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815,813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Accrued collaborative expenses - related party</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6,646,239</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2,547,952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14,587,644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9,685,859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payable - noncurrent</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3,841,062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taxes</w:t>
            </w:r>
          </w:p>
        </w:tc>
        <w:tc>
          <w:tcPr>
            <w:tcW w:w="32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13,433,760</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13,433,760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29,347,883</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26,960,681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Preferred stock; $0.0001 par value; 100,000,000 shares authorized; none issued</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or outstanding as of June 30, 2017 and December 31, 2016, respectively</w:t>
            </w:r>
          </w:p>
        </w:tc>
        <w:tc>
          <w:tcPr>
            <w:tcW w:w="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Common stock; $0.0001 par value; 125,000,000 shares authorized; 36,759,003 and</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35,024,002 shares issued and outstanding as of June 30, 2017 and</w:t>
            </w: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December 31, 2016, respectively</w:t>
            </w:r>
          </w:p>
        </w:tc>
        <w:tc>
          <w:tcPr>
            <w:tcW w:w="32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251,311,357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238,836,940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(153,282,954)</w:t>
            </w:r>
          </w:p>
        </w:tc>
        <w:tc>
          <w:tcPr>
            <w:tcW w:w="2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(132,858,234)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98,032,079</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105,982,208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127,379,962</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132,942,889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ind w:left="43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20" w:type="dxa"/>
            <w:vAlign w:val="bottom"/>
            <w:gridSpan w:val="6"/>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2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7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7,144,133</w:t>
            </w:r>
          </w:p>
        </w:tc>
        <w:tc>
          <w:tcPr>
            <w:tcW w:w="2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2,714,298</w:t>
            </w:r>
          </w:p>
        </w:tc>
        <w:tc>
          <w:tcPr>
            <w:tcW w:w="160" w:type="dxa"/>
            <w:vAlign w:val="bottom"/>
          </w:tcPr>
          <w:p>
            <w:pPr>
              <w:spacing w:after="0"/>
              <w:rPr>
                <w:sz w:val="21"/>
                <w:szCs w:val="2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14,758,464</w:t>
            </w:r>
          </w:p>
        </w:tc>
        <w:tc>
          <w:tcPr>
            <w:tcW w:w="160" w:type="dxa"/>
            <w:vAlign w:val="bottom"/>
          </w:tcPr>
          <w:p>
            <w:pPr>
              <w:spacing w:after="0"/>
              <w:rPr>
                <w:sz w:val="21"/>
                <w:szCs w:val="2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8,089,162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2,601,408</w:t>
            </w:r>
          </w:p>
        </w:tc>
        <w:tc>
          <w:tcPr>
            <w:tcW w:w="240" w:type="dxa"/>
            <w:vAlign w:val="bottom"/>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2,250,206</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5,472,150</w:t>
            </w:r>
          </w:p>
        </w:tc>
        <w:tc>
          <w:tcPr>
            <w:tcW w:w="1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4,632,248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Total expenses</w:t>
            </w:r>
          </w:p>
        </w:tc>
        <w:tc>
          <w:tcPr>
            <w:tcW w:w="94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9,745,541</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4,964,504</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20,230,614</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12,721,410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(9,745,541)</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(4,964,504)</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(20,230,614)</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(12,721,410)</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4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(20,115)</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(15,462)</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(36,798)</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(24,974)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155,657</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34,613</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214,319</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(170,125)</w:t>
            </w:r>
          </w:p>
        </w:tc>
        <w:tc>
          <w:tcPr>
            <w:tcW w:w="26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(268,256)</w:t>
            </w:r>
          </w:p>
        </w:tc>
        <w:tc>
          <w:tcPr>
            <w:tcW w:w="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(371,627)</w:t>
            </w:r>
          </w:p>
        </w:tc>
        <w:tc>
          <w:tcPr>
            <w:tcW w:w="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(538,612)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vMerge w:val="restart"/>
          </w:tcPr>
          <w:p>
            <w:pPr>
              <w:ind w:left="48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(9,780,124)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(5,213,609)</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(20,424,720)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(13,218,019)</w:t>
            </w:r>
          </w:p>
        </w:tc>
        <w:tc>
          <w:tcPr>
            <w:tcW w:w="0" w:type="dxa"/>
            <w:vAlign w:val="bottom"/>
          </w:tcPr>
          <w:p>
            <w:pPr>
              <w:spacing w:after="0"/>
              <w:rPr>
                <w:sz w:val="1"/>
                <w:szCs w:val="1"/>
                <w:color w:val="auto"/>
              </w:rPr>
            </w:pPr>
          </w:p>
        </w:tc>
      </w:tr>
      <w:tr>
        <w:trPr>
          <w:trHeight w:val="224"/>
        </w:trPr>
        <w:tc>
          <w:tcPr>
            <w:tcW w:w="20" w:type="dxa"/>
            <w:vAlign w:val="bottom"/>
            <w:vMerge w:val="restart"/>
          </w:tcPr>
          <w:p>
            <w:pPr>
              <w:spacing w:after="0"/>
              <w:rPr>
                <w:sz w:val="19"/>
                <w:szCs w:val="19"/>
                <w:color w:val="auto"/>
              </w:rPr>
            </w:pPr>
          </w:p>
        </w:tc>
        <w:tc>
          <w:tcPr>
            <w:tcW w:w="49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1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(0.18)</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(0.57)</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9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shares outstanding, basic and diluted</w:t>
            </w:r>
          </w:p>
        </w:tc>
        <w:tc>
          <w:tcPr>
            <w:tcW w:w="9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36,719,541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29,122,411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36,048,300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28,162,561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ind w:left="43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28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040" w:type="dxa"/>
            <w:vAlign w:val="bottom"/>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171"/>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1260" w:type="dxa"/>
            <w:vAlign w:val="bottom"/>
            <w:gridSpan w:val="2"/>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32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3"/>
                <w:szCs w:val="13"/>
                <w:color w:val="auto"/>
              </w:rPr>
            </w:pPr>
          </w:p>
        </w:tc>
        <w:tc>
          <w:tcPr>
            <w:tcW w:w="1060" w:type="dxa"/>
            <w:vAlign w:val="bottom"/>
            <w:gridSpan w:val="2"/>
          </w:tcPr>
          <w:p>
            <w:pPr>
              <w:jc w:val="right"/>
              <w:ind w:right="50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January 1, 2016</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24,721,143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2,472</w:t>
            </w:r>
          </w:p>
        </w:tc>
        <w:tc>
          <w:tcPr>
            <w:tcW w:w="24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$ 157,129,947</w:t>
            </w:r>
          </w:p>
        </w:tc>
        <w:tc>
          <w:tcPr>
            <w:tcW w:w="24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 (101,812,862)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55,319,557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3,850,051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22,222,109</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22,222,494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stock in a public offering, net of</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issuance costs of $3,842,004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6,052,631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53,657,385</w:t>
            </w: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53,657,991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pursuant to a private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placement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181,488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999,981</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999,999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1,623,003</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1,623,003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(13,218,019)</w:t>
            </w:r>
          </w:p>
        </w:tc>
        <w:tc>
          <w:tcPr>
            <w:tcW w:w="10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(13,218,019)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2016</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34,805,313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3,481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 xml:space="preserve"> 235,632,425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(115,030,881</w:t>
            </w:r>
          </w:p>
        </w:tc>
        <w:tc>
          <w:tcPr>
            <w:tcW w:w="240" w:type="dxa"/>
            <w:vAlign w:val="bottom"/>
            <w:tcBorders>
              <w:top w:val="single" w:sz="8" w:color="CFF0FC"/>
              <w:bottom w:val="single" w:sz="8" w:color="CFF0FC"/>
            </w:tcBorders>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120,605,025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vMerge w:val="restart"/>
          </w:tcPr>
          <w:p>
            <w:pPr>
              <w:spacing w:after="0"/>
              <w:rPr>
                <w:sz w:val="12"/>
                <w:szCs w:val="12"/>
                <w:color w:val="auto"/>
              </w:rPr>
            </w:pPr>
          </w:p>
        </w:tc>
        <w:tc>
          <w:tcPr>
            <w:tcW w:w="5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January 1, 2017</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35,024,002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3,502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$ 238,836,940</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 (132,858,234)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105,982,208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common stock warrants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1,621,073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9,356,671</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9,356,833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113,928</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576,162</w:t>
            </w: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2,541,584</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(20,424,720)</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(20,424,720)</w:t>
            </w:r>
          </w:p>
        </w:tc>
        <w:tc>
          <w:tcPr>
            <w:tcW w:w="0" w:type="dxa"/>
            <w:vAlign w:val="bottom"/>
          </w:tcPr>
          <w:p>
            <w:pPr>
              <w:spacing w:after="0"/>
              <w:rPr>
                <w:sz w:val="1"/>
                <w:szCs w:val="1"/>
                <w:color w:val="auto"/>
              </w:rPr>
            </w:pPr>
          </w:p>
        </w:tc>
      </w:tr>
      <w:tr>
        <w:trPr>
          <w:trHeight w:val="223"/>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2017</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36,759,003</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3,676</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$ 251,311,357</w:t>
            </w:r>
          </w:p>
        </w:tc>
        <w:tc>
          <w:tcPr>
            <w:tcW w:w="2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 (153,282,954</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98,032,079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34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20" w:type="dxa"/>
            <w:vAlign w:val="bottom"/>
            <w:gridSpan w:val="5"/>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80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80" w:type="dxa"/>
            <w:vAlign w:val="bottom"/>
            <w:tcBorders>
              <w:top w:val="single" w:sz="8" w:color="auto"/>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9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(20,424,720)</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(13,218,019)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Amortization of debt discount recorded as interest expense</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124,130</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186,133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(Accretion) amortization of marketable securities</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(40,185)</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2,541,584</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1,623,003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406,656</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897,739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(60,672)</w:t>
            </w: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(620,607)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459,626</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(1,071,437)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Accrued collaborative expenses</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4,098,287</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(12,888,690)</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(12,103,815)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maturity and redemption of marketable securities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(27,366,415)</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Borders>
              <w:bottom w:val="single" w:sz="8" w:color="CFF0FC"/>
            </w:tcBorders>
          </w:tcPr>
          <w:p>
            <w:pPr>
              <w:ind w:left="48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(27,366,415)</w:t>
            </w:r>
          </w:p>
        </w:tc>
        <w:tc>
          <w:tcPr>
            <w:tcW w:w="2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9,443,000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sale of common stock in public offering</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57,499,995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Costs paid in connection with public offering</w:t>
            </w:r>
          </w:p>
        </w:tc>
        <w:tc>
          <w:tcPr>
            <w:tcW w:w="3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(41,183)</w:t>
            </w:r>
          </w:p>
        </w:tc>
        <w:tc>
          <w:tcPr>
            <w:tcW w:w="38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(3,675,306)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exercise of common stock warrants</w:t>
            </w: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9,356,833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22,222,494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576,174</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of notes payable</w:t>
            </w:r>
          </w:p>
        </w:tc>
        <w:tc>
          <w:tcPr>
            <w:tcW w:w="3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(2,425,966)</w:t>
            </w: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Proceeds from sale of common stock in private placement</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999,999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7,465,858</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77,047,182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(32,789,247)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74,386,367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8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82,980,609</w:t>
            </w:r>
          </w:p>
        </w:tc>
        <w:tc>
          <w:tcPr>
            <w:tcW w:w="2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14,284,054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50,191,362</w:t>
            </w:r>
          </w:p>
        </w:tc>
        <w:tc>
          <w:tcPr>
            <w:tcW w:w="280" w:type="dxa"/>
            <w:vAlign w:val="bottom"/>
          </w:tcPr>
          <w:p>
            <w:pPr>
              <w:spacing w:after="0"/>
              <w:rPr>
                <w:sz w:val="22"/>
                <w:szCs w:val="22"/>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88,670,421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Deferred public offering costs included in accounts payable or in accrued</w:t>
            </w: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expenses and other current liabilities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191,797</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166,698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8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paid for interest</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261,749</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352,500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June 30, 2017 and for the Six Months Ended June 30, 2017 and 2016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LIQUIDITY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Minerva Neurosciences, Inc. (“Minerva” or the “Company”) is a clinical-stage biopharmaceutical company focused on the development and commercialization of a portfolio of product candidates to treat patients suffering from central nervous system (“CNS”) diseases. The Company has acquired or in-licensed four development-stage proprietary compounds that it believes have innovative mechanisms of action and therapeutic profiles that may potentially address the unmet needs of patients with these diseases. The Company’s lead product candidate is MIN-101, a compound the Company is developing for the treatment of schizophrenia. In addition, the Company’s portfolio includes MIN-202 (also known as JNJ-42847922), a compound the Company is co-developing with Janssen Pharmaceutica NV (“Janssen”), for the treatment of insomnia disorder and major depressive disorder (“MDD”); MIN-117, a compound the Company is developing for the treatment of MDD; and MIN-301, a compound the Company is developing for the treatment of Parkinson’s disease.</w:t>
      </w:r>
    </w:p>
    <w:p>
      <w:pPr>
        <w:spacing w:after="0" w:line="18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November 2013, the Company merged with Sonkei Pharmaceuticals Inc. (“Sonkei”), a clinical-stage biopharmaceutical company and, in February 2014, the Company acquired Mind-NRG, a pre-clinical-stage biopharmaceutical company. The Company refers to these transactions as the Sonkei Merger and Mind-NRG Acquisition, respectively. The Company holds licenses to MIN-101 and MIN-117 from Mitsubishi Tanabe Pharma Corporation (“MTPC”) with the rights to develop, sell and import MIN-101 and MIN-117 globally, excluding most of Asia. With the acquisition of Mind-NRG, the Company obtained exclusive rights to develop and commercialize MIN-301. The Company has also entered into a co-development and license agreement with Janssen, for the exclusive right to commercialize, and the co-exclusive right (with Janssen and its affiliates) to use and develop, MIN-202 in the European Union, Switzerland, Liechtenstein, Iceland and Norway (the “Minerva Territory”), subject to royalty payments to Janssen, and royalty rights for any sales outside the Minerva Territory.</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June 30, 2017, the Company has an accumulated deficit of approximately $153.3 million and net cash used in operating activities was approximately $12.9 million during the six months ended June 30, 2017. Management expects to continue to incur operating losses and negative cash flows from operations. The Company has financed its operations to date from proceeds from the sale of common stock, warrants, loans and convertible promissory notes.</w:t>
      </w:r>
    </w:p>
    <w:p>
      <w:pPr>
        <w:spacing w:after="0" w:line="21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Company believes that its existing cash, cash equivalents and marketable securities will be sufficient to meet its cash commitments for at least the next 12 months after the date that the interim condensed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and the level of financial resources available. The Company has the ability to adjust its operating plan spending levels based on the timing of future clinical trials which will be predicated upon adequate funding to complete the trials.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10-01.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June 30, 2017, the results of operations for the three and six months ended June 30, 2017 and 2016 and cash flows for the six months ended June 30, 2017 and 2016. The results of operations for the three and six months ended June 30, 2017, are not necessarily indicative of the results to be expected for the full year. When preparing financial statements in conformity with GAAP, management must make estimates and assumptions that affect the reported amounts of assets and liabilities, disclosure of contingent assets and liabilities at the date of the financial statements and the reported amounts of expenses during the reporting period. Actual results could differ from those estimates. The consolidated balance sheet as of December 31, 2016 was derived from the audited annual financial statements. The accompanying unaudited condensed consolidated financial statements and notes thereto should be read in conjunction with the audited consolidated financial statements for the year ended December 31, 2016 included in the Company’s Annual Report on Form 10-K filed with the SEC on March 13, 2017.</w:t>
      </w:r>
    </w:p>
    <w:p>
      <w:pPr>
        <w:spacing w:after="0" w:line="1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however, these deposits may be redeemed upon demand and, therefore, bear minimal risk.</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Cash accounts with any type of restriction are classified as restricted. The Company maintained restricted cash balances as collateral for corporate credit cards in the amount of $80,000 at June 30, 2017 and December 31, 2016.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7" w:right="23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Marketable securities consist of corporate debt securities maturing in twelve months or less. Based on the Company’s intentions regarding its marketable securities, all marketable securities are classified as held-to-maturity and are carried at amortized cost. The Company’s investments in marketable securities are classified as Level 2 within the fair value hierarchy. As of June 30, 2017, remaining final maturities of marketable securities ranged from July 2017 to August 2017, with a weighted average remaining maturity of approximately 1 months. The following table provides the amortized cost basis, aggregate fair value, net unrealized (gains)/losses and the net carrying value of investments in held-to-maturity securities as of June 30, 2017:</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4"/>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180" w:type="dxa"/>
            <w:vAlign w:val="bottom"/>
          </w:tcPr>
          <w:p>
            <w:pPr>
              <w:spacing w:after="0"/>
              <w:rPr>
                <w:sz w:val="12"/>
                <w:szCs w:val="12"/>
                <w:color w:val="auto"/>
              </w:rPr>
            </w:pPr>
          </w:p>
        </w:tc>
        <w:tc>
          <w:tcPr>
            <w:tcW w:w="104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2"/>
                <w:szCs w:val="12"/>
                <w:color w:val="auto"/>
              </w:rPr>
            </w:pPr>
          </w:p>
        </w:tc>
        <w:tc>
          <w:tcPr>
            <w:tcW w:w="104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10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5"/>
                <w:szCs w:val="15"/>
                <w:color w:val="auto"/>
              </w:rPr>
            </w:pPr>
          </w:p>
        </w:tc>
        <w:tc>
          <w:tcPr>
            <w:tcW w:w="10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Pr>
          <w:p>
            <w:pPr>
              <w:spacing w:after="0"/>
              <w:rPr>
                <w:sz w:val="15"/>
                <w:szCs w:val="15"/>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(Gains)/Losses</w:t>
            </w:r>
          </w:p>
        </w:tc>
        <w:tc>
          <w:tcPr>
            <w:tcW w:w="10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3"/>
        </w:trPr>
        <w:tc>
          <w:tcPr>
            <w:tcW w:w="20" w:type="dxa"/>
            <w:vAlign w:val="bottom"/>
          </w:tcPr>
          <w:p>
            <w:pPr>
              <w:spacing w:after="0"/>
              <w:rPr>
                <w:sz w:val="19"/>
                <w:szCs w:val="19"/>
                <w:color w:val="auto"/>
              </w:rPr>
            </w:pPr>
          </w:p>
        </w:tc>
        <w:tc>
          <w:tcPr>
            <w:tcW w:w="3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1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3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Corporate bonds - current</w:t>
            </w:r>
          </w:p>
        </w:tc>
        <w:tc>
          <w:tcPr>
            <w:tcW w:w="2120" w:type="dxa"/>
            <w:vAlign w:val="bottom"/>
            <w:gridSpan w:val="2"/>
          </w:tcPr>
          <w:p>
            <w:pPr>
              <w:jc w:val="center"/>
              <w:ind w:left="1050"/>
              <w:spacing w:after="0"/>
              <w:rPr>
                <w:sz w:val="20"/>
                <w:szCs w:val="20"/>
                <w:color w:val="auto"/>
              </w:rPr>
            </w:pPr>
            <w:r>
              <w:rPr>
                <w:rFonts w:ascii="Times New Roman" w:cs="Times New Roman" w:eastAsia="Times New Roman" w:hAnsi="Times New Roman"/>
                <w:sz w:val="18"/>
                <w:szCs w:val="18"/>
                <w:color w:val="auto"/>
                <w:w w:val="99"/>
              </w:rPr>
              <w:t>$ 27,381,492</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$ 27,380,584</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908</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$ 27,381,492</w:t>
            </w:r>
          </w:p>
        </w:tc>
        <w:tc>
          <w:tcPr>
            <w:tcW w:w="80" w:type="dxa"/>
            <w:vAlign w:val="bottom"/>
          </w:tcPr>
          <w:p>
            <w:pPr>
              <w:spacing w:after="0"/>
              <w:rPr>
                <w:sz w:val="20"/>
                <w:szCs w:val="20"/>
                <w:color w:val="auto"/>
              </w:rPr>
            </w:pPr>
          </w:p>
        </w:tc>
      </w:tr>
    </w:tbl>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expected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19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In July 2014, the Company entered into a co-development and license agreement. The Company accounts for the co-development and license agreement as a joint risk-sharing collaboration in accordance with ASC 808, </w:t>
      </w:r>
      <w:r>
        <w:rPr>
          <w:rFonts w:ascii="Times New Roman" w:cs="Times New Roman" w:eastAsia="Times New Roman" w:hAnsi="Times New Roman"/>
          <w:sz w:val="18"/>
          <w:szCs w:val="18"/>
          <w:i w:val="1"/>
          <w:iCs w:val="1"/>
          <w:color w:val="auto"/>
        </w:rPr>
        <w:t>Collaboration Arrangements</w:t>
      </w:r>
      <w:r>
        <w:rPr>
          <w:rFonts w:ascii="Times New Roman" w:cs="Times New Roman" w:eastAsia="Times New Roman" w:hAnsi="Times New Roman"/>
          <w:sz w:val="18"/>
          <w:szCs w:val="18"/>
          <w:color w:val="auto"/>
        </w:rPr>
        <w:t>. Costs between the Company and the licensor with respect to each party’s share of development costs that have been incurred pursuant to the joint development plan are recorded within research and development expenses or general and administrative expenses, as applicable, in the accompanying consolidated financial statements due to the joint risk-sharing nature of the activities. During the three months ended June 30, 2017 and 2016, the Company recorded an expense of $3.6 million and a cost offset of $0.1 million, respectively, for certain development activities in accordance with the terms of the co-development agreement. During the six months ended June 30, 2017 and 2016, the Company recorded an expense of $6.6 million and a cost offset of $0.2 million, respectively, for certain development activities in accordance with the terms of the co-development agreement. The Company has included $6.6 million and $2.5 million in accrued collaborative expenses as of June 30, 2017 and December 31, 2016, respectively, related to this agreement. In June 2017, we entered into an Amendment to our Co-Development and License Agreement with Janssen, pursuant to which Janssen agreed to waive the remaining payments, including accrued and unpaid balances as of June 30, 2017, due from Minerva for Phase II development of MIN-202 as well as provide certain payments to the Company. The amendment was not effective as of June 30, 2017 as its effectiveness is contingent upon approval by the European Commission amongst other normal and customary closing conditions Refer to Note 11 – Subsequent Events for additional information.</w:t>
      </w:r>
    </w:p>
    <w:p>
      <w:pPr>
        <w:spacing w:after="0" w:line="2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In-process research and development</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In-process research and development (“IPR&amp;D”) assets represent capitalized incomplete research projects that the Company acquired through business combinations. Such assets are initially measured at their acquisition date fair values. The initial fair value of the research projects are recorded as intangible assets on the balance sheet, rather than expensed, regardless of whether these assets have an alternative future use.</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0" w:name="page11"/>
    <w:bookmarkEnd w:id="10"/>
    <w:p>
      <w:pPr>
        <w:ind w:right="40"/>
        <w:spacing w:after="0" w:line="256" w:lineRule="auto"/>
        <w:rPr>
          <w:sz w:val="20"/>
          <w:szCs w:val="20"/>
          <w:color w:val="auto"/>
        </w:rPr>
      </w:pPr>
      <w:r>
        <w:rPr>
          <w:rFonts w:ascii="Times New Roman" w:cs="Times New Roman" w:eastAsia="Times New Roman" w:hAnsi="Times New Roman"/>
          <w:sz w:val="18"/>
          <w:szCs w:val="18"/>
          <w:color w:val="auto"/>
        </w:rPr>
        <w:t>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 lived intangible asset with the asset’s carrying amount. There was no impairment of IPR&amp;D for the three and six months ended June 30, 2017 or 2016.</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expected forfeiture rate and expected life of the options. The fair value of restricted stock units (“RSUs”) is equal to the closing price of the Company’s common stock on the date of grant.</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 and the fair value of each unvested award is adjusted at the end of each period for any change in fair value from the previous valuation until the award vests.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transactions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Basic loss per share excludes dilution and is computed by dividing net loss by the weighted-average number of shares of common stock outstanding for the period. Diluted loss per share reflects the potential dilution that could occur if securities or other contracts to issue common stock were exercised or converted into common stock or resulted in the issuance of common stock that shared in the earnings of the entity. The Company had a net loss in all periods presented, thus the inclusion of stock options and warrants would be anti-dilutive to net loss per share.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June 30, 2017 and 2016.</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 w:name="page12"/>
    <w:bookmarkEnd w:id="11"/>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tests its goodwill for impairment as of November 30. There was no impairment of goodwill for the six months ended June 30, 2017 and 2016.</w:t>
      </w: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Deferred public offering costs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Deferred public offering costs include certain legal, accounting and other costs directly attributable to the Company’s public offering of common stock. Upon completion of the public offering on July 5, 2017, these amounts will be offset against the proceeds of the offering.</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7"/>
          <w:szCs w:val="17"/>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6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no items of comprehensive loss other than its net loss for each period presented.</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and are adopted by the Company as of the specified effective date.</w:t>
      </w:r>
    </w:p>
    <w:p>
      <w:pPr>
        <w:spacing w:after="0" w:line="16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 xml:space="preserve">In March 2016, the FASB issued Accounting Standards Update (“ASU”) No 2016-09, </w:t>
      </w:r>
      <w:r>
        <w:rPr>
          <w:rFonts w:ascii="Times New Roman" w:cs="Times New Roman" w:eastAsia="Times New Roman" w:hAnsi="Times New Roman"/>
          <w:sz w:val="18"/>
          <w:szCs w:val="18"/>
          <w:i w:val="1"/>
          <w:iCs w:val="1"/>
          <w:color w:val="auto"/>
        </w:rPr>
        <w:t>Compensation – Stock Compensation (Topic 718).</w:t>
      </w:r>
      <w:r>
        <w:rPr>
          <w:rFonts w:ascii="Times New Roman" w:cs="Times New Roman" w:eastAsia="Times New Roman" w:hAnsi="Times New Roman"/>
          <w:sz w:val="18"/>
          <w:szCs w:val="18"/>
          <w:color w:val="auto"/>
        </w:rPr>
        <w:t xml:space="preserve"> The new standard simplifies several aspects of the accounting for employee share-based payment transactions, including the accounting for income taxes, forfeitures, and statutory tax withholding requirements, as well as classification in the statement of cash flows. Under this guidance, a company recognizes all excess tax benefits and tax deficiencies as income tax expense or benefit in the statement of operations. This change eliminates the notion of the additional paid-in capital pool and reduces the complexity in accounting for excess tax benefits and tax deficiencies. The new standard is effective for public companies for annual reporting periods beginning after December 15, 2016, including interim periods within those annual reporting periods; however, early adoption is allowed. The Company adopted the new standard on January 1, 2017. The adoption of this standard did not have a material impact on the Company’s consolidated financial statements.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Accounting Pronouncements Not Yet Adopted</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(“ASU 2014-09”). Subsequently, the FASB also issued ASU 2015-14,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 which adjusted the effective date of ASU 2014-09; ASU No. 2016-08,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Contracts with Customers (Topic 606): Principal versus Agent Considerations (Reporting Revenue Gross versus Net) </w:t>
      </w:r>
      <w:r>
        <w:rPr>
          <w:rFonts w:ascii="Times New Roman" w:cs="Times New Roman" w:eastAsia="Times New Roman" w:hAnsi="Times New Roman"/>
          <w:sz w:val="18"/>
          <w:szCs w:val="18"/>
          <w:color w:val="auto"/>
        </w:rPr>
        <w:t xml:space="preserve">, which amends the principal-versus-agent implementation guidance and illustrations in ASU 2014-09; ASU No. 2016-10,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Identifying Performance Obligations and Licensing </w:t>
      </w:r>
      <w:r>
        <w:rPr>
          <w:rFonts w:ascii="Times New Roman" w:cs="Times New Roman" w:eastAsia="Times New Roman" w:hAnsi="Times New Roman"/>
          <w:sz w:val="18"/>
          <w:szCs w:val="18"/>
          <w:color w:val="auto"/>
        </w:rPr>
        <w:t>, which clarifies identifying performance obligation and licensing implementation guidance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illustrations in ASU 2014-09; and ASU No. 2016-12, </w:t>
      </w:r>
      <w:r>
        <w:rPr>
          <w:rFonts w:ascii="Times New Roman" w:cs="Times New Roman" w:eastAsia="Times New Roman" w:hAnsi="Times New Roman"/>
          <w:sz w:val="18"/>
          <w:szCs w:val="18"/>
          <w:i w:val="1"/>
          <w:iCs w:val="1"/>
          <w:color w:val="auto"/>
        </w:rPr>
        <w:t>Revenue from Contracts with Customers (Topic 606): Narrow-Scope Improvements and Practical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Expedients </w:t>
      </w:r>
      <w:r>
        <w:rPr>
          <w:rFonts w:ascii="Times New Roman" w:cs="Times New Roman" w:eastAsia="Times New Roman" w:hAnsi="Times New Roman"/>
          <w:sz w:val="18"/>
          <w:szCs w:val="18"/>
          <w:color w:val="auto"/>
        </w:rPr>
        <w:t>, which addresses implementation issues and is intended to reduce the cost and complexity of applying the new revenue standard in ASU 2014-09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(collectively, the “Revenue ASUs”).</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49" w:right="299" w:bottom="1440" w:gutter="0" w:footer="0" w:header="0"/>
        </w:sectPr>
      </w:pPr>
    </w:p>
    <w:bookmarkStart w:id="12" w:name="page13"/>
    <w:bookmarkEnd w:id="12"/>
    <w:p>
      <w:pPr>
        <w:ind w:right="20"/>
        <w:spacing w:after="0" w:line="256" w:lineRule="auto"/>
        <w:rPr>
          <w:sz w:val="20"/>
          <w:szCs w:val="20"/>
          <w:color w:val="auto"/>
        </w:rPr>
      </w:pPr>
      <w:r>
        <w:rPr>
          <w:rFonts w:ascii="Times New Roman" w:cs="Times New Roman" w:eastAsia="Times New Roman" w:hAnsi="Times New Roman"/>
          <w:sz w:val="18"/>
          <w:szCs w:val="18"/>
          <w:color w:val="auto"/>
        </w:rPr>
        <w:t>The Revenue ASUs provide an accounting standard for a single comprehensive model for use in accounting for revenue arising from contracts with customers and supersedes most current revenue recognition guidance. The accounting standard is effective for interim and annual periods beginning after December 15, 2017, with an option to early adopt for interim and annual periods beginning after December 15, 2016.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The Company is currently evaluating the impact of the pending adoption of the new standard on the Company’s consolidated financial statements.</w:t>
      </w:r>
    </w:p>
    <w:p>
      <w:pPr>
        <w:spacing w:after="0" w:line="18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In February 2016, the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 new standard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within those fiscal years. A modified retrospective transition approach is required for lessees for capital and operating leases existing at, or entered into after, the beginning of the earliest comparative period presented in the financial statements, with certain practical expedients available. Refer to Note 9, Commitments and Contingencies, for the Company's current lease commitments. The Company is currently evaluating the impact of the pending adoption of the new standard on the Company’s consolidated financial statements.</w:t>
      </w:r>
    </w:p>
    <w:p>
      <w:pPr>
        <w:spacing w:after="0" w:line="183"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 of Cash Flows – Classification of Certain Cash Receipts and Cash Payments (Topic 230).</w:t>
      </w:r>
      <w:r>
        <w:rPr>
          <w:rFonts w:ascii="Times New Roman" w:cs="Times New Roman" w:eastAsia="Times New Roman" w:hAnsi="Times New Roman"/>
          <w:sz w:val="18"/>
          <w:szCs w:val="18"/>
          <w:color w:val="auto"/>
        </w:rPr>
        <w:t xml:space="preserve"> The new standard clarifies the treatment of several cash flow categories. In addition, ASU 2016-15 clarifies that when cash receipts and cash payments have aspects of more than one class of cash flows and cannot be separated, classification will depend on the predominant source or use. This update is effective for annual periods beginning after December 15, 2017,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2017-4, </w:t>
      </w:r>
      <w:r>
        <w:rPr>
          <w:rFonts w:ascii="Times New Roman" w:cs="Times New Roman" w:eastAsia="Times New Roman" w:hAnsi="Times New Roman"/>
          <w:sz w:val="18"/>
          <w:szCs w:val="18"/>
          <w:i w:val="1"/>
          <w:iCs w:val="1"/>
          <w:color w:val="auto"/>
        </w:rPr>
        <w:t>Intangibles — Goodwill and Other (Topic 350).</w:t>
      </w:r>
      <w:r>
        <w:rPr>
          <w:rFonts w:ascii="Times New Roman" w:cs="Times New Roman" w:eastAsia="Times New Roman" w:hAnsi="Times New Roman"/>
          <w:sz w:val="18"/>
          <w:szCs w:val="18"/>
          <w:color w:val="auto"/>
        </w:rPr>
        <w:t xml:space="preserve"> The new standard simplifies the Test for Goodwill Impairment. This update is effective for annual periods beginning after December 15, 2019,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180"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color w:val="auto"/>
        </w:rPr>
        <w:t xml:space="preserve">In March 2017, the FASB issued ASU No 2017-8, </w:t>
      </w:r>
      <w:r>
        <w:rPr>
          <w:rFonts w:ascii="Times New Roman" w:cs="Times New Roman" w:eastAsia="Times New Roman" w:hAnsi="Times New Roman"/>
          <w:sz w:val="18"/>
          <w:szCs w:val="18"/>
          <w:i w:val="1"/>
          <w:iCs w:val="1"/>
          <w:color w:val="auto"/>
        </w:rPr>
        <w:t>Receivables—Nonrefundable Fees and Other Costs (Subtopic 310-20) Premium Amortization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Purchased Callable Debt Securities. </w:t>
      </w:r>
      <w:r>
        <w:rPr>
          <w:rFonts w:ascii="Times New Roman" w:cs="Times New Roman" w:eastAsia="Times New Roman" w:hAnsi="Times New Roman"/>
          <w:sz w:val="18"/>
          <w:szCs w:val="18"/>
          <w:color w:val="auto"/>
        </w:rPr>
        <w:t>The new standard is intended to enhance the accounting for the amortization of premiums for purchased callable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This update is effective for annual periods beginning after December 15, 2018, and interim periods within those fiscal years, with early adoption permitted, including adoption in an interim period. The Company is currently evaluating the impact of the pending adoption of the new standard on the Company’s consolidated financial statements.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5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1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544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 and other accrued expenses</w:t>
            </w: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416,229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574,290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527,048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192,000</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398,574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49,523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Vacation payable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66,318</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44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1,443,439</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815,813</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71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54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4 — NET LOSS PER SHARE OF COMMON STOCK</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Diluted loss per share is the same as basic loss per share for all periods presented as the effects of potentially dilutive issuances were anti-dilutive given the Company’s net loss. Basic loss per share is computed by dividing net loss by the weighted-average number of common shares outstanding. The following table sets forth the computation of basic and diluted loss per share for common stockholders:</w:t>
      </w:r>
    </w:p>
    <w:p>
      <w:pPr>
        <w:spacing w:after="0" w:line="183"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56"/>
        </w:trPr>
        <w:tc>
          <w:tcPr>
            <w:tcW w:w="352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bottom w:val="single" w:sz="8" w:color="CFF0FC"/>
            </w:tcBorders>
          </w:tcPr>
          <w:p>
            <w:pPr>
              <w:spacing w:after="0"/>
              <w:rPr>
                <w:sz w:val="13"/>
                <w:szCs w:val="13"/>
                <w:color w:val="auto"/>
              </w:rPr>
            </w:pPr>
          </w:p>
        </w:tc>
      </w:tr>
      <w:tr>
        <w:trPr>
          <w:trHeight w:val="223"/>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5"/>
              </w:rPr>
              <w:t>(9,780,124)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(5,213,609)</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2"/>
              </w:rPr>
              <w:t>(20,424,720)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(13,218,019)</w:t>
            </w:r>
          </w:p>
        </w:tc>
        <w:tc>
          <w:tcPr>
            <w:tcW w:w="80" w:type="dxa"/>
            <w:vAlign w:val="bottom"/>
            <w:shd w:val="clear" w:color="auto" w:fill="CFF0FC"/>
          </w:tcPr>
          <w:p>
            <w:pPr>
              <w:spacing w:after="0"/>
              <w:rPr>
                <w:sz w:val="19"/>
                <w:szCs w:val="19"/>
                <w:color w:val="auto"/>
              </w:rPr>
            </w:pPr>
          </w:p>
        </w:tc>
      </w:tr>
      <w:tr>
        <w:trPr>
          <w:trHeight w:val="21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3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outstanding</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36,719,541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29,122,411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36,048,300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28,162,561</w:t>
            </w:r>
          </w:p>
        </w:tc>
        <w:tc>
          <w:tcPr>
            <w:tcW w:w="80" w:type="dxa"/>
            <w:vAlign w:val="bottom"/>
          </w:tcPr>
          <w:p>
            <w:pPr>
              <w:spacing w:after="0"/>
              <w:rPr>
                <w:sz w:val="20"/>
                <w:szCs w:val="20"/>
                <w:color w:val="auto"/>
              </w:rPr>
            </w:pPr>
          </w:p>
        </w:tc>
      </w:tr>
      <w:tr>
        <w:trPr>
          <w:trHeight w:val="211"/>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of common</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3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 – basic and diluted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(0.18)</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(0.47)</w:t>
            </w:r>
          </w:p>
        </w:tc>
      </w:tr>
    </w:tbl>
    <w:p>
      <w:pPr>
        <w:spacing w:after="0" w:line="23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securities outstanding at June 30, 2017 and 2016 have been excluded from the calculation of weighted average shares outstanding as their effect on the calculation of loss per share is antidilutive:</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500" w:type="dxa"/>
            <w:vAlign w:val="bottom"/>
          </w:tcPr>
          <w:p>
            <w:pPr>
              <w:spacing w:after="0"/>
              <w:rPr>
                <w:sz w:val="15"/>
                <w:szCs w:val="15"/>
                <w:color w:val="auto"/>
              </w:rPr>
            </w:pPr>
          </w:p>
        </w:tc>
        <w:tc>
          <w:tcPr>
            <w:tcW w:w="158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56"/>
        </w:trPr>
        <w:tc>
          <w:tcPr>
            <w:tcW w:w="550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2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Borders>
              <w:bottom w:val="single" w:sz="8" w:color="CFF0FC"/>
            </w:tcBorders>
          </w:tcPr>
          <w:p>
            <w:pPr>
              <w:spacing w:after="0"/>
              <w:rPr>
                <w:sz w:val="13"/>
                <w:szCs w:val="13"/>
                <w:color w:val="auto"/>
              </w:rPr>
            </w:pP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3,891,596</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3,511,198</w:t>
            </w:r>
          </w:p>
        </w:tc>
        <w:tc>
          <w:tcPr>
            <w:tcW w:w="60" w:type="dxa"/>
            <w:vAlign w:val="bottom"/>
            <w:shd w:val="clear" w:color="auto" w:fill="CFF0FC"/>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194,600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3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2,472,400</w:t>
            </w:r>
          </w:p>
        </w:tc>
        <w:tc>
          <w:tcPr>
            <w:tcW w:w="60" w:type="dxa"/>
            <w:vAlign w:val="bottom"/>
            <w:shd w:val="clear" w:color="auto" w:fill="CFF0FC"/>
          </w:tcPr>
          <w:p>
            <w:pPr>
              <w:spacing w:after="0"/>
              <w:rPr>
                <w:sz w:val="19"/>
                <w:szCs w:val="19"/>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Loan and Security Agreement</w:t>
      </w:r>
    </w:p>
    <w:p>
      <w:pPr>
        <w:spacing w:after="0" w:line="22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January 16, 2015, the Company entered into a Loan and Security Agreement (as amended, the “Loan Agreement”) with Oxford Finance LLC (“Oxford”) and Silicon Valley Bank (“SVB” and, together with Oxford, the “Lenders”), providing for term loans to the Company in an aggregate principal amount of up to $15 million, in two tranches (the “Term Loans”).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drew down the initial Term Loans in the aggregate principal amount of $10 million (the “Term A Loans”), on January 16, 2015. The Term A Loans bear interest at a fixed rate of 7.05% per annum. The Company believes that the Company's debt obligations accrue interest at rates which approximate prevailing market rates for instruments with similar characteristics and, accordingly, the carrying values for these instruments approximate fair value.</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August 2015, the Lenders and the Company entered into a First Amendment to the Loan Agreement, amending certain milestones related to the six month extension of the interest-only repayment period of the Term A Loans. By raising at least $30.0 million in gross capital (including at least $20.0 million from the sale of equity securities) and completing the first dosing of its Phase I/II clinical trial for MIN-117 prior to December 31, 2015, the Company achieved the interest-only milestones under the Loan Agreement and elected to extend the interest-only period an additional six months and reduce the repayment term by six months. Through August 1, 2016, the Company was obligated only to make monthly interest payments on the outstanding principal balance on the Term A Loans, followed by 24 months of equal principal and interest payments.</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or prior to March 31, 2016, the Company was permitted to borrow additional term loans in the aggregate principal amount up to $5 million, subject to the satisfaction of certain borrowing conditions, including the Company’s achievement of primary endpoints on its Phase IIa trials for MIN-117 and MIN-202 programs. In June 2016, the Company irrevocably elected not to borrow the additional $5 million available under the Term Loans.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14" w:name="page15"/>
    <w:bookmarkEnd w:id="14"/>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paid a facility fee of $75,000 for access to the Term Loans and will be required to pay a final payment of 5.1% of the total amount borrowed, which has been included as a component of the debt discount and is amortized to interest expense over the term of the loans. The outstanding Term A Loans and debt discount are as follows:</w:t>
      </w:r>
    </w:p>
    <w:p>
      <w:pPr>
        <w:spacing w:after="0" w:line="251" w:lineRule="exact"/>
        <w:rPr>
          <w:sz w:val="20"/>
          <w:szCs w:val="20"/>
          <w:color w:val="auto"/>
        </w:rPr>
      </w:pPr>
    </w:p>
    <w:tbl>
      <w:tblPr>
        <w:tblLayout w:type="fixed"/>
        <w:tblInd w:w="2300" w:type="dxa"/>
        <w:tblCellMar>
          <w:top w:w="0" w:type="dxa"/>
          <w:left w:w="0" w:type="dxa"/>
          <w:bottom w:w="0" w:type="dxa"/>
          <w:right w:w="0" w:type="dxa"/>
        </w:tblCellMar>
      </w:tblPr>
      <w:tr>
        <w:trPr>
          <w:trHeight w:val="173"/>
        </w:trPr>
        <w:tc>
          <w:tcPr>
            <w:tcW w:w="5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June 30, 2017</w:t>
            </w:r>
          </w:p>
        </w:tc>
      </w:tr>
      <w:tr>
        <w:trPr>
          <w:trHeight w:val="223"/>
        </w:trPr>
        <w:tc>
          <w:tcPr>
            <w:tcW w:w="55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A Loans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6,003,451</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Less: debt discount and financing costs</w:t>
            </w:r>
          </w:p>
        </w:tc>
        <w:tc>
          <w:tcPr>
            <w:tcW w:w="1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(49,454)</w:t>
            </w:r>
          </w:p>
        </w:tc>
      </w:tr>
      <w:tr>
        <w:trPr>
          <w:trHeight w:val="230"/>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1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(5,066,500)</w:t>
            </w:r>
          </w:p>
        </w:tc>
      </w:tr>
      <w:tr>
        <w:trPr>
          <w:trHeight w:val="230"/>
        </w:trPr>
        <w:tc>
          <w:tcPr>
            <w:tcW w:w="55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portion of final payment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438,982</w:t>
            </w:r>
          </w:p>
        </w:tc>
        <w:tc>
          <w:tcPr>
            <w:tcW w:w="80" w:type="dxa"/>
            <w:vAlign w:val="bottom"/>
            <w:tcBorders>
              <w:bottom w:val="single" w:sz="8" w:color="CFF0FC"/>
            </w:tcBorders>
          </w:tcPr>
          <w:p>
            <w:pPr>
              <w:spacing w:after="0"/>
              <w:rPr>
                <w:sz w:val="19"/>
                <w:szCs w:val="19"/>
                <w:color w:val="auto"/>
              </w:rPr>
            </w:pPr>
          </w:p>
        </w:tc>
      </w:tr>
      <w:tr>
        <w:trPr>
          <w:trHeight w:val="223"/>
        </w:trPr>
        <w:tc>
          <w:tcPr>
            <w:tcW w:w="5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portion</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1,326,479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2017 and 2016, the Company recognized interest expense of $0.2 million and $0.3 million respectively, including $0.1 million in both periods, related to the debt discount. For the six months ended June 30, 2017 and 2016, the Company recognized interest expense of $0.4 million and $0.5 million respectively, including $0.1 million and $0.2 million, respectively, related to the debt discount.</w:t>
      </w:r>
    </w:p>
    <w:p>
      <w:pPr>
        <w:spacing w:after="0" w:line="17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Term Loans mature on August 1, 2018. The Company may prepay all, but not less than all, of the loaned amount upon 30 days’ advance notice to the Lenders, provided that the Company will be obligated to pay a prepayment fee equal to (i) 3% of the outstanding balance, if the loan is prepaid within</w:t>
      </w:r>
    </w:p>
    <w:p>
      <w:pPr>
        <w:ind w:right="400"/>
        <w:spacing w:after="0" w:line="255" w:lineRule="auto"/>
        <w:rPr>
          <w:sz w:val="20"/>
          <w:szCs w:val="20"/>
          <w:color w:val="auto"/>
        </w:rPr>
      </w:pPr>
      <w:r>
        <w:rPr>
          <w:rFonts w:ascii="Times New Roman" w:cs="Times New Roman" w:eastAsia="Times New Roman" w:hAnsi="Times New Roman"/>
          <w:sz w:val="18"/>
          <w:szCs w:val="18"/>
          <w:color w:val="auto"/>
        </w:rPr>
        <w:t>24 months of the funding date, (ii) 2% of the outstanding balance, if the loan is prepaid between 24 and 36 months of the funding date and (iii) 1% of the outstanding balance, if the loan is prepaid thereafter (each, a “Prepayment Fee”). The expected remaining repayment of the $10.0 million Term A loan principal is as follows:</w:t>
      </w:r>
    </w:p>
    <w:p>
      <w:pPr>
        <w:spacing w:after="0" w:line="205"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w:t>
            </w:r>
          </w:p>
        </w:tc>
        <w:tc>
          <w:tcPr>
            <w:tcW w:w="2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2,512,747</w:t>
            </w:r>
          </w:p>
        </w:tc>
        <w:tc>
          <w:tcPr>
            <w:tcW w:w="60" w:type="dxa"/>
            <w:vAlign w:val="bottom"/>
            <w:shd w:val="clear" w:color="auto" w:fill="CFF0FC"/>
          </w:tcPr>
          <w:p>
            <w:pPr>
              <w:spacing w:after="0"/>
              <w:rPr>
                <w:sz w:val="19"/>
                <w:szCs w:val="19"/>
                <w:color w:val="auto"/>
              </w:rPr>
            </w:pPr>
          </w:p>
        </w:tc>
      </w:tr>
      <w:tr>
        <w:trPr>
          <w:trHeight w:val="230"/>
        </w:trPr>
        <w:tc>
          <w:tcPr>
            <w:tcW w:w="5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2018</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3,490,704</w:t>
            </w:r>
          </w:p>
        </w:tc>
        <w:tc>
          <w:tcPr>
            <w:tcW w:w="60" w:type="dxa"/>
            <w:vAlign w:val="bottom"/>
            <w:tcBorders>
              <w:bottom w:val="single" w:sz="8" w:color="CFF0FC"/>
            </w:tcBorders>
          </w:tcPr>
          <w:p>
            <w:pPr>
              <w:spacing w:after="0"/>
              <w:rPr>
                <w:sz w:val="19"/>
                <w:szCs w:val="19"/>
                <w:color w:val="auto"/>
              </w:rPr>
            </w:pPr>
          </w:p>
        </w:tc>
      </w:tr>
      <w:tr>
        <w:trPr>
          <w:trHeight w:val="223"/>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Term A Loans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6,003,451</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Loan Agreement are secured by a first priority security interest in substantially all of its assets, other than its intellectual property. The Company has also agreed not to pledge or otherwise encumber its intellectual property assets, except that it may grant certain exclusive and non-exclusive licenses of its intellectual property as set forth in the Loan Agreement. In addition, the Company pledged all of its equity interests in Minerva Neurosciences Securities Corporation and 65% of its equity interests in Mind-NRG, Sarl as security for its obligations under the Loan Agreement.</w:t>
      </w:r>
    </w:p>
    <w:p>
      <w:pPr>
        <w:spacing w:after="0" w:line="18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Upon the occurrence of certain events, including but not limited to the Company’s failure to satisfy its payment obligations under the Loan Agreement, the breach of certain of its other covenants under the Loan Agreement, or the occurrence of a material adverse change, the Lenders will have the right, among other remedies, to declare all principal and interest immediately due and payable, to take control of the Company’s cash in its SVB deposit account, and will have the right to receive the final payment fee and, if the payment of principal and interest is due prior to maturity, the applicable Prepayment Fee. As of June 30, 2017, the Company was in compliance with all covenants set forth in the Loan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CO-DEVELOPMENT AND LICENSE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February 13, 2014, the Company signed a co-development and license agreement with Janssen, subject to the completion of an initial public offering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payment of a $22.0 million license fee. Under the agreement, Janssen, the licensor, granted the Company an exclusive license, with the right to sublicense,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Minerva Territory, under (i) certain patent and patent applications to sell products containing any orexin 2 compound, controlled by the licensor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claimed in a licensor patent right as an active ingredient and (ii) MIN-202 for any use in humans. In addition, upon regulatory approval in the Minerva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Territory (and earlier if certain default events occur), the Company will have rights to manufacture MIN-202, also known as JNJ-42847922.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granted to the licensor an exclusive license, with the right to sublicense, under all patent rights and know-how controlled by the Company related to MIN-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 to sell MIN-202 outside the Minerva Territory. In consideration of the licenses granted on July 7, 2014, the Company made a license fee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$22.0 million, which was included as a component of research and development expense in 2014. The Company will pay a quarterly royalty percentage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licensor in the high single digits on aggregate net sales for MIN-202 products sold by the Company, its affiliates and sublicensees in the Minerva Territory.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licensor will pay a quarterly royalty percentage to the Company in the high single digits on aggregate net sales for MIN-202 products sold by the licensor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outside the Minerva Territory. In accordance with the development agreement, the Company will pay 40% of MIN-202 development costs related to the joint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of any MIN-202 products. However, the Company’s share of aggregate development costs shall not exceed (i) $5.0 million for the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from the effective date of the license and ending following the completion of certain Phase Ib clinical trials and animal toxicology studies,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 $24.0 million for the period beginning from the effective date of the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5" w:name="page16"/>
    <w:bookmarkEnd w:id="15"/>
    <w:p>
      <w:pPr>
        <w:spacing w:after="0" w:line="254" w:lineRule="auto"/>
        <w:rPr>
          <w:sz w:val="20"/>
          <w:szCs w:val="20"/>
          <w:color w:val="auto"/>
        </w:rPr>
      </w:pPr>
      <w:r>
        <w:rPr>
          <w:rFonts w:ascii="Times New Roman" w:cs="Times New Roman" w:eastAsia="Times New Roman" w:hAnsi="Times New Roman"/>
          <w:sz w:val="18"/>
          <w:szCs w:val="18"/>
          <w:color w:val="auto"/>
        </w:rPr>
        <w:t>license and ending following the completion of certain Phase II clinical trials. The licensor has a right to opt out at the end of certain development milestones, with the first milestone being the completion of a single day Phase I clinical trial in patients with MDD. Upon opt out, the licensor will not have to fund further development of MIN-202 and the Minerva Territory will be expanded to also include all of North America. The Company would then owe the licensor a reduced royalty in the mid-single digits for all sales in the Minerva Territory. The Company has the right to terminate the license following certain development milestones, the first being completion of a certain Phase Ib clinical trial in patients with insomnia and certain toxicology studies in animals. If the Company terminates the license within 45 days of this milestone, the Company must pay a termination fee equal to $3.0 million. If the Company terminates the license at any time following the last development milestone involving a certain Phase IIb clinical trial, the Company will be entitled to a royalty in the mid-single digits from sales of MIN-202 by the licensor. The licensor may also terminate the agreement for the Company’s material breach or certain insolvency events, including if the Company is unable to fund its portion of the development costs.</w:t>
      </w:r>
    </w:p>
    <w:p>
      <w:pPr>
        <w:spacing w:after="0" w:line="187"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the co-development and license agreement as a joint risk-sharing collaboration in accordance with ASC 808, </w:t>
      </w: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 Payments between the Company and the licensor with respect to each party’s share of MIN-202 development costs that have been incurred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the joint development plan are recorded within research and development expenses or general and administrative expenses, as applicable, in the accompanying consolidated statements of operations due to the joint risk-sharing nature of the activities. The Company has included $6.6 million and $2.5 million in accrued collaborative expenses, as of June 30, 2017 and December 31, 2016, respectively, related to this agreement. In the six months ended June 30, 2017 and 2016, the Company paid $2.5 million and zero, respectively, related to development activities under this agreement.</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July 6, 2016, the Company and Janssen agreed that “Decision Point 2” had been reached as defined under the co-development agreement. As neither party has exercised their right to withdraw from the agreement, the Company has paid Janssen $3.5 million and have incurred direct expenses of $0.3 million related to development activities under the current phase of development. During the three months ended June 30, 2017 and 2016, the Company recorded an expense of $3.6 million and a cost offset of $0.1 million, respectively, for certain development activities in accordance with the terms of the co-development agreement. During the six months ended June 30, 2017 and 2016, the Company recorded an expense of $6.6 million and a cost offset of $0.2 million, respectively, for certain development activities in accordance with the terms of the co-development agreement.</w:t>
      </w:r>
    </w:p>
    <w:p>
      <w:pPr>
        <w:spacing w:after="0" w:line="18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 number of supportive activities and studies are underway in anticipation of the next phase of clinical trials with MIN-202 in both insomnia disorder and MDD. Refer to Note 11 – Subsequent Events for additional information regarding a pending amendment to the co-development and license agreement with Janssen.</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EQUITY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Warrant Exercises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January, February, June and December 2016 and in March 2017, certain investors in the Company’s March 2015 private placement exercised their warrants at an exercise price of $5.772 per share and received an aggregate of 5,673,758 shares of the Company’s common stock. The Company received gross proceeds of approximately $32.7 million from the exercise of these warrants. As of June 30, 2017, there are no remaining warrants outstanding under the Company’s March 2015 private placement.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of Common Stock</w:t>
      </w:r>
    </w:p>
    <w:p>
      <w:pPr>
        <w:spacing w:after="0" w:line="229"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On June 17, 2016, the Company closed a public offering of common stock, in which the Company issued and sold 6,052,631 shares of common stock at a public offering price of $9.50, for aggregate gross proceeds to the Company of $57.5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The Company incurred $3.8 million in underwriting discounts and commissions and transaction costs, which have been included as a component of additional paid-in capital, resulting in net proceeds of $53.7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Note 11 – Subsequent Events for additional information regarding the public offering of common stock by the Company that closed on July 5, 2017.</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of Common Stock</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On March 17, 2016, the Company entered into a common stock purchase agreement with a member of the Board of Directors, pursuant to which the Company, in a private placement, sold to the director an aggregate of 181,488 shares of the Company’s common stock, at a price per share of $5.51, for gross proceeds of approximately $1.0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Term Loan Warrants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connection with the Loan Agreement, the Company issued the Lenders warrants to purchase shares of its common stock upon its draw of each tranche of the Term Loans. The aggregate number of shares of common stock issuable upon exercise of the warrants is equal to 2.25% of the amount drawn of such tranche, divided by the average closing price per share of the Company’s common stock reported on the NASDAQ Global Market for the 10 consecutive trading days prior to the applicable draw. Upon the draw of the Term A Loans, the Company issued the Lenders warrants to purchase 40,790 shares of common stock at a per share exercise price of $5.516. The warrants are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 1.83%, (iii) an expected life of 10 years and (iv) no dividend payments. The fair value of the warrants was included as a discount to the Term A Loans and also as a component of additional paid-in capital and will be amortized to interest expense over the term of the loan. All such warrants were outstanding as of June 30, 2017.</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 OPTION PLAN AND STOCK-BASED COMPENSATION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December 2013, the Company adopted the 2013 Equity Incentive Plan (the “Plan”), which provides for the issuance of options, stock appreciation rights, stock awards and stock units. On January 1, 2017, in accordance with the terms of the Plan</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the total shares authorized for issuance under the plan increased by 750,000 to 5,781,333. This increase represents the lessor of 750,000 shares or 4% of the total shares outstanding calculated as of the end of the most recent fiscal year. The exercise price per share shall not be less than the fair value of the Company’s underlying common stock on the grant date and no option may have a term in excess of ten years. Stock option activity under the Plan is as follows:</w:t>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60" w:type="dxa"/>
            <w:vAlign w:val="bottom"/>
          </w:tcPr>
          <w:p>
            <w:pPr>
              <w:spacing w:after="0"/>
              <w:rPr>
                <w:sz w:val="13"/>
                <w:szCs w:val="13"/>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 Issuable</w:t>
            </w:r>
          </w:p>
        </w:tc>
        <w:tc>
          <w:tcPr>
            <w:tcW w:w="12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2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3,974,143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222,500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(113,928)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(191,119)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June 30, 2017</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3,891,596</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June 30, 2017</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2,186,774</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Available for future grant</w:t>
            </w: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vMerge w:val="continue"/>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1,565,154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outstanding on June 30, 2017 was $5.26 per share. Total unrecognized compensation costs related to non-vested stock options at June 30, 2017 was approximately $8.7 million and is expected to be recognized within future operating results over a weighted-average period of 2.7 years. At June 30, 2017, the weighted average contractual term of the options outstanding is approximately 7.9 years. The intrinsic value of outstanding stock options at June 30, 2017 was $10.3 million.</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uses the Black Scholes model to estimate the fair value of stock options granted. For stock options granted during the six months ended June 30, 2017 and 2016, the Company utilized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114300</wp:posOffset>
            </wp:positionV>
            <wp:extent cx="17665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66570" cy="8890"/>
                    </a:xfrm>
                    <a:prstGeom prst="rect">
                      <a:avLst/>
                    </a:prstGeom>
                    <a:noFill/>
                  </pic:spPr>
                </pic:pic>
              </a:graphicData>
            </a:graphic>
          </wp:anchor>
        </w:drawing>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960" w:type="dxa"/>
            <w:vAlign w:val="bottom"/>
            <w:tcBorders>
              <w:bottom w:val="single" w:sz="8" w:color="CFF0FC"/>
            </w:tcBorders>
          </w:tcPr>
          <w:p>
            <w:pPr>
              <w:spacing w:after="0"/>
              <w:rPr>
                <w:sz w:val="15"/>
                <w:szCs w:val="15"/>
                <w:color w:val="auto"/>
              </w:rPr>
            </w:pPr>
          </w:p>
        </w:tc>
        <w:tc>
          <w:tcPr>
            <w:tcW w:w="12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80" w:type="dxa"/>
            <w:vAlign w:val="bottom"/>
            <w:tcBorders>
              <w:bottom w:val="single" w:sz="8" w:color="CFF0FC"/>
            </w:tcBorders>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right="173"/>
              <w:spacing w:after="0"/>
              <w:rPr>
                <w:sz w:val="20"/>
                <w:szCs w:val="20"/>
                <w:color w:val="auto"/>
              </w:rPr>
            </w:pPr>
            <w:r>
              <w:rPr>
                <w:rFonts w:ascii="Times New Roman" w:cs="Times New Roman" w:eastAsia="Times New Roman" w:hAnsi="Times New Roman"/>
                <w:sz w:val="18"/>
                <w:szCs w:val="18"/>
                <w:color w:val="auto"/>
                <w:w w:val="99"/>
              </w:rPr>
              <w:t>5.5-6.25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3"/>
              <w:spacing w:after="0"/>
              <w:rPr>
                <w:sz w:val="20"/>
                <w:szCs w:val="20"/>
                <w:color w:val="auto"/>
              </w:rPr>
            </w:pPr>
            <w:r>
              <w:rPr>
                <w:rFonts w:ascii="Times New Roman" w:cs="Times New Roman" w:eastAsia="Times New Roman" w:hAnsi="Times New Roman"/>
                <w:sz w:val="18"/>
                <w:szCs w:val="18"/>
                <w:color w:val="auto"/>
                <w:w w:val="99"/>
              </w:rPr>
              <w:t>5.5-6.25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9"/>
              </w:rPr>
              <w:t>1.83-2.02%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93"/>
              <w:spacing w:after="0"/>
              <w:rPr>
                <w:sz w:val="20"/>
                <w:szCs w:val="20"/>
                <w:color w:val="auto"/>
              </w:rPr>
            </w:pPr>
            <w:r>
              <w:rPr>
                <w:rFonts w:ascii="Times New Roman" w:cs="Times New Roman" w:eastAsia="Times New Roman" w:hAnsi="Times New Roman"/>
                <w:sz w:val="18"/>
                <w:szCs w:val="18"/>
                <w:color w:val="auto"/>
                <w:w w:val="99"/>
              </w:rPr>
              <w:t>1.17-1.52%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shd w:val="clear" w:color="auto" w:fill="CFF0FC"/>
          </w:tcPr>
          <w:p>
            <w:pPr>
              <w:jc w:val="center"/>
              <w:ind w:right="173"/>
              <w:spacing w:after="0"/>
              <w:rPr>
                <w:sz w:val="20"/>
                <w:szCs w:val="20"/>
                <w:color w:val="auto"/>
              </w:rPr>
            </w:pPr>
            <w:r>
              <w:rPr>
                <w:rFonts w:ascii="Times New Roman" w:cs="Times New Roman" w:eastAsia="Times New Roman" w:hAnsi="Times New Roman"/>
                <w:sz w:val="18"/>
                <w:szCs w:val="18"/>
                <w:color w:val="auto"/>
                <w:w w:val="98"/>
              </w:rPr>
              <w:t>79-84%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93"/>
              <w:spacing w:after="0"/>
              <w:rPr>
                <w:sz w:val="20"/>
                <w:szCs w:val="20"/>
                <w:color w:val="auto"/>
              </w:rPr>
            </w:pPr>
            <w:r>
              <w:rPr>
                <w:rFonts w:ascii="Times New Roman" w:cs="Times New Roman" w:eastAsia="Times New Roman" w:hAnsi="Times New Roman"/>
                <w:sz w:val="18"/>
                <w:szCs w:val="18"/>
                <w:color w:val="auto"/>
                <w:w w:val="98"/>
              </w:rPr>
              <w:t>78-79%</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ind w:right="473"/>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grant date fair value per share of</w:t>
            </w: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49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453"/>
              <w:spacing w:after="0"/>
              <w:rPr>
                <w:sz w:val="20"/>
                <w:szCs w:val="20"/>
                <w:color w:val="auto"/>
              </w:rPr>
            </w:pPr>
            <w:r>
              <w:rPr>
                <w:rFonts w:ascii="Times New Roman" w:cs="Times New Roman" w:eastAsia="Times New Roman" w:hAnsi="Times New Roman"/>
                <w:sz w:val="18"/>
                <w:szCs w:val="18"/>
                <w:color w:val="auto"/>
              </w:rPr>
              <w:t>6.53</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3"/>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shd w:val="clear" w:color="auto" w:fill="CFF0FC"/>
          </w:tcPr>
          <w:p>
            <w:pPr>
              <w:spacing w:after="0"/>
              <w:rPr>
                <w:sz w:val="20"/>
                <w:szCs w:val="20"/>
                <w:color w:val="auto"/>
              </w:rPr>
            </w:pPr>
          </w:p>
        </w:tc>
      </w:tr>
    </w:tbl>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Stock-Based Awards Granted to Non-employees-</w:t>
      </w:r>
      <w:r>
        <w:rPr>
          <w:rFonts w:ascii="Times New Roman" w:cs="Times New Roman" w:eastAsia="Times New Roman" w:hAnsi="Times New Roman"/>
          <w:sz w:val="18"/>
          <w:szCs w:val="18"/>
          <w:color w:val="333333"/>
        </w:rPr>
        <w:t>The Company from time to time grants options to purchase common stock to non-employees for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rendered and records expense ratably over the vesting period of each award. The Company estimates the fair value of the stock options using the Black-Scholes valuation model at each reporting date. The Company granted 155,000 stock options to non-employees during the six months ended June 30, 2017. The Company recorded stock-based compensation expense for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7" w:name="page18"/>
    <w:bookmarkEnd w:id="17"/>
    <w:p>
      <w:pPr>
        <w:ind w:right="660"/>
        <w:spacing w:after="0" w:line="282" w:lineRule="auto"/>
        <w:rPr>
          <w:sz w:val="20"/>
          <w:szCs w:val="20"/>
          <w:color w:val="auto"/>
        </w:rPr>
      </w:pPr>
      <w:r>
        <w:rPr>
          <w:rFonts w:ascii="Times New Roman" w:cs="Times New Roman" w:eastAsia="Times New Roman" w:hAnsi="Times New Roman"/>
          <w:sz w:val="18"/>
          <w:szCs w:val="18"/>
          <w:color w:val="333333"/>
        </w:rPr>
        <w:t>stock options granted to non-employees of $0.2 million during the six months ended June 30, 2017. There were no stock option grants made to non-employees made during the six months ended June 30, 2016.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stock options granted to non-employees, the Company utilized the following assumptions:</w:t>
      </w:r>
    </w:p>
    <w:p>
      <w:pPr>
        <w:spacing w:after="0" w:line="300" w:lineRule="exact"/>
        <w:rPr>
          <w:sz w:val="20"/>
          <w:szCs w:val="20"/>
          <w:color w:val="auto"/>
        </w:rPr>
      </w:pPr>
    </w:p>
    <w:tbl>
      <w:tblPr>
        <w:tblLayout w:type="fixed"/>
        <w:tblInd w:w="2300" w:type="dxa"/>
        <w:tblCellMar>
          <w:top w:w="0" w:type="dxa"/>
          <w:left w:w="0" w:type="dxa"/>
          <w:bottom w:w="0" w:type="dxa"/>
          <w:right w:w="0" w:type="dxa"/>
        </w:tblCellMar>
      </w:tblPr>
      <w:tr>
        <w:trPr>
          <w:trHeight w:val="173"/>
        </w:trPr>
        <w:tc>
          <w:tcPr>
            <w:tcW w:w="558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2017</w:t>
            </w:r>
          </w:p>
        </w:tc>
      </w:tr>
      <w:tr>
        <w:trPr>
          <w:trHeight w:val="223"/>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133"/>
              <w:spacing w:after="0"/>
              <w:rPr>
                <w:sz w:val="20"/>
                <w:szCs w:val="20"/>
                <w:color w:val="auto"/>
              </w:rPr>
            </w:pPr>
            <w:r>
              <w:rPr>
                <w:rFonts w:ascii="Times New Roman" w:cs="Times New Roman" w:eastAsia="Times New Roman" w:hAnsi="Times New Roman"/>
                <w:sz w:val="18"/>
                <w:szCs w:val="18"/>
                <w:color w:val="auto"/>
                <w:w w:val="97"/>
              </w:rPr>
              <w:t>9.2-9.8</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Risk free interest rate</w:t>
            </w:r>
          </w:p>
        </w:tc>
        <w:tc>
          <w:tcPr>
            <w:tcW w:w="140" w:type="dxa"/>
            <w:vAlign w:val="bottom"/>
          </w:tcPr>
          <w:p>
            <w:pPr>
              <w:spacing w:after="0"/>
              <w:rPr>
                <w:sz w:val="19"/>
                <w:szCs w:val="19"/>
                <w:color w:val="auto"/>
              </w:rPr>
            </w:pPr>
          </w:p>
        </w:tc>
        <w:tc>
          <w:tcPr>
            <w:tcW w:w="112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9"/>
              </w:rPr>
              <w:t>2.26-2.30%</w:t>
            </w:r>
          </w:p>
        </w:tc>
      </w:tr>
      <w:tr>
        <w:trPr>
          <w:trHeight w:val="230"/>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Volatility</w:t>
            </w:r>
          </w:p>
        </w:tc>
        <w:tc>
          <w:tcPr>
            <w:tcW w:w="140" w:type="dxa"/>
            <w:vAlign w:val="bottom"/>
            <w:shd w:val="clear" w:color="auto" w:fill="CFF0FC"/>
          </w:tcPr>
          <w:p>
            <w:pPr>
              <w:spacing w:after="0"/>
              <w:rPr>
                <w:sz w:val="19"/>
                <w:szCs w:val="19"/>
                <w:color w:val="auto"/>
              </w:rPr>
            </w:pPr>
          </w:p>
        </w:tc>
        <w:tc>
          <w:tcPr>
            <w:tcW w:w="1120" w:type="dxa"/>
            <w:vAlign w:val="bottom"/>
            <w:shd w:val="clear" w:color="auto" w:fill="CFF0FC"/>
          </w:tcPr>
          <w:p>
            <w:pPr>
              <w:jc w:val="center"/>
              <w:ind w:right="133"/>
              <w:spacing w:after="0"/>
              <w:rPr>
                <w:sz w:val="20"/>
                <w:szCs w:val="20"/>
                <w:color w:val="auto"/>
              </w:rPr>
            </w:pPr>
            <w:r>
              <w:rPr>
                <w:rFonts w:ascii="Times New Roman" w:cs="Times New Roman" w:eastAsia="Times New Roman" w:hAnsi="Times New Roman"/>
                <w:sz w:val="18"/>
                <w:szCs w:val="18"/>
                <w:color w:val="auto"/>
                <w:w w:val="98"/>
              </w:rPr>
              <w:t>111-113%</w:t>
            </w:r>
          </w:p>
        </w:tc>
      </w:tr>
      <w:tr>
        <w:trPr>
          <w:trHeight w:val="230"/>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40" w:type="dxa"/>
            <w:vAlign w:val="bottom"/>
          </w:tcPr>
          <w:p>
            <w:pPr>
              <w:spacing w:after="0"/>
              <w:rPr>
                <w:sz w:val="19"/>
                <w:szCs w:val="19"/>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8"/>
                <w:szCs w:val="18"/>
                <w:color w:val="auto"/>
              </w:rPr>
              <w:t>0%</w:t>
            </w:r>
          </w:p>
        </w:tc>
      </w:tr>
      <w:tr>
        <w:trPr>
          <w:trHeight w:val="211"/>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reporting date fair value per share of</w:t>
            </w: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34"/>
        </w:trPr>
        <w:tc>
          <w:tcPr>
            <w:tcW w:w="55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73"/>
              <w:spacing w:after="0"/>
              <w:rPr>
                <w:sz w:val="20"/>
                <w:szCs w:val="20"/>
                <w:color w:val="auto"/>
              </w:rPr>
            </w:pPr>
            <w:r>
              <w:rPr>
                <w:rFonts w:ascii="Times New Roman" w:cs="Times New Roman" w:eastAsia="Times New Roman" w:hAnsi="Times New Roman"/>
                <w:sz w:val="18"/>
                <w:szCs w:val="18"/>
                <w:color w:val="auto"/>
              </w:rPr>
              <w:t>8.05</w:t>
            </w:r>
          </w:p>
        </w:tc>
      </w:tr>
    </w:tbl>
    <w:p>
      <w:pPr>
        <w:spacing w:after="0" w:line="23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expected term of the employee-related options was estimated using the “simplified” method as defined by the Securities and Exchange Commission’s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whose term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activity under the Plan for the six months ended June 30, 2017 is as follows:</w:t>
      </w:r>
    </w:p>
    <w:p>
      <w:pPr>
        <w:spacing w:after="0" w:line="22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62"/>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5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3"/>
        </w:trPr>
        <w:tc>
          <w:tcPr>
            <w:tcW w:w="5480" w:type="dxa"/>
            <w:vAlign w:val="bottom"/>
          </w:tcPr>
          <w:p>
            <w:pPr>
              <w:spacing w:after="0"/>
              <w:rPr>
                <w:sz w:val="15"/>
                <w:szCs w:val="15"/>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54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January 1, 2017</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219,600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30"/>
        </w:trPr>
        <w:tc>
          <w:tcPr>
            <w:tcW w:w="5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r>
      <w:tr>
        <w:trPr>
          <w:trHeight w:val="23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tcPr>
          <w:p>
            <w:pPr>
              <w:spacing w:after="0"/>
              <w:rPr>
                <w:sz w:val="19"/>
                <w:szCs w:val="19"/>
                <w:color w:val="auto"/>
              </w:rPr>
            </w:pPr>
          </w:p>
        </w:tc>
      </w:tr>
      <w:tr>
        <w:trPr>
          <w:trHeight w:val="223"/>
        </w:trPr>
        <w:tc>
          <w:tcPr>
            <w:tcW w:w="548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June 30, 2017</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194,600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RSUs awarded to employees generally vest one-fourth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Total unrecognized compensation costs related to non-vested RSUs at June 30, 2017 was approximately $2.2 million and is expected to be recognized within future operating results over a period of 3.5 years.</w:t>
      </w:r>
    </w:p>
    <w:p>
      <w:pPr>
        <w:spacing w:after="0" w:line="184"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expense for the six months ended June 30, 2017 and 2016 of $2.5 million and $1.6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COMMITMENTS AND CONTINGENCIES</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September 2014, the Company entered into a lease agreement for 4,043 square feet of office space in Waltham, MA. The term of the lease was approximately two years, and the Company was required to make monthly rental payments commencing December 2014. Estimated annual rent payable under this operating lease was approximately $0.1 million per year in each of the two years.</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April 2016, the Company entered into an agreement to extend the term of the lease through March 31, 2018. Estimated annual rent payable under this agreement is approximately $0.1 million per year.</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the Company’s business activities. The Company is not aware of any claim or litigation, the outcome of which, if determined adversely to the Company, would have a material effect on the Company’s financial position or results of operations.</w:t>
      </w: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NOTE 10 — RELATED PARTY TRANSACTIONS</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January 2016, the Company entered into a services agreement with V-Watch SA (“V-Watch”), for approximately $105,000 for the use of V-Watch’s SomnoArt device for monitoring sleep in the MIN-101 Phase IIb and MIN-117 Phase IIa trials. The Company’s Chief Executive Officer is the chairman of the board of directors of V-Watch. Funds affiliated with Index Ventures, a stockholder of the Company, hold greater than 10% of the outstanding capital stock of V-Watch. During the six months ended June 30, 2017 and 2016, the Company recorded an expense of zero and $0.1 million, respectively, related to this agreement.</w:t>
      </w:r>
    </w:p>
    <w:p>
      <w:pPr>
        <w:spacing w:after="0" w:line="1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Also refer to Note 6 – Co-Development and License agreement, Note 7 – Stockholder’s Equity and Note 11 – Subsequent Events for additional related party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to Co-Development and License Agreement with Janssen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June 2017, the Company entered into an Amendment to its Co-Development and License Agreement with Janssen (the “Amendment”), pursuant to which Janssen agreed to forgo its right to royalties on MIN-202 insomnia sales in the Minerva Territory. The Company retained all of its rights to MIN-202 including commercialization of the molecule for the treatment of insomnia and as an as adjunctive therapy for MDD, which include an exclusive license in the European Union, Switzerland, Liechtenstein, Iceland and Norway, with royalties payable by the Company to Janssen. Royalties on sales outside of the Minerva Territory are payable by Janssen to the Company. Janssen also agreed to make an upfront payment to the Company of $30 million upon the effectiveness of the Amendment; a $20 million payment at the start of a Phase III insomnia trial for MIN-202; a $20 million payment when 50% of the patients are enrolled in this trial; and further agreed to waive the remaining payments, including accrued and unpaid balances as of June 30, 2017, due from the Company until completion of the Phase II development of MIN-202, which are estimated to total approximately $13 million inclusive of the $6.6 million in accrued collaborative expenses as of June 30, 2017. Upon the effectiveness of the Amendment, the Company will assume strategic control for clinical development of MIN-202 in insomnia and all financial responsibility for Phase III development costs for MIN-202 in insomnia. In connection with the Amendment, the Company also entered into a stock repurchase agreement with Johnson &amp; Johnson Innovation-JJDC Inc. to repurchase all of the approximately 3.9 million shares of the Company’s stock held by Johnson &amp; Johnson Innovation-JJDC Inc. at a per share price of $0.0001, for an aggregate purchase price of approximately $389. The effectiveness of the Amendment is contingent upon the closing of the stock repurchase agreement, and the closing of the stock repurchase agreement is contingent upon certain normal and customary closing conditions which include receiving either approval from the European Commission of the Amendment and the stock repurchase agreement or notification that the European Commission does not object to the Amendment and the stock repurchase agreement. The Company is currently evaluating the accounting treatment for the Amendment including aspects of revenue recognition treatment associated with the future payments that the Company expects to receive pursuant to the terms of the Agreement as well as for the waiver of remaining Phase II development costs pursuant to the Amendment. The Amendment automatically terminates if it is not effectuated prior to August 31, 2017 or if the stock repurchase agreement is terminated prior to the effectiveness of the Amendment. The stock repurchase agreement also automatically terminates if it is not effectuated prior to August 31, 2017. In the event that the Amendment is terminated, the Co-Development and License Agreement with Janssen will remain in full force and effect.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of Common Stock</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July 5, 2017, the Company closed a public offering of its common stock, in which the Company issued and sold 5,750,000 shares of its common stock, including 750,000 shares sold pursuant to the underwriters’ full exercise of their option to purchase additional shares, at a public offering price of $7.75, for aggregate gross proceeds to the Company of $44.6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The Company incurred $3.1 million in underwriting discounts and commissions and transaction costs, which will be included as a component of additional paid-in capital, resulting in net proceeds of approximately $41.5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2016 as filed with the Securities and Exchange Commission on March 13, 2017.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Overview</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a portfolio of product candidates to treat patients suffering from central nervous system, or CNS, diseases. Leveraging our scientific insights and clinical experience, we have acquired or in-licensed four development-stage proprietary compounds that we believe have innovative mechanisms of action and therapeutic profiles that potentially address the unmet needs of patients with these diseases.</w:t>
      </w:r>
    </w:p>
    <w:p>
      <w:pPr>
        <w:spacing w:after="0" w:line="18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Our product portfolio and potential indications include: MIN-101 for the treatment of schizophrenia; MIN-202 (also known as JNJ-42847922), which we are co-developing with Janssen Pharmaceutica NV, or Janssen, for the treatment of insomnia disorder and major depressive disorder, or MDD; MIN-117 for the treatment of MDD; and MIN-301 for the treatment of Parkinson’s disease. We believe our product candidates have significant potential to improve the lives of a large number of affected patients and their families who are currently not well-served by available therapies.</w:t>
      </w:r>
    </w:p>
    <w:p>
      <w:pPr>
        <w:spacing w:after="0" w:line="18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 November 2013, Cyrenaic Pharmaceuticals, Inc., or Cyrenaic, and Sonkei Pharmaceuticals, Inc., or Sonkei, merged, and the combined company was renamed Minerva Neurosciences, Inc. Cyrenaic had been incorporated in 2007 and had exclusively licensed MIN-101 from Mitsubishi Tanabe Pharma Corporation, or MTPC. Sonkei had been incorporated in 2008 and had exclusively licensed MIN-117 from MTPC. We executed the merger as we saw an opportunity to better serve an underserved patient population through combining a portfolio of promising product candidates targeting CNS diseases. As a result of the merger, we have the rights to develop and commercialize MIN-101 and MIN-117 globally, excluding most of Asia.</w:t>
      </w:r>
    </w:p>
    <w:p>
      <w:pPr>
        <w:spacing w:after="0" w:line="184"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further expanded our product candidate portfolio in February 2014 by acquiring the shares of Mind-NRG SA, or Mind-NRG, which had exclusive rights to develop and commercialize MIN-301. In addition, in February 2014 we entered into a co-development and license agreement with Janssen, one of the Janssen Pharmaceutical Companies of Johnson &amp; Johnson, for the co-development of MIN-202. We entered into an amendment to this agreement in June 2017, and its effectiveness is contingent upon approval by the European Commission amongst other normal and customary closing conditions. Under the amended agreement, we will gain global strategic control of the development of MIN-202 to treat insomnia, and Janssen will forego its right to royalties on MIN-202 insomnia sales in the Minerva territory, which includes the European Union, Switzerland, Liechtenstein, Iceland and Norway (the “Minerva Territory”). We will retain our rights to MIN-202 as adjunctive therapy for MDD, which include an exclusive license in the Minerva Territory with royalties payable by us to Janssen, and royalties on sales payable by Janssen to Minerva elsewhere worldwide. Our relationships with Janssen and MTPC help inform our clinical development and regulatory strategies.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Update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MIN-101</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Improved Formulation</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22, 2017, we announced the completion of a bridging trial to select an improved, gastric-resistant, or GR formulation of MIN-101 that we plan to use in the Phase III clinical trial with MIN-101 and to include in the potential future submission of a New Drug Application or NDA.</w:t>
      </w:r>
    </w:p>
    <w:p>
      <w:pPr>
        <w:spacing w:after="0" w:line="162"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Data from the bridging trial of the selected new formulation demonstrated: bioequivalent exposure of MIN-101 based on area under the curve shown in the Phase IIb study; reduction of an inactive metabolite of MIN-101 known as BFB-520 by approximately 30% in the improved formulation, thereby reducing the potential for transient QTc increases observed in the Phase IIb study at the higher dose, 64 mg, but not the lower dose, 32 mg; no observations of QTc prolongations throughout the bridging trial; no observable food effect, thus allowing administration of the drug with or without food without changing its pharmacokinetic properties; and confirmation of the overall safety and tolerability profile of MIN-101.</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20" w:name="page21"/>
    <w:bookmarkEnd w:id="20"/>
    <w:p>
      <w:pPr>
        <w:ind w:right="140"/>
        <w:spacing w:after="0" w:line="261" w:lineRule="auto"/>
        <w:rPr>
          <w:sz w:val="20"/>
          <w:szCs w:val="20"/>
          <w:color w:val="auto"/>
        </w:rPr>
      </w:pPr>
      <w:r>
        <w:rPr>
          <w:rFonts w:ascii="Times New Roman" w:cs="Times New Roman" w:eastAsia="Times New Roman" w:hAnsi="Times New Roman"/>
          <w:sz w:val="18"/>
          <w:szCs w:val="18"/>
          <w:color w:val="auto"/>
        </w:rPr>
        <w:t>We plan to immediately initiate Chemistry, Manufacturing and Controls, or CMC, scale-up processes. As exposures of MIN-101 in the Phase IIb study and the GR formulation to be used in the Phase III trial are comparable, we believe data from both studies can be aggregated for the purposes of evaluating efficacy. We have also filed a patent application for the GR formulation, which is in addition to an already granted patent in the U.S. that provides protection until 2035. If granted, the additional patent could potentially extend exclusivity beyond 2035.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End-of-Phase 2 Meeting</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May 2017, we announced the outcome of an “end-of-Phase 2” meeting with the FDA and announced our plans to initiate Phase III development of MIN-101. We expect that a pivotal Phase III trial with MIN-101 will be initiated in the second half of 2017.</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Phase III trial design will be a 12-week, double-blind, randomized, placebo-controlled, monotherapy study testing two doses of MIN-101 in patients with negative symptoms and a diagnosis of schizophrenia. To be eligible for the study, patients will be required to have stable negative and positive symptoms over several months prior to enrollment, with a specified minimum threshold baseline score on the Positive and Negative Syndrome Scale, or PANSS, negative sub-scale. After the double-blind phase, patients may enter a 36-week open label extension phase in which all patients will receive active treatment. This multi-center, international trial is expected to enroll approximately 500 patients at approximately 60 clinical sites across the U.S. and Europe.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Breakthrough Therapy Designation</w:t>
      </w:r>
    </w:p>
    <w:p>
      <w:pPr>
        <w:spacing w:after="0" w:line="22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April 2017, we applied for Breakthrough Therapy designation for MIN-101 for the treatment of negative symptoms of schizophrenia. In recent correspondence, although denying our request, the FDA confirmed that treatment of negative symptoms of schizophrenia meets the criteria for a serious or life threatening disease and consequently for Breakthrough Therapy designation. The FDA also advised that they were not able to grant designation as a Breakthrough Therapy at this time pending receipt of additional analyses of certain data from the Phase IIb study. We are currently in dialogue with the FDA to clarify why it believes the Phase IIb data provides the analyses the FDA is seeking and expect a further review of our request in the near future.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IIb Trial</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May 2016, we announced top line results from a prospective Phase IIb, 12-week, randomized, double-blind, placebo-controlled parallel clinical trial evaluating the efficacy, safety and tolerability of MIN-101 as monotherapy in patients with negative symptoms of schizophrenia using the pentagonal structure model, or PSM, of PANSS. These negative symptoms, for which no approved treatment is currently available, affect the majority of schizophrenic patients and can persist over their lifetimes. A total of 244 patients were randomized in equal groups to receive daily doses of MIN-101 32 mg, MIN-101 64 mg or placebo at 32 clinical sites in Russia and five European countries. To participate in the trial, patients were required to have stable positive and negative symptoms for three months prior to entry, a PANSS negative sub-score greater than or equal to 20, and scores &lt; 4 on the following PANSS items: excitement, hyperactivity, hostility, suspiciousness, uncooperativeness and poor impulse control. All three cohorts were balanced with respect to demographic and baseline disease characteristics.</w:t>
      </w:r>
    </w:p>
    <w:p>
      <w:pPr>
        <w:spacing w:after="0" w:line="18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study achieved its primary endpoint, as we observed a statistically significant benefit of MIN-101 over placebo in improving negative symptoms as measured by the PSM of PANSS. The effect was observed for both doses tested: 32 milligrams (mg): p ≤ 0.024 with an effect size of 0.45, and 64 mg: p ≤ 0.004 with effect size of 0.57.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observed a statistically significant benefit of MIN-101 over placebo on the PANSS three factors negative symptoms subscale for both doses tested: 32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mg: p ≤ 0.006, with an effect size of 0.54, and 64 mg: p ≤ 0.001 with an effect size of 0.70.</w:t>
      </w:r>
    </w:p>
    <w:p>
      <w:pPr>
        <w:spacing w:after="0" w:line="20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Furthermore, we observed the statistically significant benefit of MIN-101 over placebo on the PANSS total score (not significant for the 32 mg dose; p ≤ 0.003 for the 64 mg dose), with effect sizes of 0.34 and 0.57, respectively.</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consistency and robustness of the effect was also supported by the observed statistically significant benefit of MIN-101 over placebo in multiple secondary endpoints as measured by the following: the PANSS general psychopathology subscale, Brief Negative Symptoms Scale total score, Clinical Global Impression of Severity, Clinical Global Impression of Improvement, Personal and Social Performance total score and Brief Assessment of Cognition in Schizophrenia (BACS) total score. Positive symptoms were observed to remain stable, and the absence of extra-pyramidal symptoms (EPS) throughout the three month trial is consistent with the hypothesis that MIN-101 has a direct and specific effect on negative symptoms rather than an indirect effect mediated by improvements of positive symptoms.</w:t>
      </w:r>
    </w:p>
    <w:p>
      <w:pPr>
        <w:spacing w:after="0" w:line="18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Discontinuation criteria based on QTcF prolongation were incorporated in the protocol. Two patients out of 162 who received MIN-101 were discontinued based upon these criteria; both of these patients received the higher dose (64 mg).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1" w:name="page22"/>
    <w:bookmarkEnd w:id="21"/>
    <w:p>
      <w:pPr>
        <w:ind w:right="20"/>
        <w:spacing w:after="0" w:line="261" w:lineRule="auto"/>
        <w:rPr>
          <w:sz w:val="20"/>
          <w:szCs w:val="20"/>
          <w:color w:val="auto"/>
        </w:rPr>
      </w:pPr>
      <w:r>
        <w:rPr>
          <w:rFonts w:ascii="Times New Roman" w:cs="Times New Roman" w:eastAsia="Times New Roman" w:hAnsi="Times New Roman"/>
          <w:sz w:val="18"/>
          <w:szCs w:val="18"/>
          <w:color w:val="auto"/>
        </w:rPr>
        <w:t>Patients who completed the 12-week double-blind core phase of this study were provided the opportunity to enter into a 24-week, open-label extension phase. The extension phase was completed during the third quarter of 2016, and we announced data from the extension phase in October 2016. Data generated during the extension period were intended to provide longer term supportive evidence of efficacy and to complement the statistically significant results obtained during the core phase.</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During the extension phase, all patients received either 32 mg or 64 mg of MIN-101. Patients who received placebo in the core phase were randomized to one of these two doses at the beginning of the extension phase. One hundred forty-two patients from the treatment and placebo groups in the core phase entered the extension phase, with 88 patients completing the extension. Seventy patients received 32 mg and 72 patients received 64 mg during the extension.</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Negative symptoms, assessed based on the PANSS PSM, were observed to continue to improve during the extension phase, as shown by a reduction from the study start for the 32 and 64 mg-treated groups of 5.5 points and 4.9 points, respectively, and by a reduction of 5.4 points and 5.3 points, respectively, in the PANSS three factors negative symptoms subscale.</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Positive symptoms were observed to remain stable throughout the study, as measured by PANSS positive symptom scores. This finding is consistent with the hypothesis that MIN-101 has a direct and specific effect on negative symptoms. General psychopathology was observed to improve during the extension phase for the 32 and 64 mg groups, as shown by reductions in the PANSS general psychopathology subscale score.</w:t>
      </w:r>
    </w:p>
    <w:p>
      <w:pPr>
        <w:spacing w:after="0" w:line="16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MIN-101 was generally reported to be well tolerated through the entire 36-week period. Based on previous non-clinical and clinical experience, QTcF, a measure of cardiac function, was closely monitored throughout the study, and discontinuation criteria based on QTcF prolongation were incorporated in the protocol. Two patients out of 162 who received MIN-101 in the core phase were discontinued based upon these criteria; both of these patients received the higher dose (64 mg). In the extension phase no additional patients were discontinued. In the extension phase, we also observed that MIN-101 at the doses tested did not have an effect on EPS, prolactin or weight gain.</w:t>
      </w:r>
    </w:p>
    <w:p>
      <w:pPr>
        <w:spacing w:after="0" w:line="18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Additional data analyses from the Phase IIb trial were presented at the 55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Annual Meeting of the American College of Neuropsychopharmacology, or ACNP in December 2016. These analyses concluded that MIN-101 has a direct effect on negative symptoms (rather than an indirect or pseudo effect secondary to improvements in other symptoms) as supported by the stability observed in positive symptoms, the absence of EPS and the persistence of this direct effect even after controlling for improvements in depressive symptoms. Researchers noted that since phenomena similar to negative symptoms are manifest in many psychiatric disorders and in brain degenerative disorders such as Alzheimer’s disease and Parkinson’s disease, future trials with MIN-101 could be designed to explore its potential benefit in these patient populations.</w:t>
      </w:r>
    </w:p>
    <w:p>
      <w:pPr>
        <w:spacing w:after="0" w:line="18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post-hoc analysis presented at ACNP, improvement in negative symptoms was shown to be greatest among younger patients, especially in the cohort of patients under 33 years of age. This finding supports the potential therapeutic intervention with MIN-101 in younger patients with schizophrenia who are beginning to manifest these symptoms. It is also consistent with research showing that chronic pharmacotherapeutic intervention in schizophrenia, which includes atypical antipsychotics to treat acute positive symptoms, becomes less effective as patients age and suffer long-term consequences of the disease and side effects of current treatment options.</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Additional results presented at ACNP suggest a benefit of treatment with MIN-101 32 mg in improving cognitive function in schizophrenia patients with predominant negative symptoms. Cognitive function was evaluated using the BACS scale, and data analyses demonstrated statistically significant differences between patients treated with MIN-101 at the 32 mg dose and those who received placebo. Cognitive impairment, a core feature of schizophrenia, affects up to 75% of patients and is believed to be a good predictor of functional outcome.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IIa Trial</w:t>
      </w:r>
    </w:p>
    <w:p>
      <w:pPr>
        <w:spacing w:after="0" w:line="22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2009 we completed a double-blind, randomized, placebo-controlled Phase IIa trial of MIN-101 as monotherapy in subjects suffering from schizophrenia. Enrolled subjects had previously suffered from an acute episode requiring hospitalization. This was a double-blind, placebo controlled study with a three month treatment period in which 96 subjects were randomized and 30 completed the study protocol. Patients suffered from positive, negative and cognitive symptoms and had ceased to respond well to previously prescribed medication. Subjects received either placebo or MIN-101, including doses and at a dosing schedule that may differ from the final formulated dose.</w:t>
      </w:r>
    </w:p>
    <w:p>
      <w:pPr>
        <w:spacing w:after="0" w:line="18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primary endpoint of the study was the efficacy of MIN-101 versus placebo, as measured by PANSS total and sub-scores after one month of treatment. The PANSS is used to measure psychopathology in patients suffering from schizophrenia and can be split into either three factors (positive, negative and general psychopathology) or in five factors (positive, negative, activation, dysphoric mood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2" w:name="page23"/>
    <w:bookmarkEnd w:id="22"/>
    <w:p>
      <w:pPr>
        <w:ind w:right="160"/>
        <w:spacing w:after="0" w:line="282" w:lineRule="auto"/>
        <w:rPr>
          <w:sz w:val="20"/>
          <w:szCs w:val="20"/>
          <w:color w:val="auto"/>
        </w:rPr>
      </w:pPr>
      <w:r>
        <w:rPr>
          <w:rFonts w:ascii="Times New Roman" w:cs="Times New Roman" w:eastAsia="Times New Roman" w:hAnsi="Times New Roman"/>
          <w:sz w:val="18"/>
          <w:szCs w:val="18"/>
          <w:color w:val="auto"/>
        </w:rPr>
        <w:t>and autistic thoughts). Secondary and exploratory endpoints included the efficacy of MIN-101 versus placebo through the PANSS total and sub scores after three months of treatment, as well as cognition, mood, anxiety and sleep using various psychological scales at various treatment time points.</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Phase IIa trial, subjects treated with MIN-101 showed ongoing improvements in negative symptoms, as compared to baseline, throughout the duration of the trial. After one month, improvements on the PANSS negative symptoms scale were observed. Because this Phase IIa trial was not powered to show results with statistical significance, the study’s primary endpoint was not met. After three months of treatment, the MIN-101 group showed improvements in negative symptoms as compared to placebo.</w:t>
      </w:r>
    </w:p>
    <w:p>
      <w:pPr>
        <w:spacing w:after="0" w:line="18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Recent additional analysis of results from this Phase IIa trial presented at ACNP showed that treatment with MIN-101 was associated with significantly improved sleep induction and normalized slow wave sleep ultradian distribution during the night, which are two key sleep parameters that are disturbed in schizophrenia. Such disturbances of sleep architecture and continuity may be associated with memory consolidation, which is impaired in schizophrenia. These effects on sleep parameters may help to improve the overall symptomatology observed in patients suffering from schizophrenia and treated with MIN-101.</w:t>
      </w:r>
    </w:p>
    <w:p>
      <w:pPr>
        <w:spacing w:after="0" w:line="18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Subjects participating in this clinical trial receiving MIN-101 or placebo experienced adverse events, including, but not limited to gastrointestinal, nervous system, psychiatric, and cardiac events, with two subjects with increased heart rate and one subject with decreased heart rate that were deemed to be possibly related to MIN-101 by investigators. Generally, with the exception of cardiac events, which occurred in the MIN-101 subjects alone, similar adverse events were seen in the placebo group tested in this study, although at different rates. The safety results of the Phase IIa study were consistent with Phase I results observed in healthy volunteers.</w:t>
      </w:r>
    </w:p>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Following the Phase IIb trial, we are conducting a number of supportive studies with MIN-101 that include formulation and metabolism studies designed to reduce further the potential for QTcF prolongation and to explore dose ranges for patients who metabolize this compound differently.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MIN-202</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Co-Development and License Agreement with Janssen</w:t>
      </w:r>
    </w:p>
    <w:p>
      <w:pPr>
        <w:spacing w:after="0" w:line="22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In June 2017, we entered into an Amendment to our Co-Development and License Agreement with Janssen (the “Amendment”), pursuant to which Janssen agreed to forgo its right to royalties on MIN-202 insomnia sales in the Minerva Territory. We retained all of our rights to MIN-202 including commercialization of the molecule for the treatment of insomnia and as an as adjunctive therapy for MDD, which include an exclusive license in the European Union, Switzerland, Liechtenstein, Iceland and Norway, with royalties payable by us to Janssen. Royalties on sales outside of the Minerva Territory are payable by Janssen us. Janssen also agreed to make an upfront payment to us of $30 million upon the effectiveness of the Amendment; a $20 million payment at the start of a Phase III insomnia trial for MIN-202; a $20 million payment when 50% of the patients are enrolled in this trial; and further agreed to waive the remaining payments, including accrued and unpaid balances as of June 30, 2017, due from us until completion of the Phase II development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MIN-202, which are estimated to total approximately $13 million inclusive of the $6.6 million in accrued collaborative expenses as of June 30, 2017.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effectiveness of the Amendment, we will assume strategic control for clinical development of MIN-202 in insomnia and all financial responsibility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III development costs for MIN-202 in insomnia. In connection with the Amendment, we also entered into a stock repurchase agreement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Johnson &amp; Johnson Innovation-JJDC Inc. to repurchase all of the approximately 3.9 million shares of our stock held by Johnson &amp; Johnson Innovation-JJDC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at a per share price of $0.0001, for an aggregate purchase price of approximately $389. The effectiveness of the Amendment is contingent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of the stock repurchase agreement, and the closing of the stock repurchase agreement is contingent upon certain normal and customary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which include receiving either approval from the European Commission of the Amendment and the stock repurchase agreement or notification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European Commission does not object to the Amendment and the stock repurchase agreement. We are currently evaluating the accounting treatment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Amendment including aspects of revenue recognition treatment associated with the future payments that we expect to receive pursuant to the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as well as for the waiver of remaining Phase II development costs pursuant to the Amendment. The Amendment automatically terminates if it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effectuated prior to August 31, 2017 or if the stock repurchase agreement is terminated prior to the effectiveness of the Amendment. The stock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also automatically terminates if it is not effectuated prior to August 31, 2017. In the event that the Amendment is terminated, the Co-Development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License Agreement with Janssen will remain in full force and effect.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IIa Trial</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January 2016, we announced top line results from a Phase IIa clinical trial of MIN-202 for the treatment of insomnia disorder. The trial was a randomized, two way, cross-over, placebo-controlled double-blind study to evaluate the effect of MIN-202 on sleep and daytime functioning in 28 patients with insomnia disorder without psychiatric co-morbidity. Patients were given 40 mg of MIN-202 or placebo in a cross-over design for treatment periods of five days, separated by a washout period. The trial was conducted at clinical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3" w:name="page24"/>
    <w:bookmarkEnd w:id="23"/>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sites in the United States and Europe. Patients treated with MIN-202 in this trial were observed to have statistically significant improvements in key sleep parameters, compared to patients treated with placebo. These parameters include sleep efficiency, or SE, as measured by objective polysomnography, the primary endpoint of the trial, for which a positive efficacy signal was detected for 40 milligrams MIN-202 versus placebo (p&lt;0.001).</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Additional significant positive efficacy signals were observed for key secondary parameters in this trial, including latency to persistent sleep, or LPS, wake after sleep onset, or WASO, and total sleep time, or TST. Compared to placebo, MIN-202 was observed to significantly improve polysomnography parameters (p&lt;0.001) on Days 1 and 5. On Day 5, LPS and WASO were observed to be reduced by 23.2 and 11 minutes, respectively, and TST and SE increased by 39 minutes and 8.12 percent, respectively. Objective and subjective evaluations were significantly correlated. Subjectively estimated TST, LPS, and WASO were also observed to be improved versus placebo by 43.1, -38.8, and -14.8 minutes, respectively. No serious adverse events were observed in this trial, and preliminary data indicate that MIN-202 was well tolerated by patients. The most common treatment-emergent adverse events associated with exposure to MIN-202 during the double-blind phase of the study were somnolence and abnormal dreams.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Ib Trial</w:t>
      </w:r>
    </w:p>
    <w:p>
      <w:pPr>
        <w:spacing w:after="0" w:line="22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March 2016, we announced top line results from the Phase Ib clinical trial in MDD with MIN-202 conducted in Europe. Data from this trial were subsequently presented at the ACNP Annual Meeting in December 2016. The Phase Ib trial was a randomized, double-blind, parallel group study including 20 mg of MIN-202 administered in the evening, a positive control, 25 mg of diphenhydramine, and placebo, to evaluate treatment with MIN-202 in 48 subjects ages 18 to 65 years with a diagnosis of MDD who could be treated with marketed antidepressants. MIN-202 was observed to be well tolerated by study participants over a one-month treatment duration, with no serious adverse events. Consistently greater improvements in depressive symptomatology were observed in patients randomized to receive MIN-202 compared to those randomized to receive placebo or diphenhydramine, as measured by clinician administered rating scales, including the Hamilton Depression Rating Scale. These findings support the potential of MIN-202 to have a direct effect on mood independent from its effect on sleep. Core symptoms of depression (as measured by the HAM-D 6) were observed to be significantly improved in the MIN-202 arm when compared with placebo.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I Trial in Japan</w:t>
      </w:r>
    </w:p>
    <w:p>
      <w:pPr>
        <w:spacing w:after="0" w:line="22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 February 2016, we announced top line data from a Phase I clinical trial with MIN-202 conducted in Japan. It was observed that single dose morning administration of MIN-202 was well tolerated at all three dose levels tested, 5 mg, 20 mg and 40 mg. The observed plasma pharmacokinetic features were comparable to those observed in previous trials carried out in healthy non-Asian study participants. No clinically relevant safety concerns were observed based on the assessment of multiple safety endpoints. Somnolence was the most frequently reported adverse event at the two higher doses, an expected finding as this compound is being developed as a treatment for patients suffering from insomnia disorder and as adjunctive treatment to concomitant antidepressant drug therapy in MDD. This trial was a single center, double blind, placebo-controlled randomized single ascending dose study to investigate the safety, tolerability and pharmacokinetics of MIN-202 in 24 healthy Japanese adult male study participants.</w:t>
      </w:r>
    </w:p>
    <w:p>
      <w:pPr>
        <w:spacing w:after="0" w:line="18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number of supportive activities and clinical pharmacology studies are being conducted in anticipation of the next phase of clinical development with MIN-202 in both insomnia and MDD.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MIN-117</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IIa Trial</w:t>
      </w:r>
    </w:p>
    <w:p>
      <w:pPr>
        <w:spacing w:after="0" w:line="227"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May 2016, we announced top line results from a Phase IIa clinical trial in MDD with MIN-117. Data from this trial were subsequently presented at the ACNP Annual Meeting in December 2016. This study was a four-arm, parallel-group, randomized double-blind, placebo- and positive-control trial which tested two daily administered doses of MIN-117: 0.5 mg and 2.5 mg. The study included 84 patients (21 per arm) with moderate to severe MDD in four European countries. The goals of the trial were to test efficacy, safety and tolerability of MIN-117 over six weeks of treatment. The antidepressant paroxetine was used as an active control and confirmed assay sensitivity. Change on the Montgomery-Asberg Depression Rating Scale, or MADRS, was used as the main outcome measurement. As established prospectively in the statistical analysis plan, this trial was designed for signal detection and effect size estimation. As such, the study was not powered to demonstrate statistically significant differences between MIN-117 and placebo.</w:t>
      </w:r>
    </w:p>
    <w:p>
      <w:pPr>
        <w:spacing w:after="0" w:line="18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We observed the dose-dependent benefit of MIN-117 over placebo as measured by change in the MADRS. We observed that MIN-117 at the 0.5 mg daily dose had an effect size, as compared to the placebo group, of 0.24 while the 2.5 mg daily dose had an effect size of 0.34. This magnitude of effect size is similar to those observed with currently marketed antidepressants. Improvement in MADRS with MIN-117 against placebo was observed at two weeks. Furthermore, data also showed that 24 % of the patients treated with 2.5 mg of MIN-117 achieved remission as prospectively defined.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4" w:name="page25"/>
    <w:bookmarkEnd w:id="24"/>
    <w:p>
      <w:pPr>
        <w:ind w:right="60"/>
        <w:spacing w:after="0" w:line="266" w:lineRule="auto"/>
        <w:rPr>
          <w:sz w:val="20"/>
          <w:szCs w:val="20"/>
          <w:color w:val="auto"/>
        </w:rPr>
      </w:pPr>
      <w:r>
        <w:rPr>
          <w:rFonts w:ascii="Times New Roman" w:cs="Times New Roman" w:eastAsia="Times New Roman" w:hAnsi="Times New Roman"/>
          <w:sz w:val="18"/>
          <w:szCs w:val="18"/>
          <w:color w:val="auto"/>
        </w:rPr>
        <w:t>Both doses of MIN-117 were reported to be well tolerated, and the incidence and types of side effects did not differ significantly between the MIN-117 group and the placebo group. No unexpected adverse events were reported. Treatment with MIN-117 was not associated with cognitive impairment, sexual dysfunction, suicidal ideation or weight gain.</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Pharmacodynamic measurements based on sleep recordings showed that MIN-117 preserved sleep continuity and architecture and therefore is not expected to have detrimental effects on rapid eye movement sleep distribution and duration.</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September 2016, we announced that the FDA accepted our IND for MIN-117, allowing us to begin clinical trials with this compound in the United States, building upon the results from the Phase IIa trial in Europe. Planning is underway for these trials, which are expected to begin in late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MIN-301</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January 2015, we announced results from a non-human primate study showing that treatment with an analog of MIN-301 resulted in improvements in a range of symptoms associated with a Parkinson’s disease model in primates. The results confirmed the beneficial effects of MIN-301 in non-primate preclinical models. We believe these data provide support for advancing MIN-301 into clinical trials for the treatment of Parkinson’s disease in humans. Building upon these data, we are continuing to conduct preclinical development with MIN-301 as a treatment for Parkinson’s disease. Our next steps for the development of MIN-301 include continuing to conduct preclinical studies in preparation for an Investigational New Drug, or IND, or Investigational Medicinal Product Dossier, or IMPD filing, with a Phase I study expected to commence thereafter.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7" w:lineRule="exact"/>
        <w:rPr>
          <w:sz w:val="20"/>
          <w:szCs w:val="20"/>
          <w:color w:val="auto"/>
        </w:rPr>
      </w:pPr>
    </w:p>
    <w:p>
      <w:pPr>
        <w:ind w:right="18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Revenue. </w:t>
      </w:r>
      <w:r>
        <w:rPr>
          <w:rFonts w:ascii="Times New Roman" w:cs="Times New Roman" w:eastAsia="Times New Roman" w:hAnsi="Times New Roman"/>
          <w:sz w:val="17"/>
          <w:szCs w:val="17"/>
          <w:color w:val="auto"/>
        </w:rPr>
        <w:t>None of our product candidates have been approved for commercialization and we have not received any revenue in connection with the sale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license of our product candidates. We are evaluating the revenue implications of our Amendment to Co-Development and License Agreement with Janssen.</w:t>
      </w:r>
    </w:p>
    <w:p>
      <w:pPr>
        <w:spacing w:after="0" w:line="135"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Expense. </w:t>
      </w:r>
      <w:r>
        <w:rPr>
          <w:rFonts w:ascii="Times New Roman" w:cs="Times New Roman" w:eastAsia="Times New Roman" w:hAnsi="Times New Roman"/>
          <w:sz w:val="18"/>
          <w:szCs w:val="18"/>
          <w:color w:val="auto"/>
        </w:rPr>
        <w:t>Research and development expenses consists of costs incurred in connection with the development of our product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candidates, including: fees paid to consultants and clinical research organizations, or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8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In the future, we expect research and development expenses to continue to be our largest category of operating expenses and to increase as we continue our planned pre-clinical and clinical trials for our product candidates and as we hire additional research and development staff.</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82"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 </w:t>
      </w:r>
      <w:r>
        <w:rPr>
          <w:rFonts w:ascii="Times New Roman" w:cs="Times New Roman" w:eastAsia="Times New Roman" w:hAnsi="Times New Roman"/>
          <w:sz w:val="18"/>
          <w:szCs w:val="18"/>
          <w:color w:val="auto"/>
        </w:rPr>
        <w:t>General and administrative expenses consist principally of costs for functions in executive, finance, legal, auditing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8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expect to continue to incur general and administrative expenses related to operating as a publicly-traded company, including increased audit and legal fees, costs of compliance with securities, corporate governance and other regulations, investor relations expenses and higher insurance premiums. In addition, we expect to incur additional costs as we hire personnel and enhance our infrastructure to support the anticipated growth of our business.</w:t>
      </w:r>
    </w:p>
    <w:p>
      <w:pPr>
        <w:spacing w:after="0" w:line="174"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Foreign Exchange (Losses) Gains. </w:t>
      </w:r>
      <w:r>
        <w:rPr>
          <w:rFonts w:ascii="Times New Roman" w:cs="Times New Roman" w:eastAsia="Times New Roman" w:hAnsi="Times New Roman"/>
          <w:sz w:val="18"/>
          <w:szCs w:val="18"/>
          <w:color w:val="auto"/>
        </w:rPr>
        <w:t>Foreign exchange (losses) gains are comprised primarily of losses and gains of foreign currency transactions related to clinical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trial expenses denominated in Euros. Since our current clinical trials are conducted in Europe, we incur certain expenses in Euros and record these expenses in U.S. dollars at the time the liability is incurred. Changes in the applicable foreign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5" w:name="page26"/>
    <w:bookmarkEnd w:id="25"/>
    <w:p>
      <w:pPr>
        <w:ind w:right="180"/>
        <w:spacing w:after="0" w:line="282" w:lineRule="auto"/>
        <w:rPr>
          <w:sz w:val="20"/>
          <w:szCs w:val="20"/>
          <w:color w:val="auto"/>
        </w:rPr>
      </w:pPr>
      <w:r>
        <w:rPr>
          <w:rFonts w:ascii="Times New Roman" w:cs="Times New Roman" w:eastAsia="Times New Roman" w:hAnsi="Times New Roman"/>
          <w:sz w:val="18"/>
          <w:szCs w:val="18"/>
          <w:color w:val="auto"/>
        </w:rPr>
        <w:t>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Investment income consists of income earned on our cash equivalents and marketable securities.</w:t>
      </w:r>
    </w:p>
    <w:p>
      <w:pPr>
        <w:spacing w:after="0" w:line="225"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consists of interest incurred under our current outstanding loan with Oxford Finance LLC, or Oxford, and Silicon Valley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Bank, or SVB.</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2017 versus June 30, 2016</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Total research and development expenses were $7.1 million for the three months ended June 30, 2017 compared to $2.7 million for the same period in 2016, an increase in total expense of $4.4 million. Research and development expense in the three months ended June 30, 2017 and 2016 included non-cash stock-based compensation expenses of $0.5 million and $0.2 million, respectively. This increase in research and development expenses primarily reflects higher development expenses under the MIN-202 program for Phase II clinical trial preparation, increased expenses for the MIN-101 program and an increase in non-cash stock-based compensation expenses. These amounts were partially offset by reduced costs related to our Phase IIa clinical trial of MIN-117 due to its completion in May 2016.</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Total general and administrative expenses were $2.6 million for the three months ended June 30, 2017 compared to $2.3 million for the same period in 2016, an increase of approximately $0.3 million. General and administrative expense in the three months ended June 30, 2017 and 2016 included non-cash stock-based compensation expenses of $0.7 million and $0.6 million, respectively. This increase was primarily due to an increase in professional fees during the three months ended June 30, 2017.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 Gains</w:t>
      </w:r>
    </w:p>
    <w:p>
      <w:pPr>
        <w:spacing w:after="0" w:line="2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Foreign exchange losses were $20 thousand for the three months ended June 30, 2017 compared to $15 thousand for the same period in 2016, an increased loss of $5 thousand. The loss was primarily due to clinical activities denominated in Euros.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Investment income was $156 thousand for the three months ended June 30, 2017 compared to $35 thousand for the same period in 2016, an increase of $121 thousand. This increase was due to an increase in investment income on cash equivalents and marketable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was $0.2 million for the three months ended June 30, 2017 compared to $0.3 million for the same period in 2016, a decrease of $0.1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was due to a lower outstanding principal balance on our Term A loans.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2017 versus June 30, 2016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Total research and development expenses were $14.8 million for the six months ended June 30, 2017 compared to $8.1 million for the same period in 2016, an increase in total expense of $6.7 million. Research and development expense in the six months ended June 30, 2017 and 2016 included non-cash stock-based compensation expenses of $1.0 million and $0.5 million, respectively. This increase in research and development expenses primarily reflects higher development expenses under the MIN-202 program for Phase II clinical trial preparation, increased expenses for the MIN-101 program and an increase in non-cash stock-based compensation expenses. These amounts were partially offset by lower costs due to the completion of our Phase IIa clinical trial of MIN-117.</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t>General and Administrative Expenses</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Total general and administrative expenses were $5.5 million for the six months ended June 30, 2017 compared to $4.6 million for the same period in 2016, an increase of approximately $0.9 million. General and administrative expense in the six months ended June 30, 2017 and 2016 included non-cash stock-based compensation expenses of $1.5 million and $1.2 million, respectively. This increase was primarily due to an increase in professional fees during the six months ended June 30, 2017.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Exchange (Losses) Gains</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Foreign exchange losses were $37 thousand for the six months ended June 30, 2017 compared to $25 thousand for the same period in 2016, an increased loss of $12 thousand. The loss was primarily due to certain expenses of Mind-NRG and clinical activities denominated in Euros.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Investment income was $214 thousand for the six months ended June 30, 2017 compared to $67 thousand for the same period in 2016, an increase of $147 thousand. The increase was due to investment income on cash equivalents and marketable securities.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was $0.4 million for the three months ended June 30, 2017 compared to $0.5 million for the same period in 2016, a decrease of $0.1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due to a lower outstanding principal balance on our Term A loans.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incurred losses and cumulative negative cash flows from operations since our inception in April 2007 and, as of June 30, 2017, we had an accumulated deficit of approximately $153.3 million. We anticipate that we will continue to incur net losses for the foreseeable future as we continue the development and potential commercialization of our product candidates and to support our operations as a public company. At June 30, 2017, we had approximately $77.6 million in cash, cash equivalents and marketable securities. We believe that our existing cash, cash equivalents and marketable securities will be sufficient to meet our cash commitments for at least the next 12 months after the date that the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and the level of financial resources available. We have the ability to adjust our operating plan spending levels based on the timing of future clinical trials which will be predicated upon adequate funding to complete the trials.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Funds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to Co-Development and License Agreement with Janssen</w:t>
      </w:r>
    </w:p>
    <w:p>
      <w:pPr>
        <w:spacing w:after="0" w:line="22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In June 2017, we entered into an Amendment to our Co-Development and License Agreement with Janssen (the “Amendment”), pursuant to which Janssen agreed to forgo its right to royalties on MIN-202 insomnia sales in the Minerva Territory. We retained all of our rights to MIN-202 including commercialization of the molecule for the treatment of insomnia and as an as adjunctive therapy for MDD, which include an exclusive license in the European Union, Switzerland, Liechtenstein, Iceland and Norway, with royalties payable by us to Janssen. Royalties on sales outside of the Minerva Territory are payable by Janssen us. Janssen also agreed to make an upfront payment to us of $30 million upon the effectiveness of the Amendment; a $20 million payment at the start of a Phase III insomnia trial for MIN-202; a $20 million payment when 50% of the patients are enrolled in this trial; and further agreed to waive the remaining payments, including accrued and unpaid balances as of June 30, 2017, due from us until completion of the Phase II development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MIN-202, which are estimated to total approximately $13 million inclusive of the $6.6 million in accrued collaborative expenses as of June 30, 2017. Upon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effectiveness of the Amendment, we will assume strategic control for clinical development of MIN-202 in insomnia and all financial responsibility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III development costs for MIN-202 in insomnia. In connection with the Amendment, we also entered into a stock repurchase agreement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Johnson &amp; Johnson Innovation-JJDC Inc. to repurchase all of the approximately 3.9 million shares of our stock held by Johnson &amp; Johnson Innovation-JJDC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at a per share price of $0.0001, for an aggregate purchase price of approximately $389. The effectiveness of the Amendment is contingent upon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 of the stock repurchase agreement, and the closing of the stock repurchase agreement is contingent upon certain normal and customary closing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conditions which include receiving either approval from the European Commission of the Amendment and the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7" w:name="page28"/>
    <w:bookmarkEnd w:id="27"/>
    <w:p>
      <w:pPr>
        <w:ind w:right="40"/>
        <w:spacing w:after="0" w:line="256" w:lineRule="auto"/>
        <w:rPr>
          <w:sz w:val="20"/>
          <w:szCs w:val="20"/>
          <w:color w:val="auto"/>
        </w:rPr>
      </w:pPr>
      <w:r>
        <w:rPr>
          <w:rFonts w:ascii="Times New Roman" w:cs="Times New Roman" w:eastAsia="Times New Roman" w:hAnsi="Times New Roman"/>
          <w:sz w:val="18"/>
          <w:szCs w:val="18"/>
          <w:color w:val="auto"/>
        </w:rPr>
        <w:t>stock repurchase agreement or notification that the European Commission does not object to the Amendment and the stock repurchase agreement. We are currently evaluating the accounting treatment for the Amendment including aspects of revenue recognition treatment associated with the future payments that we expect to receive pursuant to the terms of the Agreement as well as for the waiver of remaining Phase II development costs pursuant to the Amendment. The Amendment automatically terminates if it is not effectuated prior to August 31, 2017 or if the stock repurchase agreement is terminated prior to the effectiveness of the Amendment. The stock repurchase agreement also automatically terminates if it is not effectuated prior to August 31, 2017. In the event that the Amendment is terminated, the Co-Development and License Agreement with Janssen will remain in full force and effect.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Offering of Common Stock</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July 5, 2017, we closed a public offering of common stock, in which we issued and sold 5,750,000 shares of our common stock, including 750,000 shares sold pursuant to the underwriters’ full exercise of their option to purchase additional shares, at a public offering price of $7.75, for aggregate gross proceeds to us of $44.6 million. All of the shares issued and sold in this public offering were registered under the Securities Act pursuant to a registration statement on Form S-3 (File No. 333-205764) and a related prospectus and prospectus supplement, in each case filed with the Securities and Exchange Commission. We incurred $3.1 million in underwriting discounts and commissions and transaction costs, which will be included as a component of additional paid-in capital, resulting in net proceeds of approximately $41.5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Exercise of Warrants</w:t>
      </w:r>
    </w:p>
    <w:p>
      <w:pPr>
        <w:spacing w:after="0" w:line="227"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In January, February, June and December 2016 and in March 2017, certain investors in our March 2015 private placement exercised their warrants and received an aggregate of 5,673,758 shares of our common stock. We received gross proceeds of approximately $32.7 million from the exercise of these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pacing w:after="0" w:line="22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To date, we have not generated any revenue. We do not know when, or if, we will generate any revenue from sales of our products or royalty payments from our collaboration with Janssen.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88"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government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If we are unable to obtain additional financing, future operations would need to be scaled back or discontinued. We believe that our existing cash, cash equivalents and marketable securities will be sufficient to meet our cash commitments for at least the next 12 months after the date that the interim condensed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200"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On July 6, 2016, we and Janssen agreed that “Decision Point 2” had been reached as defined under the co-development agreement. As neither party have exercised their right to withdraw from the agreement, we have paid Janssen $3.5 million and have incurred direct expenses of $0.3 million related to development activities under the current phase of development. During the three months ended June 30, 2017 and 2016, we recorded an expense of $3.6 million and a cost offset of $0.1 million, respectively, for certain development activities in accordance with the terms of the co-development agreement. During the six months ended June 30, 2017 and 2016, we recorded an expense of $6.6 million and a cost offset of $0.2 million, respectively, for certain development activities in accordance with the terms of the co-development agreement. We have included $6.6 million in accrued collaborative expenses as of</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8" w:name="page29"/>
    <w:bookmarkEnd w:id="28"/>
    <w:p>
      <w:pPr>
        <w:ind w:right="700"/>
        <w:spacing w:after="0" w:line="282" w:lineRule="auto"/>
        <w:rPr>
          <w:sz w:val="20"/>
          <w:szCs w:val="20"/>
          <w:color w:val="auto"/>
        </w:rPr>
      </w:pPr>
      <w:r>
        <w:rPr>
          <w:rFonts w:ascii="Times New Roman" w:cs="Times New Roman" w:eastAsia="Times New Roman" w:hAnsi="Times New Roman"/>
          <w:sz w:val="18"/>
          <w:szCs w:val="18"/>
          <w:color w:val="auto"/>
        </w:rPr>
        <w:t>June 30, 2017. We will not incur any additional Phase II development costs for the program. We will assume all financial responsibility for Phase III development costs for MIN-202 in insomnia.</w:t>
      </w:r>
    </w:p>
    <w:p>
      <w:pPr>
        <w:spacing w:after="0" w:line="162" w:lineRule="exact"/>
        <w:rPr>
          <w:sz w:val="20"/>
          <w:szCs w:val="20"/>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Under our $10.0 million Term A Loan, we have made principal repayments of approximately $4.0 million. We expect to make additional principal repayments of approximately $2.5 million in 2017 and $3.5 million in 2018, in accordance with the terms of the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significant sources and uses of cash for the six months ended June 30, 2017 and 2016:</w:t>
      </w:r>
    </w:p>
    <w:p>
      <w:pPr>
        <w:spacing w:after="0" w:line="232"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2060" w:type="dxa"/>
            <w:vAlign w:val="bottom"/>
            <w:gridSpan w:val="4"/>
          </w:tcPr>
          <w:p>
            <w:pPr>
              <w:jc w:val="center"/>
              <w:ind w:left="30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3"/>
        </w:trPr>
        <w:tc>
          <w:tcPr>
            <w:tcW w:w="544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right="2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54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4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5440" w:type="dxa"/>
            <w:vAlign w:val="bottom"/>
          </w:tcPr>
          <w:p>
            <w:pPr>
              <w:spacing w:after="0"/>
              <w:rPr>
                <w:sz w:val="13"/>
                <w:szCs w:val="13"/>
                <w:color w:val="auto"/>
              </w:rPr>
            </w:pPr>
          </w:p>
        </w:tc>
        <w:tc>
          <w:tcPr>
            <w:tcW w:w="2060" w:type="dxa"/>
            <w:vAlign w:val="bottom"/>
            <w:gridSpan w:val="4"/>
          </w:tcPr>
          <w:p>
            <w:pPr>
              <w:jc w:val="center"/>
              <w:ind w:left="303"/>
              <w:spacing w:after="0" w:line="155" w:lineRule="exact"/>
              <w:rPr>
                <w:sz w:val="20"/>
                <w:szCs w:val="20"/>
                <w:color w:val="auto"/>
              </w:rPr>
            </w:pPr>
            <w:r>
              <w:rPr>
                <w:rFonts w:ascii="Times New Roman" w:cs="Times New Roman" w:eastAsia="Times New Roman" w:hAnsi="Times New Roman"/>
                <w:sz w:val="14"/>
                <w:szCs w:val="14"/>
                <w:b w:val="1"/>
                <w:bCs w:val="1"/>
                <w:color w:val="auto"/>
              </w:rPr>
              <w:t>(dollars in millions)</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7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720" w:type="dxa"/>
            <w:vAlign w:val="bottom"/>
          </w:tcPr>
          <w:p>
            <w:pPr>
              <w:jc w:val="right"/>
              <w:ind w:right="56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(12.1)</w:t>
            </w:r>
          </w:p>
        </w:tc>
      </w:tr>
      <w:tr>
        <w:trPr>
          <w:trHeight w:val="230"/>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7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(27.4)</w:t>
            </w:r>
          </w:p>
        </w:tc>
        <w:tc>
          <w:tcPr>
            <w:tcW w:w="74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FF0FC"/>
          </w:tcPr>
          <w:p>
            <w:pPr>
              <w:spacing w:after="0"/>
              <w:rPr>
                <w:sz w:val="19"/>
                <w:szCs w:val="19"/>
                <w:color w:val="auto"/>
              </w:rPr>
            </w:pPr>
          </w:p>
        </w:tc>
      </w:tr>
      <w:tr>
        <w:trPr>
          <w:trHeight w:val="230"/>
        </w:trPr>
        <w:tc>
          <w:tcPr>
            <w:tcW w:w="54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80" w:type="dxa"/>
            <w:vAlign w:val="bottom"/>
            <w:tcBorders>
              <w:bottom w:val="single" w:sz="8" w:color="CFF0FC"/>
            </w:tcBorders>
          </w:tcPr>
          <w:p>
            <w:pPr>
              <w:spacing w:after="0"/>
              <w:rPr>
                <w:sz w:val="19"/>
                <w:szCs w:val="19"/>
                <w:color w:val="auto"/>
              </w:rPr>
            </w:pPr>
          </w:p>
        </w:tc>
      </w:tr>
      <w:tr>
        <w:trPr>
          <w:trHeight w:val="223"/>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720" w:type="dxa"/>
            <w:vAlign w:val="bottom"/>
            <w:shd w:val="clear" w:color="auto" w:fill="CFF0FC"/>
          </w:tcPr>
          <w:p>
            <w:pPr>
              <w:jc w:val="right"/>
              <w:ind w:right="563"/>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(32.8)</w:t>
            </w:r>
          </w:p>
        </w:tc>
        <w:tc>
          <w:tcPr>
            <w:tcW w:w="740" w:type="dxa"/>
            <w:vAlign w:val="bottom"/>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80" w:type="dxa"/>
            <w:vAlign w:val="bottom"/>
            <w:shd w:val="clear" w:color="auto" w:fill="CFF0FC"/>
          </w:tcPr>
          <w:p>
            <w:pPr>
              <w:spacing w:after="0"/>
              <w:rPr>
                <w:sz w:val="19"/>
                <w:szCs w:val="19"/>
                <w:color w:val="auto"/>
              </w:rPr>
            </w:pPr>
          </w:p>
        </w:tc>
      </w:tr>
      <w:tr>
        <w:trPr>
          <w:trHeight w:val="20"/>
        </w:trPr>
        <w:tc>
          <w:tcPr>
            <w:tcW w:w="54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approximately $12.9 million during the six months ended June 30, 2017 was primarily due to our net loss of $20.4 million and an increase in accounts payable of $0.1 million, partially offset by a $4.0 million increase in accrued collaborative expense, stock-based compensation expense of $2.5 million, a $0.6 million increase in accrued expenses, an decrease in prepaid expenses of $0.4 million and amortization of investments and debt discount of $0.1 million.</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approximately $12.1 million during the six months ended June 30, 2016 was primarily due to our net loss of $13.2 million, a $1.1 million decrease in accrued expenses and a $0.6 million decrease in accounts payable, partially offset by stock-based compensation expense of $1.6 million, a decrease of $0.9 million in prepaid expense and amortization of investments and debt discount of $0.3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22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of approximately $27.4 million during the six months ended June 30, 2017 was primarily due to the purchase of marketable securities.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of approximately $9.4 million during the six months ended June 30, 2016 was due to the maturity and redemption of marketable securities.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$7.5 million during the six months ended June 30, 2017 was primarily due to the proceeds from the exercise of common stock warrants of $9.4 million and the proceeds from the exercise of common stock options of $0.6 million, partially offset by the principal repayments under the Term A loans of $2.4 million and $0.1 million for fees paid in connection with the public offering of common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of $77.1 million during the six months ended June 30, 2016 was primarily due to gross proceeds from the June 2016 public stock offering of $57.5 million less costs of $3.6 million, proceeds from the exercise of common stock warrants of $22.2 million and proceeds from the sale of common stock in a private placement of $1.0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June 30, 2017, there were no material changes in our contractual obligations and commitments from those disclosed in our Annual Report on Form 10-K for the year ended December 31, 2016 as filed with the SEC on March 13, 2017. In June 2017, the Company entered into an Amendment to its Co-Development and License Agreement with Janssen, pursuant to which Janssen agreed to waive the remaining payments, due from the Company for Phase II development of MIN-202, which total approximately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9" w:name="page30"/>
    <w:bookmarkEnd w:id="29"/>
    <w:p>
      <w:pPr>
        <w:ind w:right="200"/>
        <w:spacing w:after="0" w:line="282" w:lineRule="auto"/>
        <w:rPr>
          <w:sz w:val="20"/>
          <w:szCs w:val="20"/>
          <w:color w:val="auto"/>
        </w:rPr>
      </w:pPr>
      <w:r>
        <w:rPr>
          <w:rFonts w:ascii="Times New Roman" w:cs="Times New Roman" w:eastAsia="Times New Roman" w:hAnsi="Times New Roman"/>
          <w:sz w:val="18"/>
          <w:szCs w:val="18"/>
          <w:color w:val="auto"/>
        </w:rPr>
        <w:t>$13 million, including accrued and unpaid balances as of June 30, 2017. The effectiveness of the amendment, however, is contingent upon approval of the transaction by the European Commission, which has not yet occurred as of the date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under SEC rules.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our Annual Report on Form 10-K for the fiscal year ended December 31, 2016, our most critical accounting policies and estimates upon which our financial status depends were identified as those relating to stock-based compensation; research and development costs; in-process research and development; business combinations; goodwill; JOBS act; net operating losses and tax credit carryforwards; and impairment of long-lived assets. We reviewed our policies and determined that those policies remain our most critical accounting policies for the six months ended June 30,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and are adopted by us as of the specified effective date. Our significant accounting policies are described in Note 2 to our condensed consolidated financial statements appearing elsewhere in this Form 10-Q. Except as described in Note 2, we believe that the impact of other recently issued accounting pronouncements will not have a material impact on consolidated financial position, results of operations, and cash flows, or do not apply to our operations.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Market risk is the potential loss arising from adverse changes in market rates and market prices such as interest rates, foreign currency exchange rates, and changes in the market value of equity instruments. We do not believe we are currently exposed to any material market risk because the interest rate under our Term A loan is fixed, our exposure for fluctuations in foreign exchange rates is not material and we do not hold equity instruments. As of June 30, 2017, we had $27.4 million of marketable securities, which consisted primarily of corporate bonds, with fixed interest rates. These securities have a weighted-average remaining maturity of 1 months. Due to the overall short-term remaining maturities of our marketable securities, our interest rate exposure is not significant.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Securities Exchange Act of 1934, or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as appropriate to allow timely decisions regarding required disclosure.</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June 30, 2017. Based on the evaluation of our disclosure controls and procedures as of June 30, 2017, our Chief Executive Officer and Chief Financial Officer concluded that, as of such date, our disclosure controls and procedures were effective at a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other changes in internal control over financial reporting during the Company’s latest fiscal quarter that would have materially affected, or are reasonably likely to materially affect, the Company’s internal control over financial reporting.</w:t>
      </w: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553"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the progress and timing of our clinical programs, the safety and efficacy of our product candidates, risks associated with regulatory filings, risks associated with determinations made by regulatory agencies, the potential clinical benefits and market potential of our product candidates, commercial market estimates, future development efforts, patent protection, effects of healthcare reform, reliance on third parties, and other risks set forth below. The risk factors set forth below with an asterisk (*) next to the title are new risk factors or risk factors containing changes, which may be material, from the risk factors previously disclosed in Item 1A of our Annual Report on Form 10-K for the fiscal year ended December 31, 2016, as filed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5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are a clinical development-stage biopharmaceutical company. In November 2013, we merged with Sonkei Pharmaceuticals, Inc., or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 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are not profitable and have incurred losses in each period since our inception in 2007. For the six months ended June 30, 2017, and 2016, we reported net losses of $20.4 million and $13.2 million, respectively. As of June 30, 2017, we had an accumulated deficit of $153.3 million.</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85"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5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operations and the historic operations of Sonkei and Mind-NRG have consumed substantial amounts of cash since inception. We expect our research and development expenses to increase substantially in connection with our ongoing activities, particularly as we advance our product candidates into clinical trials.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31" w:name="page32"/>
    <w:bookmarkEnd w:id="31"/>
    <w:p>
      <w:pPr>
        <w:ind w:right="20"/>
        <w:spacing w:after="0" w:line="256" w:lineRule="auto"/>
        <w:rPr>
          <w:sz w:val="20"/>
          <w:szCs w:val="20"/>
          <w:color w:val="auto"/>
        </w:rPr>
      </w:pPr>
      <w:r>
        <w:rPr>
          <w:rFonts w:ascii="Times New Roman" w:cs="Times New Roman" w:eastAsia="Times New Roman" w:hAnsi="Times New Roman"/>
          <w:sz w:val="18"/>
          <w:szCs w:val="18"/>
          <w:color w:val="auto"/>
        </w:rPr>
        <w:t>As of June 30, 2017, we had cash, cash equivalents and marketable securities of $77.6 million. We believe that our existing cash, cash equivalents and marketable securities will be sufficient to meet our cash commitments for at least the next 12 months after the date that the interim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and the level of financial resources available.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funding requirements, both short and long-term, will depend on many factors, including:</w:t>
      </w:r>
    </w:p>
    <w:p>
      <w:pPr>
        <w:spacing w:after="0" w:line="225" w:lineRule="exact"/>
        <w:rPr>
          <w:sz w:val="20"/>
          <w:szCs w:val="20"/>
          <w:color w:val="auto"/>
        </w:rPr>
      </w:pPr>
    </w:p>
    <w:p>
      <w:pPr>
        <w:ind w:left="1040" w:right="740" w:hanging="519"/>
        <w:spacing w:after="0" w:line="261"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ind w:left="1040" w:right="820" w:hanging="519"/>
        <w:spacing w:after="0" w:line="265" w:lineRule="auto"/>
        <w:tabs>
          <w:tab w:leader="none" w:pos="10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ind w:left="1040" w:right="480" w:hanging="519"/>
        <w:spacing w:after="0" w:line="250"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 and</w:t>
      </w:r>
    </w:p>
    <w:p>
      <w:pPr>
        <w:spacing w:after="0" w:line="9" w:lineRule="exact"/>
        <w:rPr>
          <w:rFonts w:ascii="Times New Roman" w:cs="Times New Roman" w:eastAsia="Times New Roman" w:hAnsi="Times New Roman"/>
          <w:sz w:val="18"/>
          <w:szCs w:val="18"/>
          <w:color w:val="auto"/>
        </w:rPr>
      </w:pPr>
    </w:p>
    <w:p>
      <w:pPr>
        <w:ind w:left="1040" w:right="160" w:hanging="519"/>
        <w:spacing w:after="0" w:line="261"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estimates regarding fair value of intangible assets may result in an adverse impact on our results of operations.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test goodwill and in-process research and development for impairment annually or more frequently if changes in circumstances or the occurrence of events suggest impairment exists. The test for impairment of in-process research and development requires us to make several estimates about fair value, most of which are based on projected future cash flows. Changes in these estimates may result in the recognition of an impairment loss in our results of operations. An impairment analysis is performed whenever events or changes in circumstances indicate that the carrying amount of any individual asset may not be recoverable. For example, if we or our counterparties fail to perform our respective obligations under an agreement, or if we lack sufficient funding to develop our product candidates, an impairment may result. In addition, any significant change in market conditions, estimates or judgments used to determine expected future cash flows that indicate a reduction in carrying value may give rise to impairment in the period that the change becomes known.</w:t>
      </w:r>
    </w:p>
    <w:p>
      <w:pPr>
        <w:spacing w:after="0" w:line="185"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plan to use potential future operating losses and our federal and state net operating loss, or NOL, carryforwards to offset taxable income from revenue generated from operations or corporate collaborations. However, our ability to use existing NOL carryforwards may be limited as a result of issuance of equity securities.</w:t>
      </w:r>
    </w:p>
    <w:p>
      <w:pPr>
        <w:spacing w:after="0" w:line="1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December 31, 2016, we had approximately $49.3 million of Federal NOL carryforwards. These Federal NOL carryforwards will begin to expire at various dates beginning in 2027, if not utilized. We plan to use our operating losses to offset any potential future taxable income generated from operations or collaborations. To the extent we generate taxable income, we plan to use our existing NOL carryforwards and future losses to offset income that would otherwise be taxable. If substantial changes in ownership have occurred, there could be annual limitations on the amount of carryforwards that can be realized in future periods. We have not performed a detailed analysis to determine whether an ownership change occurred upon consummation of the merger between us and Sonkei, upon the acquisition of Mind-NRG or our initial public offering or the concurrent private placements. However, as a result of</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2" w:name="page33"/>
    <w:bookmarkEnd w:id="32"/>
    <w:p>
      <w:pPr>
        <w:spacing w:after="0" w:line="274" w:lineRule="auto"/>
        <w:rPr>
          <w:sz w:val="20"/>
          <w:szCs w:val="20"/>
          <w:color w:val="auto"/>
        </w:rPr>
      </w:pPr>
      <w:r>
        <w:rPr>
          <w:rFonts w:ascii="Times New Roman" w:cs="Times New Roman" w:eastAsia="Times New Roman" w:hAnsi="Times New Roman"/>
          <w:sz w:val="17"/>
          <w:szCs w:val="17"/>
          <w:color w:val="auto"/>
        </w:rPr>
        <w:t>these transactions, it is likely that an ownership change has occurred. Therefore, it is likely that some or all of our existing NOL carryforwards would be limited by the provisions of Section 382 of the United States Internal Revenue Code of 1986, as amended. Further, state NOL carryforwards may be similarly limited. We had approximately $41.4 million of state net operating carryforwards at December 31, 2016. It is also possible that future changes in ownership, including as a result of subsequent sales of securities by us or our stockholders, could similarly limit our ability to utilize NOL carryforwards. It is possible that all of our existing NOL carryforwards have been or will be disallowed.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give any assurance that any of our product candidates will receive regulatory approval in a timely manner or at all, which is necessary before they can be commercialized.</w:t>
      </w:r>
    </w:p>
    <w:p>
      <w:pPr>
        <w:spacing w:after="0" w:line="15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regulatory approval process is expensive and the time required to obtain approval from the EMA, FDA or other regulatory authorities in other jurisdictions to sell any product is uncertain and may take years.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Whether regulatory approval will be granted is unpredictable and depends upon numerous factors, including the substantial discretion of the regulatory authorities. Moreover, the filing of a marketing application, including a New Drug Application, or NDA, or Biologics License Application, or BLA, requires a payment of a significant user fee upon submission. The filing of marketing applications for our product candidates may be delayed due to our lack of financial resources to pay such user fee.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If, following submission, our application is not accepted for substantive review or approval, the EMA, FDA or other comparable foreign regulatory authorities may require that we conduct additional clinical or pre-clinical trials, provide additional data, manufacture additional validation batches or develop additional analytical tests methods before they will reconsider our application. If the EMA, FDA or other comparable foreign regulatory authorities requires additional studies or data, we would incur increased costs and delays in the marketing approval process, which may require us to expend more resources than we have available. In addition, the EMA, FDA or other comparable foreign regulatory authorities may not consider sufficient any additional required trials, data or information that we perform or provide, or we may decide, or be required, to abandon the program.</w:t>
      </w:r>
    </w:p>
    <w:p>
      <w:pPr>
        <w:spacing w:after="0" w:line="18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Moreover,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225" w:lineRule="exact"/>
        <w:rPr>
          <w:sz w:val="20"/>
          <w:szCs w:val="20"/>
          <w:color w:val="auto"/>
        </w:rPr>
      </w:pPr>
    </w:p>
    <w:p>
      <w:pPr>
        <w:ind w:left="1040" w:hanging="519"/>
        <w:spacing w:after="0" w:line="254"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FDA or other regulatory authorities may disagree with the design or implementation of our clinical trials. We have not yet consulted with the EMA or the FDA on the design and conduct of the clinical trials that have already been conducted or that we intend to conduct. Thus, the EMA, FDA and other comparable foreign authorities may not agree with the design or implementation of these trials. We intend to seek guidance from the EMA in relation to the European Union clinical trial program and the FDA on the design and conduct of clinical trials of our compounds when we initiate a clinical program in the United States in the future.</w:t>
      </w:r>
    </w:p>
    <w:p>
      <w:pPr>
        <w:spacing w:after="0" w:line="3" w:lineRule="exact"/>
        <w:rPr>
          <w:rFonts w:ascii="Times New Roman" w:cs="Times New Roman" w:eastAsia="Times New Roman" w:hAnsi="Times New Roman"/>
          <w:sz w:val="18"/>
          <w:szCs w:val="18"/>
          <w:color w:val="auto"/>
        </w:rPr>
      </w:pPr>
    </w:p>
    <w:p>
      <w:pPr>
        <w:ind w:left="1040" w:right="440" w:hanging="519"/>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EMA, FDA or other regulatory authorities that a product candidate is safe and effective for its proposed indication.</w:t>
      </w:r>
    </w:p>
    <w:p>
      <w:pPr>
        <w:ind w:left="1040" w:right="360" w:hanging="519"/>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EMA, FDA or other regulatory authorities for approval.</w:t>
      </w: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any safety risks.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FDA or other regulatory authorities may disagree with our interpretation of data from pre-clinical studies or clinical trials.</w:t>
      </w:r>
    </w:p>
    <w:p>
      <w:pPr>
        <w:spacing w:after="0" w:line="9" w:lineRule="exact"/>
        <w:rPr>
          <w:rFonts w:ascii="Times New Roman" w:cs="Times New Roman" w:eastAsia="Times New Roman" w:hAnsi="Times New Roman"/>
          <w:sz w:val="18"/>
          <w:szCs w:val="18"/>
          <w:color w:val="auto"/>
        </w:rPr>
      </w:pPr>
    </w:p>
    <w:p>
      <w:pPr>
        <w:ind w:left="1040" w:right="420" w:hanging="519"/>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of our product candidates may not be sufficient to support an NDA or other submission or to obtain regulatory approval in the United States or elsewhere.</w:t>
      </w:r>
    </w:p>
    <w:p>
      <w:pPr>
        <w:ind w:left="1040" w:right="100" w:hanging="519"/>
        <w:spacing w:after="0" w:line="250"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FDA or other regulatory authorities may fail to approve the manufacturing processes or facilities of third-party manufacturers with which we contract for clinical and commercial supplies.</w:t>
      </w:r>
    </w:p>
    <w:p>
      <w:pPr>
        <w:ind w:left="1040" w:right="400" w:hanging="519"/>
        <w:spacing w:after="0" w:line="261"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EMA, FDA or other regulatory authorities may significantly change in a manner rendering our clinical data insufficient for approval.</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53" w:right="299" w:bottom="1440" w:gutter="0" w:footer="0" w:header="0"/>
        </w:sectPr>
      </w:pPr>
    </w:p>
    <w:bookmarkStart w:id="33" w:name="page34"/>
    <w:bookmarkEnd w:id="33"/>
    <w:p>
      <w:pPr>
        <w:ind w:right="240"/>
        <w:spacing w:after="0" w:line="256" w:lineRule="auto"/>
        <w:rPr>
          <w:sz w:val="20"/>
          <w:szCs w:val="20"/>
          <w:color w:val="auto"/>
        </w:rPr>
      </w:pPr>
      <w:r>
        <w:rPr>
          <w:rFonts w:ascii="Times New Roman" w:cs="Times New Roman" w:eastAsia="Times New Roman" w:hAnsi="Times New Roman"/>
          <w:sz w:val="18"/>
          <w:szCs w:val="18"/>
          <w:color w:val="auto"/>
        </w:rPr>
        <w:t>Even if we obtain approval for a particular product, regulatory authorities may approve that product for fewer or more limited indications, including more limited patient populations, than we request, may require that contraindications, warnings, or precautions be included in the product labeling, including a black box warning, may grant approval contingent on the performance of costly post-marketing clinical trials or other post-market requirements, including risk evaluation and mitigation strategies, or REMS, or may approve a product candidate with a label that does not include the labeling claims necessary or desirable for the successful commercialization of that product. Any of the foregoing could materially harm the commercial prospects for our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earlier clinical trials may not be predictive of the results of later-stage clinical trials.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results of pre-clinical studies and early clinical trials of our product candidates may not be predictive of the results of later-stage clinical trials. Interpretation of results from early, usually smaller, trials that suggest positive trends in some subjects, require caution. Results from later stages of clinical trials enrolling more subjects may fail to show the desired safety and efficacy results or otherwise fail to be consistent with the results of earlier trials of the same product candidate. This may occur for a variety of reasons, including differences in trial design, trial endpoints (or lack of trial endpoints in exploratory studies), subject population, number of subjects, subject selection criteria, trial duration, drug dosage and formulation or due to the lack of statistical power in the earlier trials. A number of companies in the pharmaceutical and biotechnology industries have suffered significant setbacks in advanced clinical trials due to lack of efficacy or unacceptable safety profiles, notwithstanding promising results in earlier trials.</w:t>
      </w:r>
    </w:p>
    <w:p>
      <w:pPr>
        <w:spacing w:after="0" w:line="18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clinical trials conducted at sites outside the United States may not be accepted by the FDA and the results of clinical trials conducted at sites in the United States may not be accepted by international regulatory authorities.</w:t>
      </w:r>
    </w:p>
    <w:p>
      <w:pPr>
        <w:spacing w:after="0" w:line="15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plan to conduct our clinical trials outside the United States. Although the FDA may accept data from clinical trials conducted outside the United States, acceptance of this data would be subject to certain conditions imposed by the FDA. For example, the clinical trial must be well-designed and conducted and performed by qualified investigators in accordance with ethical safeguards such as institutional review board, or IRB, or ethics committee approval and informed consent. The study population must also adequately represent the applicable United States population, and the data must be applicable to the American population and medical practice in ways that the FDA deems clinically meaningful. In addition, while clinical trials conducted outside of the United States are subject to the applicable local laws, FDA acceptance of the data from such trials will be dependent upon its determination that the trials were conducted consistent with all applicable United States laws and regulations. There can be no assurance the FDA will accept data from trials conducted outside of the United States as adequate support of a marketing application, and it is not unusual for the FDA to require some Phase III clinical trial data to be generated in the United States. If the FDA does not accept the data from our international clinical trials, it would likely result in the need for additional trials in the United States, which would be costly and time-consuming and could delay or permanently halt the development of one or more of our product candidates.</w:t>
      </w:r>
    </w:p>
    <w:p>
      <w:pPr>
        <w:spacing w:after="0" w:line="18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15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do not know whether our clinical trials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and completion of clinical development can be delayed or halted for a number of reasons, including:</w:t>
      </w:r>
    </w:p>
    <w:p>
      <w:pPr>
        <w:spacing w:after="0" w:line="225" w:lineRule="exact"/>
        <w:rPr>
          <w:sz w:val="20"/>
          <w:szCs w:val="20"/>
          <w:color w:val="auto"/>
        </w:rPr>
      </w:pPr>
    </w:p>
    <w:p>
      <w:pPr>
        <w:ind w:left="1040" w:right="680" w:hanging="519"/>
        <w:spacing w:after="0" w:line="261"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regulatory approval to commence a clinical trial or complying with conditions imposed by a regulatory authority regarding the scope or term of a clinical trial;</w:t>
      </w:r>
    </w:p>
    <w:p>
      <w:pPr>
        <w:ind w:left="1040" w:right="140" w:hanging="519"/>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or failure to reach agreement on acceptable terms with prospective clinical research organizations, or CROs, and trial sites, which can be subject to extensive negotiation and may vary significantly among different CROs and trial sites;</w:t>
      </w:r>
    </w:p>
    <w:p>
      <w:pPr>
        <w:ind w:left="1040" w:right="860" w:hanging="519"/>
        <w:spacing w:after="0" w:line="250"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from the trial protocol by clinical trial sites and investigators, or failing to conduct the trial in accordance with regulatory requirements;</w:t>
      </w: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 parties, such as CROs, to satisfy their contractual duties or meet expected deadlines;</w:t>
      </w:r>
    </w:p>
    <w:p>
      <w:pPr>
        <w:spacing w:after="0" w:line="9" w:lineRule="exact"/>
        <w:rPr>
          <w:rFonts w:ascii="Times New Roman" w:cs="Times New Roman" w:eastAsia="Times New Roman" w:hAnsi="Times New Roman"/>
          <w:sz w:val="18"/>
          <w:szCs w:val="18"/>
          <w:color w:val="auto"/>
        </w:rPr>
      </w:pPr>
    </w:p>
    <w:p>
      <w:pPr>
        <w:ind w:left="1040" w:right="260" w:hanging="519"/>
        <w:spacing w:after="0" w:line="265" w:lineRule="auto"/>
        <w:tabs>
          <w:tab w:leader="none" w:pos="10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insufficient or inadequate supply or quantity of product material for use in trials due to delays in the importation and manufacture of clinical supply, including delays in the testing, validation, and delivery of the clinical supply of the investigational drug to the clinical trial sites;</w:t>
      </w:r>
    </w:p>
    <w:p>
      <w:pPr>
        <w:ind w:left="1040" w:hanging="519"/>
        <w:spacing w:after="0"/>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identification and auditing of central or other laboratories and the transfer and validation of assays or tests to be used;</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34" w:name="page35"/>
    <w:bookmarkEnd w:id="34"/>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having subjects complete participation in a trial or return for post-treatment follow-up;</w:t>
      </w:r>
    </w:p>
    <w:p>
      <w:pPr>
        <w:spacing w:after="0" w:line="27" w:lineRule="exact"/>
        <w:rPr>
          <w:rFonts w:ascii="Times New Roman" w:cs="Times New Roman" w:eastAsia="Times New Roman" w:hAnsi="Times New Roman"/>
          <w:sz w:val="18"/>
          <w:szCs w:val="18"/>
          <w:color w:val="auto"/>
        </w:rPr>
      </w:pPr>
    </w:p>
    <w:p>
      <w:pPr>
        <w:ind w:left="1040" w:right="160" w:hanging="519"/>
        <w:spacing w:after="0" w:line="250"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obtaining IRB or ethics committee approval to conduct a trial at a prospective site, or complying with conditions imposed by IRBs or ethics committees;</w:t>
      </w:r>
    </w:p>
    <w:p>
      <w:pPr>
        <w:ind w:left="1040" w:right="180" w:hanging="519"/>
        <w:spacing w:after="0" w:line="250"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recruiting and enrolling subjects to participate in clinical trials for a variety of reasons, including competition from other programs for the treatment of similar conditions;</w:t>
      </w: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or unexpected drug-related adverse events experienced by subjects in a clinical trial;</w:t>
      </w:r>
    </w:p>
    <w:p>
      <w:pPr>
        <w:spacing w:after="0" w:line="9" w:lineRule="exact"/>
        <w:rPr>
          <w:rFonts w:ascii="Times New Roman" w:cs="Times New Roman" w:eastAsia="Times New Roman" w:hAnsi="Times New Roman"/>
          <w:sz w:val="18"/>
          <w:szCs w:val="18"/>
          <w:color w:val="auto"/>
        </w:rPr>
      </w:pPr>
    </w:p>
    <w:p>
      <w:pPr>
        <w:ind w:left="1040" w:hanging="519"/>
        <w:spacing w:after="0" w:line="250"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retaining subjects who have initiated a clinical trial but may be prone to withdraw due to side effects from the therapy, lack of efficacy or personal issues, which are common among schizophrenia and MDD subjects who we require for our clinical trials of two of our product candidates, MIN-101 and MIN-117;</w:t>
      </w:r>
    </w:p>
    <w:p>
      <w:pPr>
        <w:spacing w:after="0" w:line="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adding new investigators and clinical sites;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sites from clinical trials;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and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imposed by the European Union national regulatory authorities, the FDA or IRBs or ethics committees.</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Clinical trials may also be delayed as a result of ambiguous or negative interim results. In addition, clinical trials may be suspended or terminated by us, an IRB or ethics committee overseeing the clinical trial at a trial site (with respect to that site), the European Union national regulatory authorities or the FDA due to a number of factors, including:</w:t>
      </w:r>
    </w:p>
    <w:p>
      <w:pPr>
        <w:spacing w:after="0" w:line="176" w:lineRule="exact"/>
        <w:rPr>
          <w:sz w:val="20"/>
          <w:szCs w:val="20"/>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conduct the clinical trial in accordance with regulatory requirements, the trial protocols and applicable laws;</w:t>
      </w:r>
    </w:p>
    <w:p>
      <w:pPr>
        <w:spacing w:after="0" w:line="27" w:lineRule="exact"/>
        <w:rPr>
          <w:rFonts w:ascii="Times New Roman" w:cs="Times New Roman" w:eastAsia="Times New Roman" w:hAnsi="Times New Roman"/>
          <w:sz w:val="18"/>
          <w:szCs w:val="18"/>
          <w:color w:val="auto"/>
        </w:rPr>
      </w:pPr>
    </w:p>
    <w:p>
      <w:pPr>
        <w:ind w:left="1040" w:right="80" w:hanging="519"/>
        <w:spacing w:after="0" w:line="250"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observations during inspection of the clinical trial operations or trial sites by the EMA, FDA or other comparable foreign regulatory authorities that ultimately result in the imposition of a clinical hold;</w:t>
      </w: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or</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Failure to conduct a clinical trial in accordance with regulatory requirements, the trial protocols and applicable laws may also result in the inability to use the data from such trial to support product approval. Additionally, changes in regulatory requirements and guidance may occur, and we may need to amend clinical trial protocols to reflect these changes. Amendments may require us to resubmit our clinical trial protocols to the EMA, FDA, IRBs or ethics committees for reexamination, which may impact the costs, timing and successful completion of a clinical trial. Many of the factors that cause, or lead to, a delay in the commencement or completion of a clinical trial may also ultimately lead to the denial of regulatory approval of the associated product candidate. If we experience delays in completion of, or if we terminate any of our clinical trials, our ability to obtain regulatory approval for our product candidates may be materially harmed, and our commercial prospects and ability to generate product revenues will be diminished.</w:t>
      </w:r>
    </w:p>
    <w:p>
      <w:pPr>
        <w:spacing w:after="0" w:line="18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in advancing product candidates beyond Phase II, which makes it difficult to assess our ability to develop and commercialize our product candidates.</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have no experience in progressing clinical trials past Phase II, obtaining regulatory marketing approvals or commercializing product candidates. We merged with Sonkei and acquired Mind-NRG and have limited operating history since the respective merger and acquisition. We may encounter unforeseen expenses, difficulties, complications, delays and other known or unknown factors in pursuing our business objectives. 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enroll subjects in clinical trials, we will be unable to complete these trials on a timely basis or at all.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timely completion of clinical trials largely depends on subject enrollment. Many factors affect subject enrollment, including:</w:t>
      </w:r>
    </w:p>
    <w:p>
      <w:pPr>
        <w:spacing w:after="0" w:line="225" w:lineRule="exact"/>
        <w:rPr>
          <w:sz w:val="20"/>
          <w:szCs w:val="20"/>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subject population;</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 we enroll;</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subjects;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subject consents;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subjects will drop out before completion; and</w:t>
      </w:r>
    </w:p>
    <w:p>
      <w:pPr>
        <w:spacing w:after="0" w:line="9" w:lineRule="exact"/>
        <w:rPr>
          <w:rFonts w:ascii="Times New Roman" w:cs="Times New Roman" w:eastAsia="Times New Roman" w:hAnsi="Times New Roman"/>
          <w:sz w:val="18"/>
          <w:szCs w:val="18"/>
          <w:color w:val="auto"/>
        </w:rPr>
      </w:pPr>
    </w:p>
    <w:p>
      <w:pPr>
        <w:ind w:left="1040" w:right="440" w:hanging="519"/>
        <w:spacing w:after="0" w:line="261" w:lineRule="auto"/>
        <w:tabs>
          <w:tab w:leader="none" w:pos="10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subjects’ perceptions as to the potential advantages or disadvantages of the drug being studied in relation to other available therapies, including any new drugs that may be approved for the indications we are investigating.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spacing w:after="0" w:line="261" w:lineRule="auto"/>
        <w:rPr>
          <w:sz w:val="20"/>
          <w:szCs w:val="20"/>
          <w:color w:val="auto"/>
        </w:rPr>
      </w:pPr>
      <w:r>
        <w:rPr>
          <w:rFonts w:ascii="Times New Roman" w:cs="Times New Roman" w:eastAsia="Times New Roman" w:hAnsi="Times New Roman"/>
          <w:sz w:val="18"/>
          <w:szCs w:val="18"/>
          <w:color w:val="auto"/>
        </w:rPr>
        <w:t>We rely on CROs and clinical trial sites to ensure the proper and timely conduct of our clinical trials in Europe and, we expect, eventually in the United States and, while we have agreements governing their committed activities, we have limited influence over their actual performance. We may also experience difficulties enrolling subjects for our clinical trials relating to MIN-101 and MIN-117 due to the mental health of the subjects that we will need to enroll, related diagnoses and drop-out rates.</w:t>
      </w:r>
    </w:p>
    <w:p>
      <w:pPr>
        <w:spacing w:after="0" w:line="176"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clinical trials may fail to demonstrate adequately the safety and efficacy of our product candidates, which could prevent or delay regulatory approval and commercialization, and also increase costs.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and failures can occur at any stage of testing. Clinical trials often fail to demonstrate safety and statistically significant efficacy of the product candidate studied for the target indication in later stages of clinical development. For example, although we believe our Phase IIb trial with MIN-101 met its primary endpoint as we observed the statistically significant benefit of MIN-101 over placebo in improving negative symptoms in patients with schizophrenia, we must conduct pivotal, Phase III trials with MIN-101 that may fail to demonstrate safety and efficacy. Our Phase IIa trial with MIN-117, while we observed a reduction in depressive symptoms, was designed to detect a signal of efficacy and not to demonstrate statistically significant differences between MIN-117 and placebo. Further clinical trials with MIN-117 will need to be statistically powered to demonstrate such differences. Regulatory authorities may find that our studies do not support, in combination with other studies, approval of our product candidates for the target indication. In addition, our product candidates may be associated with undesirable side effects or have characteristics that are unexpected, which may result in abandoning their development or regulatory authorities restricting or denying marketing approval. For instance, prior clinical studies indicated that MIN-101 and MIN-117 may cause adverse events, including, but not limited to, dizziness, vital sign changes, central nervous system events, cardiac events, including prolongation of the QT/QTc interval, and gastrointestinal events. Most product candidates that commence clinical trials are never approved by the applicable regulatory authorities.</w:t>
      </w:r>
    </w:p>
    <w:p>
      <w:pPr>
        <w:spacing w:after="0" w:line="18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the case of our product candidates, MIN-101 and MIN-117, we are seeking to develop treatments for schizophrenia and MDD, which adds a layer of complexity to our clinical trials and may delay regulatory approval. We do not fully understand the cause and pathophysiology of schizophrenia and MDD, and our results will rely on subjective subject feedback, which is inherently difficult to evaluate, can be influenced by factors outside of our control and can vary widely from day to day for a particular subject, and from subject to subject and site to site within a clinical study. The placebo effect may also have a more significant impact on our clinical trials.</w:t>
      </w:r>
    </w:p>
    <w:p>
      <w:pPr>
        <w:spacing w:after="0" w:line="1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our product candidates are not shown to be both safe and effective in clinical trials, we will not be able to obtain regulatory approval or commercialize our product candidates.</w:t>
      </w:r>
    </w:p>
    <w:p>
      <w:pPr>
        <w:spacing w:after="0" w:line="15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focus on a limited number of research programs and product candidates. For instance, at the present time we are prioritizing the clinical trials and development of the most advanced of our product candidates, MIN-101. As a result, we may forego or delay pursuit of opportunities with other product candidates, including MIN-117, MIN-202 and MIN-301,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w:t>
      </w:r>
    </w:p>
    <w:p>
      <w:pPr>
        <w:spacing w:after="0" w:line="18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clinical trials, we cannot predict when or if we will obtain marketing approval to commercialize a product candidate or the approval may be for a more narrow indication than we expect.</w:t>
      </w:r>
    </w:p>
    <w:p>
      <w:pPr>
        <w:spacing w:after="0" w:line="15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We cannot commercialize a product candidate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marketing approval from the relevant regulatory agencies. Additional delays may result if the EMA, FDA,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6" w:name="page37"/>
    <w:bookmarkEnd w:id="36"/>
    <w:p>
      <w:pPr>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Even if we obtain regulatory approval for a product candidate, product candidates may be approved for fewer or more limited indications, including more limited subject populations, than we request, and regulatory authorities may require that contraindications, warnings, or precautions be included in the product labeling, including a black box warning, may grant approval contingent on the performance of costly post-marketing clinical trials or other post-market requirements, such as REMS, may require post-marketing surveillance, or may approve a product candidate with a label that does not include the labeling claims necessary or desirable for the successful commercialization of that product candidate. For instance, in 2007, the FDA requested that makers of all antidepressant medications update existing black box warnings about increased risk of suicidal thought and behavior in young adults, ages 18 to 24, during initial treatment. If approved for marketing, our drugs may be required to carry warnings similar to this and other class-wide warnings.</w:t>
      </w:r>
    </w:p>
    <w:p>
      <w:pPr>
        <w:spacing w:after="0" w:line="18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Any approved products would further be subject to ongoing requirements imposed by the EMA, FDA, and other comparable foreign regulatory authorities governing the manufacture, quality control, further development, labeling, packaging, storage, distribution, safety surveillance, import, export, advertising, promotion, marketing, recordkeeping and reporting of safety and other post-market information. If there are any modifications to the drug, including changes in indications, labeling, manufacturing processes or facilities, or if new safety issues arise, a new or supplemental NDA, post-implementation notification or other reporting may be required or requested, which may require additional data or additional pre-clinical studies and clinical trials.</w:t>
      </w:r>
    </w:p>
    <w:p>
      <w:pPr>
        <w:spacing w:after="0" w:line="1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EMA, FDA and other comparable foreign regulatory authorities will continue to closely monitor the safety profile of any product even after approval. If the EMA, FDA or other comparable foreign regulatory authorities become aware of new adverse safety information after approval of any of our product candidates, a number of potentially significant negative consequences could result, including:</w:t>
      </w:r>
    </w:p>
    <w:p>
      <w:pPr>
        <w:spacing w:after="0" w:line="176" w:lineRule="exact"/>
        <w:rPr>
          <w:sz w:val="20"/>
          <w:szCs w:val="20"/>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suspend marketing of, or withdraw or recall, such product;</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or otherwise restrict the product’s indicated use, label, or marketing;</w:t>
      </w:r>
    </w:p>
    <w:p>
      <w:pPr>
        <w:spacing w:after="0" w:line="9" w:lineRule="exact"/>
        <w:rPr>
          <w:rFonts w:ascii="Times New Roman" w:cs="Times New Roman" w:eastAsia="Times New Roman" w:hAnsi="Times New Roman"/>
          <w:sz w:val="18"/>
          <w:szCs w:val="18"/>
          <w:color w:val="auto"/>
        </w:rPr>
      </w:pPr>
    </w:p>
    <w:p>
      <w:pPr>
        <w:ind w:left="1040" w:right="140" w:hanging="519"/>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EMA, FDA or other comparable foreign regulatory bodies may issue safety alerts, Dear Healthcare Provider letters, press releases or other communications containing warnings about such product;</w:t>
      </w:r>
    </w:p>
    <w:p>
      <w:pPr>
        <w:ind w:left="1040" w:right="100" w:hanging="519"/>
        <w:spacing w:after="0" w:line="250" w:lineRule="auto"/>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the establishment or modification of a REMS or the EMA or a comparable foreign regulatory authority may require the establishment or modification of a similar strategy that may, for instance, require us to issue a medication guide outlining the risks of such side effects for distribution to subjects or restrict distribution of our products and impose burdensome implementation requirements on us;</w:t>
      </w:r>
    </w:p>
    <w:p>
      <w:pPr>
        <w:spacing w:after="0" w:line="1"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that we conduct post-marketing studies or surveillance;</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 and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including contracted facilities, are subject to continual review and periodic inspections by national regulatory authorities in the European Union, the FDA and other regulatory authorities for compliance with current Good Manufacturing Practices, or cGMP, regulations and standards. The European Union cGMP guidelines are as set forth in Commission Directive 2003/94/EC of October 8, 2003. If we or a regulatory agency or authority discover previously unknown problems with a product, such as adverse events of unanticipated severity or frequency, the product’s stability (changes in levels of impurities or dissolution profile) or problems with the facility where the product is manufactured, we may be subject to reporting obligations, additional testing and additional sampling, and a regulatory agency or authority may impose restrictions on that product, the manufacturing facility, our suppliers, or us, including requiring recall or withdrawal of the product from the market or suspension of manufacturing. If we, our product candidates, the manufacturing facilities for our product candidates, our CROs, or other persons or entities working on our behalf fail to comply with applicable regulatory requirements either before or after marketing approval, a regulatory agency may, depending on the stage of product development and approval:</w:t>
      </w:r>
    </w:p>
    <w:p>
      <w:pPr>
        <w:spacing w:after="0" w:line="186" w:lineRule="exact"/>
        <w:rPr>
          <w:sz w:val="20"/>
          <w:szCs w:val="20"/>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adverse inspectional findings;</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or Untitled Letters;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and update labels or package inserts;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37" w:name="page38"/>
    <w:bookmarkEnd w:id="37"/>
    <w:p>
      <w:pPr>
        <w:ind w:left="1040" w:right="40" w:hanging="519"/>
        <w:spacing w:after="0" w:line="261"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criminal and/or administrative penalties, damages or monetary fines or imprisonment;</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terminate any ongoing clinical studies;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 us from submitting or assisting in the submission of new regulatory applications;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government contracts;</w:t>
      </w:r>
    </w:p>
    <w:p>
      <w:pPr>
        <w:spacing w:after="0" w:line="9" w:lineRule="exact"/>
        <w:rPr>
          <w:rFonts w:ascii="Times New Roman" w:cs="Times New Roman" w:eastAsia="Times New Roman" w:hAnsi="Times New Roman"/>
          <w:sz w:val="18"/>
          <w:szCs w:val="18"/>
          <w:color w:val="auto"/>
        </w:rPr>
      </w:pPr>
    </w:p>
    <w:p>
      <w:pPr>
        <w:ind w:left="1040" w:right="240" w:hanging="519"/>
        <w:spacing w:after="0" w:line="250" w:lineRule="auto"/>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restrictions on marketing or manufacturing of the product, or the imposition of costly new manufacturing requirements or use of alternative suppliers; or</w:t>
      </w:r>
    </w:p>
    <w:p>
      <w:pPr>
        <w:ind w:left="1040" w:hanging="519"/>
        <w:spacing w:after="0"/>
        <w:tabs>
          <w:tab w:leader="none" w:pos="1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products and generate revenue.</w:t>
      </w:r>
    </w:p>
    <w:p>
      <w:pPr>
        <w:spacing w:after="0" w:line="22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 the United States, including, but not limited to, their advertising and promotion, will further be heavily scrutinized by the FDA, the United States Department of Justice, the United States Department of Health and Human Services’ Office of Inspector General, state attorneys general, members of Congress and the public. Violations of applicable law, including advertising, marketing and promotion of our products for unapproved (or off-label) uses, are subject to enforcement letters, inquiries and investigations, and civil, criminal and/or administrative sanctions by regulatory agencies. Additionally, comparable foreign regulatory authorities will heavily scrutinize advertising and promotion of any product candidate that obtains approval outside of the United States. In this regard, advertising and promotion of medicines in the European Union is governed by Directive 2001/83 EC, as amended, and any such activities which we may undertake in the European Union will have to be in strict compliance with the same. Any advertising of a prescription medicinal product to the public and any promotion of a medicinal product that does not have marketing authorization or is not promoted in accordance with that marketing authorization is prohibited. Advertisements and promotions of medicinal products are monitored nationally in the European Union, and each country will have its own additional advertising laws and industry governing bodies, whose obligations may go further than those set out in Directive 2001/83. For instance, in the United Kingdom the code of practice of the Association of the British Pharmaceutical Industry (the lead United Kingdom trade association) is considerably stricter than applicable legislative requirements. Any violations and sanctions will similarly be decided and administered by the relevant country’s national authority.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United States, engaging in the impermissible promotion of products for off-label uses can also subject the entity engaging in such conduct to false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claims litigation under federal and state statutes, which can lead to civil, criminal and/or administrative penalties, damages, monetary fines, disgorgement,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exclusion from participation in Medicare, Medicaid and other federal healthcare programs, curtailment or restructuring of its operations and agreements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materially restrict the manner in which it promotes or distributes drug products. Accordingly, we are subject to the federal civil False Claims Act,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prohibits persons and entities from knowingly filing, or causing to be filed, a false claim, or the knowing use of false statements, to obtain payment from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government. Certain suits filed under the civil False Claims Act, known as “qui tam” actions, can be brought by any individual on behalf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and such individuals, commonly known as “whistleblowers,” may share in certain amounts paid by the entity to the government in fines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When an entity is determined to have violated the civil False Claims Act, it may be required to pay up to three times the actual damages sustained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government, plus civil penalties for each separate false claim. Various states have also enacted laws modeled after the federal civil False Claims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 We are also subject to the federal criminal False Claims Act, which imposes criminal fines or imprisonment against individuals or entities who make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 a claim to the government knowing such claim to be false, fictitious, or fraudulent. Additionally, we may be subject to civil monetary penalties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imposed against any person or entity that, among other things, is determined to have presented or caused to be presented a claim to a federal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that the person knows or should know is for an item or service that was not provided as claimed or is false or fraudulent.</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False Claims Act lawsuits against pharmaceutical companies have increased significantly in volume and breadth, leading to substantial civil and criminal settlements regarding certain sales practices, including promoting off-label drug uses. This growth in litigation has increased the risk that a pharmaceutical company will have to defend a false claims action, pay settlement fines or restitution, agree to comply with burdensome reporting and compliance obligations, and/or be excluded from Medicare, Medicaid and other federal and state healthcare programs. If we do not lawfully promote our products, we may become subject to such litigation, which may have a material adverse effect on our business, financial condition and results of operations.</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While no definition of “off-label use” exists at the European Union level, promotion of a medicinal product for a purpose that has not been approved is strictly prohibited. Such promotion also gives rise to criminal prosecution in the European Union, and national healthcare supervisory authorities may impose administrative fines. Engaging in such promotions in the European Union could also lead to product liability claims, in accordance with EU product liability regime under Directive 85/374.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ind w:right="200"/>
        <w:spacing w:after="0" w:line="258" w:lineRule="auto"/>
        <w:rPr>
          <w:sz w:val="20"/>
          <w:szCs w:val="20"/>
          <w:color w:val="auto"/>
        </w:rPr>
      </w:pPr>
      <w:r>
        <w:rPr>
          <w:rFonts w:ascii="Times New Roman" w:cs="Times New Roman" w:eastAsia="Times New Roman" w:hAnsi="Times New Roman"/>
          <w:sz w:val="18"/>
          <w:szCs w:val="18"/>
          <w:color w:val="auto"/>
        </w:rPr>
        <w:t>The EMA’s, FDA’s, and other applicable government agencies’ policies may change and additional government regulations may be enacted that could prevent, limit or delay regulatory approval and marketing authorization, and the sale and promotion of our product candidates. If we are slow or unable to adapt to changes in existing requirements or the adoption of new requirements or policies, or if we are not able to maintain regulatory compliance, we may lose any marketing approval that we may have obtained, and be subject to civil, criminal and administrative enforcement, which would adversely affect our business, prospects and ability to achieve or sustain profitability.</w:t>
      </w:r>
    </w:p>
    <w:p>
      <w:pPr>
        <w:spacing w:after="0" w:line="1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pathway for our product candidate, MIN-301, has not yet been determined. Depending on the pathway, we may be subject to different regulatory requirements.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MIN-301 is a peptide, and, as a peptide, may be subject to the Public Health Service Act, or PHSA, and the Food, Drug, and Cosmetic Act, or FDCA. We have yet to meet with the FDA regarding the approval pathway for this product candidate. Based on the definition of a biologic in the PHSA, we believe that MIN-301 meets the definition of a biologic and, thus, we will need to submit a Biologics License Application, or BLA, for product approval. Moreover, based on an FDA intercenter agreement, we believe that MIN-301 will be regulated by the FDA’s Center for Drug Evaluation and Research. However, we intend to discuss jurisdiction with the FDA to determine the appropriate regulatory pathway and corresponding requirements. Depending on the pathway, we may be subject to different regulatory requirements, including different regulatory and testing requirements, shorter or longer periods of market exclusivity, and different approval processes for generic drug and biosimilar competitors.</w:t>
      </w:r>
    </w:p>
    <w:p>
      <w:pPr>
        <w:spacing w:after="0" w:line="18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or our collaborators develop are smaller than we believe, our revenue may be adversely affected and our business may suffer.</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product candidates are intended for the treatment of schizophrenia, MDD, insomnia and Parkinson’s disease. Our projections of both the number of people who have these disorders or disease, as well as the subsets of people who have the potential to benefit from treatment with our product candidates and who will pursue such treatment, are based on our beliefs and estimates that may prove to be inaccurate. For instance, with respect to schizophrenia and MDD, our estimates are based on the number of patients that suffer from schizophrenia and MDD, but these disorders are difficult to accurately diagnose and high rates of patients may not seek or continue treatment. Our estimates and beliefs are also based on the potential market of other drugs in development for schizophrenia and MDD, which may prove to be inaccurate and our advantages over such drugs may not be, or may not be perceived to be, as significant as we believe they are. If our estimates prove to be inaccurate, even if our products are approved, we may not be able to successfully commercialize them. In addition, the cause and pathophysiology of schizophrenia and MDD are not fully understood, and additional scientific understanding and future drug or non-drug therapies may make our product candidates obsolete.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product candidates are developed through pre-clinical to late stage clinical trials towards approval and commercialization, it is common that various aspects of the development program, such as manufacturing methods and formulation, are altered in an effort to optimize processes and results. Such changes carry the risk that they will not achieve these intended objectives. Any of these changes could cause our product candidates to perform differently and affect the results of planned clinical trials or future clinical trials to be conducted with the altered materials. Such changes may also require additional testing, EMA or FDA notification or EMA or FDA approval. This could delay completion of clinical trials, require the conduct of bridging clinical trials or the repetition of one or more clinical trials, increase clinical trial costs, delay approval of our product candidates and/or jeopardize our ability to commence product sales and generate revenue.</w:t>
      </w:r>
    </w:p>
    <w:p>
      <w:pPr>
        <w:spacing w:after="0" w:line="185"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additional international jurisdictions would prevent us from marketing our product candidates outside the European Union and the United States.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plan to seek regulatory approval to commercialize our product candidates in the European Union and, other than MIN-202, in the United States. We also expect to seek regulatory approval in additional foreign countries.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EMA or FDA approval. The regulatory approval process outside the European Union and United States generally includes risks substantially similar to those associated with obtaining EMA or FDA approval. In addition, in many countries outside the United States, we must secure product price and reimbursement approvals before regulatory authorities will approve the product for sale in that country or within a short time after receiving such marketing approval.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9" w:name="page40"/>
    <w:bookmarkEnd w:id="39"/>
    <w:p>
      <w:pPr>
        <w:ind w:right="20"/>
        <w:spacing w:after="0" w:line="256" w:lineRule="auto"/>
        <w:rPr>
          <w:sz w:val="20"/>
          <w:szCs w:val="20"/>
          <w:color w:val="auto"/>
        </w:rPr>
      </w:pPr>
      <w:r>
        <w:rPr>
          <w:rFonts w:ascii="Times New Roman" w:cs="Times New Roman" w:eastAsia="Times New Roman" w:hAnsi="Times New Roman"/>
          <w:sz w:val="18"/>
          <w:szCs w:val="18"/>
          <w:color w:val="auto"/>
        </w:rPr>
        <w:t>regulatory approval process in others. Also, regulatory approval for any of our product candidates may be withdrawn. If we fail to comply with the regulatory requirements in international markets or do not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especially because some foreign jurisdictions require prior approval of a treatment by the domestic regulatory agency. Our failure to obtain approval of any of our product candidates by regulatory authorities in another country may significantly diminish the commercial prospects of that product candidate and our business prospects could decline.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products before or more successfully than us.</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biopharmaceutical industry is intensely competitive and subject to rapid and significant technological change. We face competition with respect to our current product candidates and will face competition with respect to any future product candidates from major pharmaceutical companies, specialty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less costly and/or have a better safety profile than our products, and competitors may also be more successful than us in manufacturing and marketing their products.</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competitors will also compete with us in recruiting and retaining qualified scientific, management and commercial personnel, establishing clinical trial sites and subject registration for clinical trials, as well as in acquiring technologies complementary to, or necessary for, our programs.</w:t>
      </w:r>
    </w:p>
    <w:p>
      <w:pPr>
        <w:spacing w:after="0" w:line="16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There are numerous currently approved therapies for treating the same diseases or indications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regulatory exclusivity, while others are available on a generic basis. Insurers and other third-party payors may encourage the use of generic products or specific branded products. Moreover, it is difficult to predict the effect that introduction of biosimilars into the market will have on sales of the reference biologic product, which will depend on the FDA’s standards for interchangeability, the structure of government and commercial managed care formularies, and state laws on substitution of biosimilars. We expect that if our product candidates are approved, they will be priced at a significant premium over competitive generics and biosimilars. This may make it difficult for us to differentiate our products from currently approved therapies, which may adversely impact our business strategy.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 Moreover, many companies are developing new therapeutics, and we cannot predict what the standard of care will be as our product candidates progress through clinical development.</w:t>
      </w:r>
    </w:p>
    <w:p>
      <w:pPr>
        <w:spacing w:after="0" w:line="18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any of our drug candidates receives marketing approval, it may fail to achieve the degree of market acceptance by physicians, patients, third-party payors and others in the medical community necessary for commercial success.</w:t>
      </w:r>
    </w:p>
    <w:p>
      <w:pPr>
        <w:spacing w:after="0" w:line="159" w:lineRule="exact"/>
        <w:rPr>
          <w:sz w:val="20"/>
          <w:szCs w:val="20"/>
          <w:color w:val="auto"/>
        </w:rPr>
      </w:pPr>
    </w:p>
    <w:p>
      <w:pPr>
        <w:jc w:val="both"/>
        <w:ind w:right="220"/>
        <w:spacing w:after="0" w:line="256" w:lineRule="auto"/>
        <w:rPr>
          <w:sz w:val="20"/>
          <w:szCs w:val="20"/>
          <w:color w:val="auto"/>
        </w:rPr>
      </w:pPr>
      <w:r>
        <w:rPr>
          <w:rFonts w:ascii="Times New Roman" w:cs="Times New Roman" w:eastAsia="Times New Roman" w:hAnsi="Times New Roman"/>
          <w:sz w:val="18"/>
          <w:szCs w:val="18"/>
          <w:color w:val="auto"/>
        </w:rPr>
        <w:t>If any of our drug candidates receives marketing approval, it may nonetheless fail to gain sufficient market acceptance by physicians, patients, third-party payors and others in the medical community necessary for commercial success. If our drug candidates do not achieve an adequate level of acceptance, we may not generate significant revenue from drug sales and we may not become profitable. Our commercial success also depends on coverage and adequate reimbursement of our products by third-party payors, including government payors, which may be difficult or time-consuming to obtain, may be limited in scope or may not be obtained in all jurisdictions in which we may seek to market our products. The degree of market acceptance of our drug candidates, if approved for commercial sale, will depend on a number of factors, including:</w:t>
      </w:r>
    </w:p>
    <w:p>
      <w:pPr>
        <w:spacing w:after="0" w:line="188" w:lineRule="exact"/>
        <w:rPr>
          <w:sz w:val="20"/>
          <w:szCs w:val="20"/>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perceived and potential advantages compared to alternative treatments, including any similar generics and biosimilars;</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relative to alternative treatment;</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drugs for sale at competitive prices relative to alternative treatments;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40" w:name="page41"/>
    <w:bookmarkEnd w:id="40"/>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our marketing and distribution support;</w:t>
      </w:r>
    </w:p>
    <w:p>
      <w:pPr>
        <w:spacing w:after="0" w:line="9" w:lineRule="exact"/>
        <w:rPr>
          <w:rFonts w:ascii="Times New Roman" w:cs="Times New Roman" w:eastAsia="Times New Roman" w:hAnsi="Times New Roman"/>
          <w:sz w:val="18"/>
          <w:szCs w:val="18"/>
          <w:color w:val="auto"/>
        </w:rPr>
      </w:pPr>
    </w:p>
    <w:p>
      <w:pPr>
        <w:ind w:left="1040" w:right="180" w:hanging="519"/>
        <w:spacing w:after="0" w:line="250" w:lineRule="auto"/>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our products or the willingness of patients to pay out-of-pocket in the absence of coverage and adequate reimbursement by third-party payors;</w:t>
      </w: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drugs together with other medications.</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focus on CNS disorders, in particular, exposes us to an increased risk that serious side effects and disease events, including suicide, will occur during patient use of our products, even if such side effects and disease events are unrelated to the use of our products. Most approved CNS medicines carry boxed warnings for clinically significant adverse events, and our products may categorically need to carry such warnings as well.</w:t>
      </w:r>
    </w:p>
    <w:p>
      <w:pPr>
        <w:spacing w:after="0" w:line="172"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have no marketing and sales organization. If we are unable to establish marketing and sales capabilities or enter into agreements with third parties to market and sell our product candidates, we may not be able to effectively market and sell our product candidates, if approved, or generate product revenues.</w:t>
      </w:r>
    </w:p>
    <w:p>
      <w:pPr>
        <w:spacing w:after="0" w:line="1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We currently do not have a marketing or sales organization for the marketing, sales and distribution of pharmaceutical products. In order to commercialize any product candidates, we must build our marketing, sales, distribution, managerial and other non-technical capabilities or make arrangements with third parties to perform these services, and we may not be successful in doing so on commercially reasonable terms or at all.</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our product candidates receive regulatory approval, we intend to establish our sales and marketing organization with technical expertise and supporting distribution capabilities to commercialize our product candidates, which will be expensive and time consuming and may require substantial investments prior to any product candidate being granted regulatory approval. In selling, marketing and distributing our products ourselves, we face a number of additional risks, including:</w:t>
      </w:r>
    </w:p>
    <w:p>
      <w:pPr>
        <w:spacing w:after="0" w:line="180" w:lineRule="exact"/>
        <w:rPr>
          <w:sz w:val="20"/>
          <w:szCs w:val="20"/>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27" w:lineRule="exact"/>
        <w:rPr>
          <w:rFonts w:ascii="Times New Roman" w:cs="Times New Roman" w:eastAsia="Times New Roman" w:hAnsi="Times New Roman"/>
          <w:sz w:val="18"/>
          <w:szCs w:val="18"/>
          <w:color w:val="auto"/>
        </w:rPr>
      </w:pPr>
    </w:p>
    <w:p>
      <w:pPr>
        <w:ind w:left="1040" w:right="20" w:hanging="519"/>
        <w:spacing w:after="0" w:line="250"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educate adequate numbers of physicians on the clinical benefits of our products to achieve market acceptance;</w:t>
      </w:r>
    </w:p>
    <w:p>
      <w:pPr>
        <w:ind w:left="1040" w:right="320" w:hanging="519"/>
        <w:spacing w:after="0" w:line="250" w:lineRule="auto"/>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training sales personnel on legal compliance matters and monitoring their actions;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personnel failing to comply with the applicable legal requirements; and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Any failure or delay in the development of our internal sales, marketing and distribution capabilities would adversely impact the commercialization of these products.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 party relationship, we may have little control over such third parties, and any of these third parties may fail to devote the necessary resources and attention to sell, market and distribute our products effectively.</w:t>
      </w:r>
    </w:p>
    <w:p>
      <w:pPr>
        <w:spacing w:after="0" w:line="18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we are not successful in commercializing our product candidates, either on our own or through collaborations with one or more third parties, our future product revenue will suffer and we may incur significant additional losses.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41" w:name="page42"/>
    <w:bookmarkEnd w:id="41"/>
    <w:p>
      <w:pPr>
        <w:ind w:right="1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commercialize any of our product candidates, these products may become subject to unfavorable pricing regulations, third-party reimbursement practices or healthcare reform initiatives, which could harm our business.</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laws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countries, the pricing review period begins after marketing or product licensing approval is granted. Some countries require approval of the sale price of a drug before it can be marketed or soon thereafter. Additionally,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in one or more product candidates even if our product candidates obtain marketing approval.</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European Union, the pricing and reimbursement of prescription drugs is controlled by each member state.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in the current economic climate in Europe. There is very limited harmonization on member state pricing and reimbursement practices in the European Union.</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Reference pricing used by various European Union member states and parallel distribution, or arbitrage between low-priced and high-priced member states, can further reduce prices. In particular, Germany, Portugal and Spain have all introduced a number of short-term measures to lower healthcare spending, including mandatory discounts, clawbacks and price referencing rules, which could have a material adverse effect on our business.</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determine which medications they will cover and establish reimbursement levels.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8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In addition, in the United States, federal programs impose penalties on drug manufacturers in the form of mandatory additional rebates and/or discounts if commercial prices increase at a rate greater than the Consumer Price Index-Urban, and these rebates and/or discounts, which can be substantial, may impact our ability to raise commercial prices. Further,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8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2" w:name="page43"/>
    <w:bookmarkEnd w:id="42"/>
    <w:p>
      <w:pPr>
        <w:ind w:right="40"/>
        <w:spacing w:after="0" w:line="252"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EMA, FDA or comparable foreign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Prices paid for a drug also vary depending on the class of trade. Prices charged to government customers and certain customers that receive federal funds are subject to price controls, and private institutions may obtain discounts through group purchasing organizations or use formularies to leverage discounts.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Additionally, there has been increasing legislative and enforcement interest in the United States with respect to specialty drug pricing practices.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3"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commercialize our product candidates and affect the prices we may obtain.</w:t>
      </w:r>
    </w:p>
    <w:p>
      <w:pPr>
        <w:spacing w:after="0" w:line="15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In the United States and many foreign jurisdictions, the legislative landscape continues to evolve. There have been a number of enacted or proposed legislative and regulatory changes affecting the healthcare system and pharmaceutical industry that could, among other things, prevent or delay marketing approval of our product candidates, restrict or regulate post-approval activities and affect our ability to profitably sell any product candidate for which we obtain marketing approval.</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example, in March 2010, President Obama signed into law the Patient Protection and Affordable Care Act, as amended by the Health Care and Education Reconciliation Act of 2010, or, collectively, the ACA, a law intended to, among other things,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Some of the provisions of the ACA have yet to be implemented, and there have been judicial and Congressional challenges to certain aspects of the ACA. In addition, the current administration and Congress will likely continue to seek legislative and regulatory changes, including repeal and replacement of certain provisions of the ACA. In January 2017, President Trump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 or medical devices. We continue to evaluate the effect that the ACA and its possible repeal and replacement has on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 if any.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In some countries, particularly in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health technology assessment that compares the cost-effectiveness of our drug candidate to other available therapies. There can be no assurance that our products will be considered cost-effective, that an adequate level of reimbursement will be available or that a foreign country’s reimbursement policies will not adversely affect our ability to sell our products profitably.</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If reimbursement of our drugs is unavailable or limited in scope or amount, or if pricing is set at unsatisfactory levels, our business could be materially harmed.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foreign currency and exchange rate risks.</w:t>
      </w:r>
    </w:p>
    <w:p>
      <w:pPr>
        <w:spacing w:after="0" w:line="22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Because we plan to continue to conduct our clinical trials in Europe, we are exposed to currency fluctuations and exchange rate risks. The costs of our CROs may be incurred in Euros and we may pay them in Euros, however, we expect to keep the substantial portion of our cash, cash equivalents and marketable securities and private placement transactions, in United States Dollars. Therefore, fluctuations in foreign currencies, especially the Euro, could significantly impact our costs of conducting clinical trials. In addition, we may have to seek additional funding earlier than expected, which may not be available on acceptable terms or at all. Changes in the applicable currency exchange rates might negatively affect the profitability and business prospects of the third parties conducting our future clinical trials. This might cause such third parties to demand higher fees or discontinue their operations. These situations could in turn increase our costs or delays our clinical development, which could have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international operations could materially adversely affect our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to engage in significant cross-border activities, and we will be subject to risks related to international operations, including:</w:t>
      </w:r>
    </w:p>
    <w:p>
      <w:pPr>
        <w:spacing w:after="0" w:line="225" w:lineRule="exact"/>
        <w:rPr>
          <w:sz w:val="20"/>
          <w:szCs w:val="20"/>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maintaining approval of drugs in foreign countries;</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contractual and intellectual property rights in certain countries;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9" w:lineRule="exact"/>
        <w:rPr>
          <w:rFonts w:ascii="Times New Roman" w:cs="Times New Roman" w:eastAsia="Times New Roman" w:hAnsi="Times New Roman"/>
          <w:sz w:val="18"/>
          <w:szCs w:val="18"/>
          <w:color w:val="auto"/>
        </w:rPr>
      </w:pPr>
    </w:p>
    <w:p>
      <w:pPr>
        <w:ind w:left="1040" w:right="140" w:hanging="519"/>
        <w:spacing w:after="0" w:line="250"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North America;</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tighter restrictions on privacy and the collection and use of patient data; and</w:t>
      </w:r>
    </w:p>
    <w:p>
      <w:pPr>
        <w:spacing w:after="0" w:line="9" w:lineRule="exact"/>
        <w:rPr>
          <w:rFonts w:ascii="Times New Roman" w:cs="Times New Roman" w:eastAsia="Times New Roman" w:hAnsi="Times New Roman"/>
          <w:sz w:val="18"/>
          <w:szCs w:val="18"/>
          <w:color w:val="auto"/>
        </w:rPr>
      </w:pPr>
    </w:p>
    <w:p>
      <w:pPr>
        <w:ind w:left="1040" w:right="320" w:hanging="519"/>
        <w:spacing w:after="0" w:line="261" w:lineRule="auto"/>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or natural disasters including earthquakes, typhoons, floods and fires.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any of these issues were to occur, our business could be materially harmed.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successful in attracting and retaining highly qualified personnel, we may not be able to successfully implement our business strategy.</w:t>
      </w:r>
    </w:p>
    <w:p>
      <w:pPr>
        <w:spacing w:after="0" w:line="229"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especially Dr. Remy Luthringer, whose services are critical to the successful implementation of our product candidate development and regulatory strategies. We do not maintain “key man” insurance policies on the lives of these individuals or the lives of any of our other employees. In order to induce valuable employees to continue their employment with us, we have provided stock options that vest over time. The value to employees of stock options that vest over time is significantly affected by movements in our stock price that are beyond our control, and may at any time be insufficient to counteract more lucrative offers from other companies.</w:t>
      </w:r>
    </w:p>
    <w:p>
      <w:pPr>
        <w:spacing w:after="0" w:line="17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Despite our efforts to retain valuable employees, members of our management, scientific and development teams may terminate their employment with us on short notice. Pursuant to their employment arrangements, each of our executive officers may voluntarily terminate their employment at any time by providing as little as thirty days advance notice. Our employment arrangements, other than those with our executive officers, provide for at-will employment, which means that any of our employees (other than our executive officers) could leave our employment at any time, with or without notice. The loss of the services of any of our executive officers or other key employees and our inability to find suitable replacements could potentially harm our business, financial condition and prospects. Our success also depends on our ability to continue to attract, retain and motivate highly skilled junior, mid-level, and senior managers as well as junior, mid-level, and senior scientific and medical personnel.</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may not be able to attract or retain qualified management and scientific personnel in the future due to the intense competition for a limited number of qualified personnel among biopharmaceutical, biotechnology, pharmaceutical and other businesses.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 quality candidates than what we have to offer. If we are unable to continue to attract and retain high quality personnel, the rate and success at which we can develop and commercialize product candidates will be limited.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grow the size of our organization, and we may experience difficulties in managing this growth.</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June 30, 2017, we had eight full-time employees. As our development and commercialization plans and strategies develop, we expect to need additional managerial, operational, sales, marketing, financial and other resources. Future growth would impose significant added responsibilities on members of management, including:</w:t>
      </w:r>
    </w:p>
    <w:p>
      <w:pPr>
        <w:spacing w:after="0" w:line="176" w:lineRule="exact"/>
        <w:rPr>
          <w:sz w:val="20"/>
          <w:szCs w:val="20"/>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clinical trials effectively;</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maintaining, motivating and integrating additional employees;</w:t>
      </w:r>
    </w:p>
    <w:p>
      <w:pPr>
        <w:spacing w:after="0" w:line="9" w:lineRule="exact"/>
        <w:rPr>
          <w:rFonts w:ascii="Times New Roman" w:cs="Times New Roman" w:eastAsia="Times New Roman" w:hAnsi="Times New Roman"/>
          <w:sz w:val="18"/>
          <w:szCs w:val="18"/>
          <w:color w:val="auto"/>
        </w:rPr>
      </w:pPr>
    </w:p>
    <w:p>
      <w:pPr>
        <w:ind w:left="1040" w:right="200" w:hanging="519"/>
        <w:spacing w:after="0" w:line="250"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licensors, licensees, collaborators, contractors and other third parties;</w:t>
      </w:r>
    </w:p>
    <w:p>
      <w:pPr>
        <w:ind w:left="1040" w:hanging="519"/>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managerial, development, operational and finance systems; and</w:t>
      </w:r>
    </w:p>
    <w:p>
      <w:pPr>
        <w:spacing w:after="0" w:line="9" w:lineRule="exact"/>
        <w:rPr>
          <w:rFonts w:ascii="Times New Roman" w:cs="Times New Roman" w:eastAsia="Times New Roman" w:hAnsi="Times New Roman"/>
          <w:sz w:val="18"/>
          <w:szCs w:val="18"/>
          <w:color w:val="auto"/>
        </w:rPr>
      </w:pPr>
    </w:p>
    <w:p>
      <w:pPr>
        <w:ind w:left="1040" w:hanging="519"/>
        <w:spacing w:after="0" w:line="261"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our compliance infrastructure and processes to ensure compliance with complex regulations and industry standards regarding us and our product candidates.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our operations expand, we expect that we will need to manage additional relationships with various strategic partners, collaborators, suppliers and other third parties.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party to a loan and security agreement that contains operating and financial covenants that may restrict our business and financing activities.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January 16, 2015, we entered into a Loan and Security Agreement with Oxford Finance LLC and Silicon Valley Bank, providing for term loans to us in an aggregate principal amount of up to $15 million, in two tranches of $10 million and $5 million, respectively. We borrowed the first tranche in January 2015. In June 2016, we irrevocably elected not to borrow the additional $5 million available under the term loans. Borrowings under this loan and security agreement are secured by substantially all of our assets, excluding certain intellectual property rights. The loan and security agreement restricts our ability, among other things, to:</w:t>
      </w:r>
    </w:p>
    <w:p>
      <w:pPr>
        <w:spacing w:after="0" w:line="184" w:lineRule="exact"/>
        <w:rPr>
          <w:sz w:val="20"/>
          <w:szCs w:val="20"/>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any of our business or property, subject to limited exceptions;</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material changes to our business or management;</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resulting in significant changes to the voting control of our stock;</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changes to our organizational structure;</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or merge with other entities or acquire other entities;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 or create encumbrances on our assets;</w:t>
      </w:r>
    </w:p>
    <w:p>
      <w:pPr>
        <w:spacing w:after="0" w:line="9" w:lineRule="exact"/>
        <w:rPr>
          <w:rFonts w:ascii="Times New Roman" w:cs="Times New Roman" w:eastAsia="Times New Roman" w:hAnsi="Times New Roman"/>
          <w:sz w:val="18"/>
          <w:szCs w:val="18"/>
          <w:color w:val="auto"/>
        </w:rPr>
      </w:pPr>
    </w:p>
    <w:p>
      <w:pPr>
        <w:ind w:left="1040" w:right="220" w:hanging="519"/>
        <w:spacing w:after="0" w:line="250"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other than dividends paid solely in shares of our common stock, or make distributions on and, in certain cases, repurchase our stock;</w:t>
      </w: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our affiliates;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subordinated indebtedness; or</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20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we are required under our loan agreement to comply with various affirmative operating covenants. The operating covenants and restrictions and obligations in our loan and security agreement, as well as any future financing agreements that we may enter into, may restrict our ability to finance our operations, engage in business activities or expand or fully pursue our business strategies. Our ability to comply with these covenants may be affected by events beyond our control, and we may not be able to meet those covenants. A breach of any of these covenants could result in a default under the loan and security agreement, which could cause all of the outstanding indebtedness under the facility to become immediately due and payable and eliminate our eligibility to receive additional loans under the agreement.</w:t>
      </w:r>
    </w:p>
    <w:p>
      <w:pPr>
        <w:spacing w:after="0" w:line="188"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cash available to repay our debt obligations when they become due and payable, either as when such obligations become due, when they mature, or in the event of a default, we may not be able to obtain additional debt or equity financing on favorable terms, if at all, which may negatively impact our business operations and financial condition.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mergers or joint ventures could disrupt our business and otherwise harm our business.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actively evaluate various strategic transactions on an ongoing basis and may acquire other businesses, products or technologies as well as pursue strategic alliances, joint ventures or investments in complementary businesses. We merged with Sonkei in November 2013 and acquired Mind-NRG in February 2014, but otherwise do not have any substantial experience integrating or managing acquired businesses or assets. Strategic transactions expose us to many risks, including:</w:t>
      </w:r>
    </w:p>
    <w:p>
      <w:pPr>
        <w:spacing w:after="0" w:line="180" w:lineRule="exact"/>
        <w:rPr>
          <w:sz w:val="20"/>
          <w:szCs w:val="20"/>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collaborators or suppliers as a result of such a transaction;</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liabilities related to acquired companies;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key employees;</w:t>
      </w:r>
    </w:p>
    <w:p>
      <w:pPr>
        <w:spacing w:after="0" w:line="9" w:lineRule="exact"/>
        <w:rPr>
          <w:rFonts w:ascii="Times New Roman" w:cs="Times New Roman" w:eastAsia="Times New Roman" w:hAnsi="Times New Roman"/>
          <w:sz w:val="18"/>
          <w:szCs w:val="18"/>
          <w:color w:val="auto"/>
        </w:rPr>
      </w:pPr>
    </w:p>
    <w:p>
      <w:pPr>
        <w:ind w:left="1040" w:right="460" w:hanging="519"/>
        <w:spacing w:after="0" w:line="250" w:lineRule="auto"/>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management of strategic alliances or joint ventures or acquisition integration challenges;</w:t>
      </w: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 and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write-offs or impairment charges relating to acquired businesses.</w:t>
      </w:r>
    </w:p>
    <w:p>
      <w:pPr>
        <w:spacing w:after="0" w:line="207"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Foreign acquisitions, such as the acquisition of Mind-NRG, a Swiss company,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(including on terms that are unfavorable to us that we are unable to repay or that may place burdensome restrictions on our operations),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brought by subjects enrolled in our clinical trials, patients, healthcare providers or others using, administering or selling our products.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w:t>
      </w:r>
    </w:p>
    <w:p>
      <w:pPr>
        <w:spacing w:after="0" w:line="185" w:lineRule="exact"/>
        <w:rPr>
          <w:sz w:val="20"/>
          <w:szCs w:val="20"/>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 candidates or products that we may develop;</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diversion of management’s time and our resources;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revisions, marketing or promotional restrictions;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from product sales; and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our product candidates.</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inability to obtain and retain sufficient product liability insurance at an acceptable cost to protect against potential product liability claims could prevent or inhibit the commercialization of products we develop. We do not currently carry any product liability insurance. Although we anticipate obtaining and maintaining such insurance in line with our needs for our upcoming trials, such insurance may be more costly than we anticipate and any claim that may be brought against us could result in a court judgment or settlement in an amount that is not covered, in whole or in part, by such insurance or that is in excess of the limits of such insurance coverage. We also expect our insurance policies will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are required to comply with the SEC’s rules that implement Section 404 of the Sarbanes-Oxley Act and the Committee on Sponsoring Organizations, or COSO, Report on Internal Control – Integrated Framework, which require, among other things, that we maintain effective internal controls for financial reporting and disclosure controls and procedures. Under Section 404 of the Sarbanes-Oxley Act, we are required to furnish a report by management on, among other things, the effectiveness of our internal control over financial reporting. This assessment must include disclosure of any material weaknesses identified by management in our internal control over financial reporting. A material weakness is a control deficiency, or combination of control deficiencies, in internal control over financial reporting that results in more than a reasonable possibility that a material misstatement of annual or interim financial statements will not be prevented or detected on a timely basis. Further, in our first annual report required to be filed with the SEC following the date we are no longer an “emerging growth company,” as defined in the JOBS Act, our independent registered public accounting firm will be required to attest to the effectiveness of our internal control over financial reporting.</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compliance with Section 404 requires that we compile the system and process documentation necessary to perform an appropriate evaluation. During the evaluation and testing process, if we identify one or more material weaknesses in our internal control over financial reporting, we will be unable to assert that our internal control over financial reporting is effective. While we have established certain procedures and control over our financial reporting processes, we cannot assure you that these efforts will prevent restatements of our financial statements in the future. If we identify any future significant deficiencies or material weaknesses, the accuracy and timing of our financial reporting may be adversely affected and we may be unable to maintain compliance with securities law requirements regarding timely filing of periodic reports. In addition, investors’ perceptions that our internal controls are inadequate or that we are unable to produce accurate financial statements on a timely basis may harm our stock price and business prospects.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Securities Exchange Act of 1934, as amended, or the Exchange Act. We designed our disclosure controls and procedures to reasonably assure us that the information we disclose in reports we file in accordance with the Exchange Act is accurate, complete, reviewed by management and reported within the required time period. We believe that any disclosure controls and procedures, no matter how well-conceived and operated, can provide only reasonable, not absolute, assurance that the objectives of the control system are met.</w:t>
      </w:r>
    </w:p>
    <w:p>
      <w:pPr>
        <w:spacing w:after="0" w:line="180"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Prior to November 2013, we operated without full time employees, relying on the services of consultants, including representatives of our former affiliate, Care Capital LLC, to provide certain accounting and finance functions. We have since hired personnel and continue to develop our disclosure control procedures; however, if we are unsuccessful in building an appropriate infrastructure, or unable to develop procedures and controls to ensure timely and accurate reporting, we may be unable to meet our disclosure requirements under the Exchange Act, which could adversely affect the market price of our common stock and impair our access to the capital markets.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47" w:name="page48"/>
    <w:bookmarkEnd w:id="47"/>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15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and independent contractors, such as principal investigators, CROs, manufacturers, consultants, commercial partners and vendors, could include failures to comply with EMA or FDA regulations, to provide accurate information to the FDA, to comply with manufacturing standards we have established, to comply with European, federal and state healthcare fraud and abuse laws, to report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certain activities related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sanctions, monetary penalties, and serious harm to our reputation. In addition, federal procurement laws impose substantial penalties for misconduct in connection with government contracts and require certain contractors to maintain a code of business ethics and conduct.</w:t>
      </w:r>
    </w:p>
    <w:p>
      <w:pPr>
        <w:spacing w:after="0" w:line="19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We have adopted a code of business ethics and conduct, but it is not always possible to identify and deter employee and independent contractor misconduct, and the precautions we take to detect and prevent improper activities may not be effective in controlling unknown or unmanaged risks or losses or in protecting us from governmental investigations or other actions or lawsuits stemming from a failure to be in compliance with such laws or regulations. If any such actions are instituted against us, those actions could have a significant impact on our business, including the imposition of civil, criminal and administrative penalties, damages, monetary fines, disgorgement, possible exclusion from participation in Medicare, Medicaid and other federal healthcare programs, contractual damages, reputational harm, diminished profits and future earnings and curtailment or restructuring of our operations, any of which could adversely affect our ability to operate.</w:t>
      </w:r>
    </w:p>
    <w:p>
      <w:pPr>
        <w:spacing w:after="0" w:line="18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Any relationships with healthcare professionals, principal investigators, consultants, customers (actual and potential) and third-party payors in connection with our current and future business activities may and may continue to be subject, directly or indirectly, to federal and state healthcare fraud and abuse laws, false claims laws, marketing expenditure tracking and disclosure (or “sunshine”) laws, government price reporting, and health information privacy and security laws. If we are unable to comply, or have not fully complied, with such laws, we could face penalties, contractual damages, reputational harm, diminished profits and future earnings and curtailment or restructuring of our operations.</w:t>
      </w:r>
    </w:p>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business operations and activities may be directly, or indirectly, subject to various federal, state and local healthcare laws, including, without limitation, the federal Anti-Kickback Statute and the federal False Claims Act. These laws may impact, among other things, our current activities with principal investigators and research subjects, as well as proposed and future sales, marketing and education programs. In addition, we may be subject to patient data privacy and security regulation by the federal government, state governments and foreign jurisdictions in which we conduct our business. The healthcare laws and regulations that may affect our ability to operate include, but are not limited to:</w:t>
      </w:r>
    </w:p>
    <w:p>
      <w:pPr>
        <w:spacing w:after="0" w:line="184" w:lineRule="exact"/>
        <w:rPr>
          <w:sz w:val="20"/>
          <w:szCs w:val="20"/>
          <w:color w:val="auto"/>
        </w:rPr>
      </w:pPr>
    </w:p>
    <w:p>
      <w:pPr>
        <w:ind w:left="1040" w:right="60" w:hanging="519"/>
        <w:spacing w:after="0" w:line="254"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and entities from knowingly and willfully soliciting, receiving, offering or paying any remuneration (including any kickback, bribe or rebate), directly or indirectly, overtly or covertly, in cash or in kind, to induce, or in return for, the referral of an individual for the furnishing or arranging for the furnishing of any item or service, or the purchase, lease, order, arrangement for, or recommendation of the purchase, lease, or order of any good, facility, item or service for which payment may be made, in whole or in part, under a federal healthcare program, such as the Medicare and Medicaid programs.</w:t>
      </w:r>
    </w:p>
    <w:p>
      <w:pPr>
        <w:spacing w:after="0" w:line="3" w:lineRule="exact"/>
        <w:rPr>
          <w:rFonts w:ascii="Times New Roman" w:cs="Times New Roman" w:eastAsia="Times New Roman" w:hAnsi="Times New Roman"/>
          <w:sz w:val="18"/>
          <w:szCs w:val="18"/>
          <w:color w:val="auto"/>
        </w:rPr>
      </w:pPr>
    </w:p>
    <w:p>
      <w:pPr>
        <w:ind w:left="1040" w:hanging="519"/>
        <w:spacing w:after="0" w:line="250"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which imposes civil penalties, including through civil whistleblower or qui tam actions, against individuals or entities for, among other things, knowingly presenting, or causing to be presented, to the federal government, claims for payment that are false or fraudulent; knowingly making, using or causing to be made or used, a false record or statement to get a false or fraudulent claim paid or approved by the government; conspiring to defraud the government by getting a false or fraudulent claim paid or approved by the government; or knowingly making, using or causing to be made or used a false record or statement to avoid, decrease or conceal an obligation to pay money to the federal government.</w:t>
      </w:r>
    </w:p>
    <w:p>
      <w:pPr>
        <w:spacing w:after="0" w:line="2" w:lineRule="exact"/>
        <w:rPr>
          <w:rFonts w:ascii="Times New Roman" w:cs="Times New Roman" w:eastAsia="Times New Roman" w:hAnsi="Times New Roman"/>
          <w:sz w:val="18"/>
          <w:szCs w:val="18"/>
          <w:color w:val="auto"/>
        </w:rPr>
      </w:pPr>
    </w:p>
    <w:p>
      <w:pPr>
        <w:ind w:left="1040" w:right="340" w:hanging="519"/>
        <w:spacing w:after="0" w:line="250"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False Claims Act, which imposes criminal fines or imprisonment against individuals or entities who make or present a claim to the government knowing such claim to be false, fictitious or fraudulent.</w:t>
      </w:r>
    </w:p>
    <w:p>
      <w:pPr>
        <w:ind w:left="1040" w:right="80" w:hanging="519"/>
        <w:spacing w:after="0" w:line="255"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48" w:name="page49"/>
    <w:bookmarkEnd w:id="48"/>
    <w:p>
      <w:pPr>
        <w:ind w:left="1040" w:right="240" w:hanging="519"/>
        <w:spacing w:after="0" w:line="255"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Veterans Health Care Act of 1992 that requires manufacturers of “covered drugs” to offer them for sale to certain federal agencies, including but not limited to, the Department of Veterans Affairs, on the Federal Supply Schedule, which requires compliance with applicable federal procurement laws and regulations and subjects manufacturers to contractual remedies as well as administrative, civil and criminal sanctions.</w:t>
      </w:r>
    </w:p>
    <w:p>
      <w:pPr>
        <w:spacing w:after="0" w:line="2" w:lineRule="exact"/>
        <w:rPr>
          <w:rFonts w:ascii="Times New Roman" w:cs="Times New Roman" w:eastAsia="Times New Roman" w:hAnsi="Times New Roman"/>
          <w:sz w:val="18"/>
          <w:szCs w:val="18"/>
          <w:color w:val="auto"/>
        </w:rPr>
      </w:pPr>
    </w:p>
    <w:p>
      <w:pPr>
        <w:ind w:left="1040" w:right="120" w:hanging="519"/>
        <w:spacing w:after="0" w:line="250"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3" w:lineRule="exact"/>
        <w:rPr>
          <w:rFonts w:ascii="Times New Roman" w:cs="Times New Roman" w:eastAsia="Times New Roman" w:hAnsi="Times New Roman"/>
          <w:sz w:val="18"/>
          <w:szCs w:val="18"/>
          <w:color w:val="auto"/>
        </w:rPr>
      </w:pPr>
    </w:p>
    <w:p>
      <w:pPr>
        <w:ind w:left="1040" w:right="200" w:hanging="519"/>
        <w:spacing w:after="0" w:line="250"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which impose requirements on certain covered healthcare providers, health plans and healthcare clearinghouses as well as their respective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2" w:lineRule="exact"/>
        <w:rPr>
          <w:rFonts w:ascii="Times New Roman" w:cs="Times New Roman" w:eastAsia="Times New Roman" w:hAnsi="Times New Roman"/>
          <w:sz w:val="18"/>
          <w:szCs w:val="18"/>
          <w:color w:val="auto"/>
        </w:rPr>
      </w:pPr>
    </w:p>
    <w:p>
      <w:pPr>
        <w:ind w:left="1040" w:right="380" w:hanging="519"/>
        <w:spacing w:after="0" w:line="250"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and its implementing regulations requires manufacturers of drugs, devices, biologicals and medical supplies for which payment is available under Medicare, Medicaid or the Children’s Health Insurance Program (with certain exceptions) to report annually to the United States Department of Health and Human Services, or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w:t>
      </w:r>
    </w:p>
    <w:p>
      <w:pPr>
        <w:spacing w:after="0" w:line="2" w:lineRule="exact"/>
        <w:rPr>
          <w:rFonts w:ascii="Times New Roman" w:cs="Times New Roman" w:eastAsia="Times New Roman" w:hAnsi="Times New Roman"/>
          <w:sz w:val="18"/>
          <w:szCs w:val="18"/>
          <w:color w:val="auto"/>
        </w:rPr>
      </w:pPr>
    </w:p>
    <w:p>
      <w:pPr>
        <w:ind w:left="1040" w:right="640" w:hanging="519"/>
        <w:spacing w:after="0" w:line="250"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and other activities that potentially harm consumers.</w:t>
      </w:r>
    </w:p>
    <w:p>
      <w:pPr>
        <w:ind w:left="1040" w:right="220" w:hanging="519"/>
        <w:spacing w:after="0" w:line="265" w:lineRule="auto"/>
        <w:tabs>
          <w:tab w:leader="none" w:pos="10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State law equivalents of each of the above federal laws, such as anti-kickback, false claims, consumer protection and unfair competition laws which may apply to our business practices, including but not limited to our research, distribution, sales and marketing arrangements and our practices for submitting claims involving healthcare items or services reimbursed by any third-party payors, including commercial insurers.</w:t>
      </w:r>
    </w:p>
    <w:p>
      <w:pPr>
        <w:ind w:left="1040" w:right="6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State laws may also (1) require that pharmaceutical companies comply with the pharmaceutical industry’s voluntary compliance guidelines and the relevant compliance guidance promulgated by the federal government that otherwise restrict the payments that may be made to healthcare providers, (2) require that drug manufacturers file reports with states regarding marketing information, such as the tracking and reporting of gifts, compensations and other remuneration and items of value provided to healthcare professionals and entities (compliance with such requirements may require investment in infrastructure to ensure that tracking is performed properly, and some of these laws result in the public disclosure of various types of payments and relationships, which could potentially have a negative effect on a pharmaceutical company’s business and/or increase enforcement scrutiny of its activities) and (3) govern the privacy and security of health information in certain circumstances. State laws are not uniform, may differ from each other in significant ways and may be applied with differing effects.</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addition, any sales of our products or product candidates once commercialized outside the United States will also likely subject us to foreign equivalents of the healthcare laws mentioned above, among other foreign laws such as, for instance, the UK Bribery Act 2010 other national anti-corruption legislation made as a consequence of a member states’ adherence to the OECD Convention on Combating Bribery of Foreign Public Officials in International Business Transactions, the European Union data protection regime set out in Directive 95/46/EC as implemented nationally by the member states, and European Union consumer laws protecting against defective products, including Directive 85/374/EEC. In addition, there are national laws and codes which are comparable to the United States “sunshine laws,” including certain provisions under the UK ABPI Code of Practice and French disclosure requirements on manufacturers to publicly disclose interactions with French health care professionals.</w:t>
      </w:r>
    </w:p>
    <w:p>
      <w:pPr>
        <w:spacing w:after="0" w:line="18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If our operations are found to be in violation of any of the laws described above or any other governmental regulations that apply to us, we may be subject to, without limitation, civil, criminal and administrative penalties, damages, monetary fines, disgorgement, possible exclusion from participation in Medicare, Medicaid and other federal healthcare programs, contractual damages, reputational harm, diminished profits and future earnings and curtailment or restructuring of our operations, any of which could adversely affect our ability to operate.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Foreign Corrupt Practices Act.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Foreign Corrupt Practices Act, or FCPA, is a United States law that generally prohibits covered entities and their intermediaries from engaging in bribery or making other prohibited payments, offers or promises to foreign officials for the purpose of obtaining or retaining business or other advantages. In addition, the FCPA imposes recordkeeping and internal controls requirements on publicly traded corporations and their foreign affiliates, which are intended to, among other things, prevent the diversion of corporate funds to the payment of bribes and other improper payments, and to prevent the establishment of “off books” slush funds from which such improper payments can be made.</w:t>
      </w:r>
    </w:p>
    <w:p>
      <w:pPr>
        <w:spacing w:after="0" w:line="18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service providers are subject to EU data protection laws. Failure to comply with such laws could harm our financial condition and operating results and involve distraction from other aspects of our business.</w:t>
      </w:r>
    </w:p>
    <w:p>
      <w:pPr>
        <w:spacing w:after="0" w:line="15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October 2015, the Court of Justice of the European Union, or CJEU, invalidated the EU-U.S. Safe Harbor Framework, which had established a means for legitimating the transfer of personal data, as the term is used in the context of the EU Data Protection Directive, to the U.S. and required U.S.-based companies that have certified with the Department of Commerce as part of the Safe Harbor Framework to provide assurance that they are adhering to relevant European standards for data protection. As Minerva is not Safe Harbor certified, the CJEU’s ruling invalidating the Safe Harbor has no direct effect on Minerva’s own compliance with EU data protection laws; however, in light of the CJEU’s recent decision, we are reviewing the practices of third party service providers with whom we work, which include the transfer of personal data between the European Economic Area, or EEA, and the U.S. to ensure that all data transfers to us comply with EU data protection laws. In February 2016, the EU Commission announced that it had reached agreement with the U.S. replacement regime to the Safe Harbor Framework, which is expected to be ratified in the EU in the next three to four months. We require our EEA-based services providers, and U.S.-based service providers undertaking clinical trials on our behalf in the EEA, to confirm that all of the personal data which we receive from them is legitimately transferred to us. In many cases we believe that patients and subjects consent to the transfer of their data in a manner which satisfies the requirements of EU data protection law. Where appropriate and pending the ratification of the replacement regime, we may require third party service providers to adopt an alternative means of legitimizing data transfers from the EEA, such as the Standard Contractual Clauses which have been approved by the EU Commission as a means of transferring data to the U.S. These confirmations and, if necessary, additional actions may involve substantial time and expense to both Minerva and its third party service providers, and could divert management’s attention and resources from other aspects of our business. If data transfers to the U.S. are not legitimized, the EU data protection authorities can impose a number of different sanctions, including fines and, ultimately, a prohibition on transfers, any of which could harm our business, financial condition and operating results.</w:t>
      </w:r>
    </w:p>
    <w:p>
      <w:pPr>
        <w:spacing w:after="0" w:line="192"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effectiveness of the amendment to our Co-Development Agreement with Janssen Pharmaceutica NV and the closing of the related Stock Repurchase Agreement is subject to certain conditions that are outside our control and there can be no assurance that the conditions will be met in a timely fashion, or at all.</w:t>
      </w:r>
    </w:p>
    <w:p>
      <w:pPr>
        <w:spacing w:after="0" w:line="17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In June 2017, we signed an amendment to our Co-Development and License Agreement with Janssen, pursuant to which Janssen agreed to forgo its right to royalties on MIN-202 insomnia sales in Minerva territories and agreed to make an upfront payment to us of $30 million upon effectiveness, in addition to other payments. In connection with this amendment, we also entered into a stock repurchase agreement with Johnson &amp; Johnson Innovation-JJDC Inc. to repurchase all of the approximately 3.9 million shares of our stock held by Johnson &amp; Johnson Innovation-JJDC Inc. at a per share price of $0.0001, for an aggregate purchase price of approximately $389.</w:t>
      </w:r>
    </w:p>
    <w:p>
      <w:pPr>
        <w:spacing w:after="0" w:line="1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effectiveness of both the amendment and the stock repurchase agreement are contingent upon approval of the transaction by the European Commission amongst other normal and customary closing conditions. While custom dictates an approval within thirty (30) days, as of the date of this prospectus, the European Commission has not yet approved the transaction. If the European Commission does not approve the transaction and our amendment is not effective and the repurchase does not close, it could have a material adverse effect on our business and cause the price of our common stock to decline.</w:t>
      </w:r>
    </w:p>
    <w:p>
      <w:pPr>
        <w:spacing w:after="0" w:line="17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we will achieve Breakthrough Therapy designation with the FDA for any of our product candidates. Even if we are able to achieve Breakthrough Therapy designation with the FDA for our product candidates, it may not lead to a faster development or regulatory review or approval process, and it does not increase the likelihood that our product candidates will receive marketing approval.</w:t>
      </w:r>
    </w:p>
    <w:p>
      <w:pPr>
        <w:spacing w:after="0" w:line="17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Our MIN-101 product candidate was initially denied Breakthrough Therapy designation by the FDA in June 2017, but we may in the future re-submit our request or seek Breakthrough Therapy designation for one or more of our other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0" w:name="page51"/>
    <w:bookmarkEnd w:id="50"/>
    <w:p>
      <w:pPr>
        <w:ind w:right="360"/>
        <w:spacing w:after="0" w:line="282" w:lineRule="auto"/>
        <w:rPr>
          <w:sz w:val="20"/>
          <w:szCs w:val="20"/>
          <w:color w:val="auto"/>
        </w:rPr>
      </w:pPr>
      <w:r>
        <w:rPr>
          <w:rFonts w:ascii="Times New Roman" w:cs="Times New Roman" w:eastAsia="Times New Roman" w:hAnsi="Times New Roman"/>
          <w:sz w:val="18"/>
          <w:szCs w:val="18"/>
          <w:color w:val="auto"/>
        </w:rPr>
        <w:t>efficient path for clinical development while minimizing the number of patients placed in ineffective control regimens. Drugs designated as breakthrough therapies by the FDA are also eligible for accelerated approval.</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and continue to expect to rely on third parties to conduct our future clinical trials. The failure of these third parties to successfully carry out their contractual duties or meet expected deadlines could substantially harm our business because we may not obtain regulatory approval for or commercialize our product candidates in a timely manner or at all.</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plan to rely upon third-party CROs to monitor and manage data for our future clinical programs. We will rely on these parties for execution of our clinical trials, and control only certain aspects of their activities. Nevertheless, we are responsible for ensuring that each of our studies is conducted in accordance with the applicable protocol and legal, regulatory and scientific standards, and our reliance on the CROs does not relieve us of our regulatory responsibilities. We and our CROs are required to comply with current GCPs, which are regulations and guidelines enforced by the FDA, the Competent Authorities of the Member States of the European Economic Area and comparable foreign regulatory authorities for all of our products in clinical development. Regulatory authorities enforce these GCPs through periodic inspections of trial sponsors, principal investigators and trial sites. If we or any of our CROs fail to comply with applicable GCP, the clinical data generated in our clinical trials may be deemed unreliable and the EMA, FDA or comparable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we must conduct our clinical trials with product produced under cGMP requirements. Failure to comply with these regulations may require us to repeat pre-clinical and clinical trials, which would delay the regulatory approval process.</w:t>
      </w:r>
    </w:p>
    <w:p>
      <w:pPr>
        <w:spacing w:after="0" w:line="19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CROs are not our employees, and except for remedies available to us under our agreements with such CROs, we cannot control whether or not they devote sufficient time and resources to our ongoing clinical, nonclinical and pre-clinical programs. These CROs may also have relationships with other commercial entities, including our competitors, for whom they may also be conducting clinical trials or other drug development activities that could harm our competitive position. If necessary, 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prospects, financial condition and results of operations.</w:t>
      </w:r>
    </w:p>
    <w:p>
      <w:pPr>
        <w:spacing w:after="0" w:line="185"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we may need to conduct additional trials,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adversely affected.</w:t>
      </w:r>
    </w:p>
    <w:p>
      <w:pPr>
        <w:spacing w:after="0" w:line="184" w:lineRule="exact"/>
        <w:rPr>
          <w:sz w:val="20"/>
          <w:szCs w:val="20"/>
          <w:color w:val="auto"/>
        </w:rPr>
      </w:pPr>
    </w:p>
    <w:p>
      <w:pPr>
        <w:jc w:val="both"/>
        <w:ind w:right="2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manufacturing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do not have any manufacturing facilities. For our product candidates, we rely, and expect to continue to rely, on third parties for the manufacturing of our drug candidates for pre-clinical and clinical testing, as well as for commercial manufacture if any of our drug candidates receive marketing approval. This reliance on third parties increases the risk that we will not have sufficient quantities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1" w:name="page52"/>
    <w:bookmarkEnd w:id="51"/>
    <w:p>
      <w:pPr>
        <w:ind w:right="40"/>
        <w:spacing w:after="0" w:line="282" w:lineRule="auto"/>
        <w:rPr>
          <w:sz w:val="20"/>
          <w:szCs w:val="20"/>
          <w:color w:val="auto"/>
        </w:rPr>
      </w:pPr>
      <w:r>
        <w:rPr>
          <w:rFonts w:ascii="Times New Roman" w:cs="Times New Roman" w:eastAsia="Times New Roman" w:hAnsi="Times New Roman"/>
          <w:sz w:val="18"/>
          <w:szCs w:val="18"/>
          <w:color w:val="auto"/>
        </w:rPr>
        <w:t>our drug candidates or drugs, or such quantities at an acceptable cost or quality, which could delay, prevent or impair our ability to timely conduct our clinical trials or our other development or commercialization efforts.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also expect to rely on third-party manufacturers or third-party collaborators for the manufacturing of commercial supply of any other drug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180" w:lineRule="exact"/>
        <w:rPr>
          <w:sz w:val="20"/>
          <w:szCs w:val="20"/>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breach of the manufacturing agreement by the third party;</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misappropriation of our proprietary information, including our trade secrets and know-how;</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and costs associated with changing suppliers, including additional regulatory filings; and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207"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7"/>
          <w:szCs w:val="17"/>
          <w:color w:val="auto"/>
        </w:rPr>
        <w:t>Moreover, the facilities used by our contract manufacturers to manufacture our products must be approved by the FDA pursuant to inspections that will be conducted after we submit our marketing application to the FDA. Other national regulatory authorities have comparable powers. While we are ultimately responsible for the manufacture of our product candidates, other than through our contractual arrangements, we do not control the manufacturing process of, and are completely dependent on, our contract manufacturing partners for compliance with cGMP requirements,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and/or maintain regulatory approval for their manufacturing facilities. In addition, other than through our contractual agreements,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w:t>
      </w:r>
    </w:p>
    <w:p>
      <w:pPr>
        <w:spacing w:after="0" w:line="17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Further, our suppliers are subject to regulatory requirements, covering manufacturing, testing, quality control, and record keeping relating to our product candidates,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Third-party manufacturers may not be able to comply with cGMP, regulations or similar regulatory requirements outside the United States. Additionally, our failure, or the failure of our third-party manufacturers, to comply with applicable regulations could result in sanctions being imposed on us, including clinical hold or termination, fines, imprisonment, injunctions, civil penalties, delays, suspension or withdrawal of approvals, license revocation, seizures, refusal to allow product import or export, Warning Letters, Untitled Letters, or recalls of drug candidates or drugs, operating restrictions and criminal prosecutions, any of which could significantly and adversely affect supplies of our drugs.</w:t>
      </w:r>
    </w:p>
    <w:p>
      <w:pPr>
        <w:spacing w:after="0" w:line="18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drugs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If our current contract manufacturers cannot perform as agreed, we may be required to replace such manufacturers and we may incur added costs and delays in identifying and qualifying any such replacement.</w:t>
      </w:r>
    </w:p>
    <w:p>
      <w:pPr>
        <w:spacing w:after="0" w:line="18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manufacturing of our drug candidates or drugs may adversely affect our future profit margins and our ability to commercialize any drugs that receive marketing approval on a timely and competitive basis.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2" w:name="page53"/>
    <w:bookmarkEnd w:id="52"/>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5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research and development activities involve the controlled use of potentially hazardous substances, including chemical and biological materials, by our third-party manufacturers. Our manufacturers are or will be subject to federal, state and local laws in the United States and in Europe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federal authorities or other equivalent national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is expensive, and current or future environmental regulations may impair our research, development and production efforts, which could harm our business, prospects, financial condition or results of operations.</w:t>
      </w:r>
    </w:p>
    <w:p>
      <w:pPr>
        <w:spacing w:after="0" w:line="182"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third party collaborators to market and commercialize our product candidates, who may fail to effectively commercialize our product candidates.</w:t>
      </w:r>
    </w:p>
    <w:p>
      <w:pPr>
        <w:spacing w:after="0" w:line="15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may utilize strategic partners or contract sales forces, where appropriate, to assist in the commercialization of our product candidates, if approved. We currently possess limited resources and may not be successful in establishing collaborations or co-promotion arrangements on acceptable terms, if at all. We also face competition in our search for collaborators and co-promoters. By entering into strategic collaborations or similar arrangements, we will rely on third parties for financial resources and for development, commercialization, sales and marketing and regulatory expertise. Any collaborators may fail to develop or effectively commercialize our product candidates because they cannot obtain the necessary regulatory approvals, they lack adequate financial or other resources or they decide to focus on other initiatives. Any failure to enter into collaboration or co-promotion arrangements or the failure of our third party collaborators to successfully market and commercialize our product candidates would diminish our revenues and harm our results of operations. In addition, conflicts may arise with our collaborators, such as conflicts concerning the interpretation of clinical data, the achievement of milestones, the interpretation of financial provisions or the ownership of intellectual property. If any conflicts arise with our collaborators, they may act in their self-interest, which may be adverse to our best interest.</w:t>
      </w:r>
    </w:p>
    <w:p>
      <w:pPr>
        <w:spacing w:after="0" w:line="182"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collaborations with Mitsubishi Tanabe Pharma Corporation, or MTPC, and Janssen Pharmaceutica NV and could be seriously harmed if our license agreements with MTPC and Janssen were terminated.</w:t>
      </w:r>
    </w:p>
    <w:p>
      <w:pPr>
        <w:spacing w:after="0" w:line="15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exclusively license MIN-101 and MIN-117 from MTPC, with the rights to develop, sell and import MIN-101 and MIN-117 globally, excluding most of Asia.</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co-development and license agreement with Janssen provides us with European Union commercialization rights for MIN-202 and the right to royalties on any sales of MIN-202 outside of the European Union. We are obligated to pay 40% of the development costs for MIN-202, subject to certain limits, and will only realize revenues from MIN-202 if it is approved and if our license agreement with Janssen is not terminated by Janssen. Janssen may terminate our license agreement following a material breach by us or certain insolvency events, including if we are unable to fund our portion of the development costs. As a result, we may never realize any revenues from the commercialization of MIN-202, even if approved. In addition, at certain development milestones, including the completion of a single dose Phase I clinical trial of MIN-202 in patients with MDD, Janssen has the right to opt out of its obligation to fund further development, and we may be unable to fund such development without Janssen’s financial support.</w:t>
      </w:r>
    </w:p>
    <w:p>
      <w:pPr>
        <w:spacing w:after="0" w:line="18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Even if we receive revenues on European Union sales or royalties on sales outside of the European Union under the Janssen license agreement, we may not receive revenues that equal or exceed the amount we are obligated to invest in MIN-202’s clinical development under the agreement. As a result, the license agreement for MIN-202 may never result in any profits to us and may have a material adverse effect on us or our business prospects.</w:t>
      </w:r>
    </w:p>
    <w:p>
      <w:pPr>
        <w:spacing w:after="0" w:line="172" w:lineRule="exact"/>
        <w:rPr>
          <w:sz w:val="20"/>
          <w:szCs w:val="20"/>
          <w:color w:val="auto"/>
        </w:rPr>
      </w:pPr>
    </w:p>
    <w:p>
      <w:pPr>
        <w:ind w:right="9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new collaborations which could adversely affect our ability to develop future product candidates and commercialize future products.</w:t>
      </w:r>
    </w:p>
    <w:p>
      <w:pPr>
        <w:spacing w:after="0" w:line="15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collaborating with Janssen on the development of MIN-202. We may also seek to enter into additional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collaborations or other alternative arrangements for any future product candidates because our research and development pipeline may be insufficient, our product candidates may be deemed to be at too early of a stage of development for</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3" w:name="page54"/>
    <w:bookmarkEnd w:id="53"/>
    <w:p>
      <w:pPr>
        <w:jc w:val="both"/>
        <w:spacing w:after="0" w:line="261" w:lineRule="auto"/>
        <w:rPr>
          <w:sz w:val="20"/>
          <w:szCs w:val="20"/>
          <w:color w:val="auto"/>
        </w:rPr>
      </w:pPr>
      <w:r>
        <w:rPr>
          <w:rFonts w:ascii="Times New Roman" w:cs="Times New Roman" w:eastAsia="Times New Roman" w:hAnsi="Times New Roman"/>
          <w:sz w:val="18"/>
          <w:szCs w:val="18"/>
          <w:color w:val="auto"/>
        </w:rPr>
        <w:t>collaboration efforts and/or third parties may view our product candidates as lacking the requisite potential to demonstrate safety and efficacy. As a result, we may have to delay the development of a product candidate and attempt to raise significant additional capital to fund development.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obtain or protect intellectual property rights, we may not be able to compete effectively in our market.</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None of these licenses give us the right to prepare, file and prosecute patent applications and maintain patents we have licensed, although we may provide comments on prosecution matters, which our licensors may or may not choose to follow. If our licensors elect to discontinue prosecution or maintenance of our licensed patents, we have the right, at our expense, to pursue and maintain those patents and applications.</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 Because the issuance of a patent is not conclusive as to its inventorship, scope, validity or enforceability, issued patents that we own or have licensed from third parties may be challenged in the courts or patent offices in the United States and abroad. Such challenges may result in the loss of patent protection, the narrowing of claims in such patents or the invalidity or unenforceability of such patents, which could limit our ability to stop others from using or commercializing similar or identical technology and products, or limit the duration of the patent protection for our technology and products.</w:t>
      </w:r>
    </w:p>
    <w:p>
      <w:pPr>
        <w:spacing w:after="0" w:line="1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that protect our technology or products, in whole or in part, or that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54" w:name="page55"/>
    <w:bookmarkEnd w:id="54"/>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One or more of our owned or licensed patents directed to our proprietary products or technologies may expire or have limited commercial life before the proprietary product or technology is approved for marketing in a relevant jurisdiction.</w:t>
      </w:r>
    </w:p>
    <w:p>
      <w:pPr>
        <w:spacing w:after="0" w:line="15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Given the amount of time required for the development, testing and regulatory review of new product candidates, patents protecting our product candidates might expire before or shortly after our product candidates obtain regulatory approval, which may subject us to increased competition and reduce or eliminate our ability to recover our development costs. As a result, our owned and licensed patent portfolio may not provide us with sufficient rights to exclude others from commercializing products similar or identical to ours. For example, our in-licensed U.S. and European patents covering composition of matter and pharmaceutical compositions of MIN-101, respectively, are expected to expire as soon as 2021. In addition, our in-licensed U.S. and European patents relating to pharmaceutical compositions and uses of MIN-117 to treat depression are expected to expire as soon as 2020. Finally, any patent that grants from our U.S. patent applications relating to methods of using MIN-301 to treat neurologic and psychiatric diseases is expected to expire as early as 2028. Although we expect to seek extensions of patent terms where available, including in the United States under the Drug Price Competition and Patent Term Restoration Act of 1984, which permits a patent term extension of up to five years beyond the expiration of the patent, we cannot be certain that an extension will be granted, or if granted, what the applicable time period or the scope of patent protection afforded during any extended period will be. The applicable authorities, including the EMA, FDA,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w:t>
      </w:r>
    </w:p>
    <w:p>
      <w:pPr>
        <w:spacing w:after="0" w:line="19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expiration of composition of matter patent protection with respect to one or more of our product candidates may diminish our ability to maintain a proprietary position for our intended uses of a particular product candidate. Moreover, we cannot be certain that we will be the first applicant to obtain an FDA approval for any indication of one or more of our product candidates and we cannot be certain that it will be entitled to new chemical entity, or NCE, exclusivity. Such diminution of our proprietary position could have a material adverse effect on our business, results of operations and financial condition.</w:t>
      </w:r>
    </w:p>
    <w:p>
      <w:pPr>
        <w:spacing w:after="0" w:line="17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in-licensed or acquired a portion of our intellectual property necessary to develop our product candidates, and if we fail to comply with our obligations under any of these arrangements, we could lose such intellectual property rights.</w:t>
      </w:r>
    </w:p>
    <w:p>
      <w:pPr>
        <w:spacing w:after="0" w:line="15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We are a party to and rely on several arrangements with third parties, which give us rights to intellectual property that is necessary for the development of our product candidates. In addition, we may enter into similar arrangements in the future. Our current arrangements impose various development, royalty and other obligations on us. If we materially breach these obligations or if our counterparts fail to adequately perform their respective obligations, these exclusive arrangements could be terminated, which would result in our inability to develop, manufacture and sell products that are covered by such intellectual property.</w:t>
      </w:r>
    </w:p>
    <w:p>
      <w:pPr>
        <w:spacing w:after="0" w:line="161"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Competitors may infringe our issued patents or other intellectual property. In some cases, it may be difficult or impossible to detect third-party infringement or misappropriation of our intellectual property rights, even in relation to issued patent claims, and proving any such infringement may be even more difficult. Accordingly, for such undetectable infringement or misappropriation our ability to recover damages will be negligible and we could be at a market disadvantage because we may lack the resources of some of our competitors to monitor for and detect infringement.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any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patents at risk of being invalidated or interpreted narrowly.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license or acquire additional patents and intellectual property rights.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One or more third parties may hold intellectual property rights, including patent rights,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If we were not able to obtain a license, or were not able to obtain a license on commercially reasonable terms, our business could be harmed, possibly materially.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5" w:name="page56"/>
    <w:bookmarkEnd w:id="55"/>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5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commercial success depends upon our ability to develop, manufacture, market and sell our products, and to use our related proprietary technologies. We may become party to, or threatened with, future adversarial proceedings or litigation regarding intellectual property rights with respect to our products, including interference or derivation proceedings before the U.S. Patent and Trademark Office, or the USPTO. Third parties may assert infringement claims against us based on existing patents or patents that may be granted in the future. If we are found to infringe a third party’s intellectual property rights, we could be required to obtain a license from such third party to continue commercializing our products. However, we may not be able to obtain any required license on commercially reasonable terms or at all. Under certain circumstances, we could be forced, including by court order, to cease commercializing our products. In addition, in any such proceeding or litigation, we could be found liable for monetary damages. Regardless of the outcome, such claims or litigation may be time-consuming and costly to defend, divert management resources and have other adverse effects on our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our patent rights relating to our product candidates may limit our ability to prevent third parties from competing against us.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success will depend, in part, on our ability to obtain and maintain patent protection for our product candidates, preserve our trade secrets, prevent third parties from infringing upon our proprietary rights and operate without infringing upon the proprietary rights of others. Composition-of-matter patents on the biological or chemical active pharmaceutical ingredient are generally considered to be the strongest form of intellectual property protection for pharmaceutical products, as such patents provide protection without regard to any method of use. We have filed and in-licensed composition-of-matter patent applications for all of our product candidates. However, we cannot be certain that the claims in our patent applications to inventions covering our product candidates will be considered patentable by the USPTO and courts in the United States or by the patent offices and courts in foreign countries.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composition-of-matter patents and patent applications, we also have filed method-of-use patent applications. This type of patent protects the use of the product only for the specified method. However, this type of patent does not prevent a competitor from making and marketing a product that is identical to our product for an indication that is outside the scope of the patented method. Moreover, even if these competitors do not actively promote their product for our targeted indication, physicians may prescribe these products “off-label.” Although off-label prescriptions may infringe or contribute to the infringement of method-of-use patents, the practice is common and such infringement is difficult to prevent or prosecute.</w:t>
      </w:r>
    </w:p>
    <w:p>
      <w:pPr>
        <w:spacing w:after="0" w:line="1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Patent applications in the United States and most other countries are confidential for a period of time until they are published, and publication of discoveries in scientific or patent literature typically lags actual discoveries by several months or more. As a result, we cannot be certain that we and the inventors of the issued patents and applications that we may in-license were the first to conceive of the inventions covered by such patents and pending patent applications or that we and those inventors were the first to file patent applications covering such inventions. Also, we have a number of issued patents and numerous patent applications pending before the USPTO and foreign patent offices and the patent protection may lapse before we manage to obtain commercial value from them, which might result in increased competition and materially affect our position in the market.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product candidates.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or collaborators’ ability to obtain patents in the future, this combination of events has created uncertainty with respect to the value of patents, once obtained. Depending on decisions by the United States Congress, the federal courts, and the USPTO, the laws and regulations governing patents could change in unpredictable ways that would weaken our and our licensors’ or collaborators’ ability to obtain new patents or to enforce existing and future patents.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sectPr>
      </w:pPr>
    </w:p>
    <w:bookmarkStart w:id="56" w:name="page57"/>
    <w:bookmarkEnd w:id="56"/>
    <w:p>
      <w:pPr>
        <w:spacing w:after="0" w:line="255" w:lineRule="auto"/>
        <w:rPr>
          <w:sz w:val="20"/>
          <w:szCs w:val="20"/>
          <w:color w:val="auto"/>
        </w:rPr>
      </w:pPr>
      <w:r>
        <w:rPr>
          <w:rFonts w:ascii="Times New Roman" w:cs="Times New Roman" w:eastAsia="Times New Roman" w:hAnsi="Times New Roman"/>
          <w:sz w:val="18"/>
          <w:szCs w:val="18"/>
          <w:color w:val="auto"/>
        </w:rPr>
        <w:t>Recent patent reform legislation could increase the uncertainties and costs surrounding the prosecution of our and our licensors’ or collaborators’ patent applications and the enforcement or defense of our or our licensors’ or collaborators’ issued patents. For example, the Leahy-Smith America Invents Act, or the America Invents Act, includes provisions that affect the way patent applications are prosecuted and may also affect patent litigation. The USPTO developed new regulations and procedures to govern administration of the America Invents Act, and many of the substantive changes to patent law associated with the America Invents Act, and in particular, the first to file provisions, are now effective. While it is still not clear what, if any, impact the America Invents Act will have on the operation of our business, the America Invents Act and its implementation could increase the uncertainties and costs surrounding the prosecution of our or our licensors’ or collaborators’ patent applications and the enforcement or defense of our or our licensors’ or collaborators’ issued patents, all of which could have a material adverse effect on our business and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Filing, prosecuting and defending patents on all of our product candidates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in jurisdictions where we do not have any issued patents and our patent claims or other intellectual property rights may not be effective or sufficient to prevent them from so competing.</w:t>
      </w:r>
    </w:p>
    <w:p>
      <w:pPr>
        <w:spacing w:after="0" w:line="18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80" w:lineRule="exact"/>
        <w:rPr>
          <w:sz w:val="20"/>
          <w:szCs w:val="20"/>
          <w:color w:val="auto"/>
        </w:rPr>
      </w:pPr>
    </w:p>
    <w:p>
      <w:pPr>
        <w:jc w:val="both"/>
        <w:ind w:right="6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62" w:lineRule="exact"/>
        <w:rPr>
          <w:sz w:val="20"/>
          <w:szCs w:val="20"/>
          <w:color w:val="auto"/>
        </w:rPr>
      </w:pPr>
    </w:p>
    <w:p>
      <w:pPr>
        <w:ind w:left="1040" w:right="120" w:hanging="519"/>
        <w:spacing w:after="0" w:line="261"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similar to our product candidates but that are not covered by the claims of the patents that we own or have exclusively licensed.</w:t>
      </w:r>
    </w:p>
    <w:p>
      <w:pPr>
        <w:ind w:left="1040" w:right="220" w:hanging="519"/>
        <w:spacing w:after="0" w:line="250"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strategic partners might not have been the first to make the inventions covered by the issued patents or pending patent applications that we own or have exclusively licensed.</w:t>
      </w: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strategic partners might not have been the first to file patent applications covering certain of our inventions.</w:t>
      </w:r>
    </w:p>
    <w:p>
      <w:pPr>
        <w:spacing w:after="0" w:line="9" w:lineRule="exact"/>
        <w:rPr>
          <w:rFonts w:ascii="Times New Roman" w:cs="Times New Roman" w:eastAsia="Times New Roman" w:hAnsi="Times New Roman"/>
          <w:sz w:val="18"/>
          <w:szCs w:val="18"/>
          <w:color w:val="auto"/>
        </w:rPr>
      </w:pPr>
    </w:p>
    <w:p>
      <w:pPr>
        <w:ind w:left="1040" w:right="200" w:hanging="519"/>
        <w:spacing w:after="0" w:line="250"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9" w:lineRule="exact"/>
        <w:rPr>
          <w:rFonts w:ascii="Times New Roman" w:cs="Times New Roman" w:eastAsia="Times New Roman" w:hAnsi="Times New Roman"/>
          <w:sz w:val="18"/>
          <w:szCs w:val="18"/>
          <w:color w:val="auto"/>
        </w:rPr>
      </w:pPr>
    </w:p>
    <w:p>
      <w:pPr>
        <w:ind w:left="1040" w:right="580" w:hanging="519"/>
        <w:spacing w:after="0" w:line="250"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advantages, or may be held invalid or unenforceable, as a result of legal challenges by our competitors.</w:t>
      </w:r>
    </w:p>
    <w:p>
      <w:pPr>
        <w:ind w:left="1040" w:right="800" w:hanging="519"/>
        <w:spacing w:after="0" w:line="250"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57" w:name="page58"/>
    <w:bookmarkEnd w:id="57"/>
    <w:p>
      <w:pPr>
        <w:jc w:val="both"/>
        <w:ind w:right="5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Many of our employees and contractors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would be harmed.</w:t>
      </w:r>
    </w:p>
    <w:p>
      <w:pPr>
        <w:spacing w:after="0" w:line="22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invention and patent assignment agreements with our employees and consultants that obligate them to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what the market price of our common stock will be and, as a result, it may be difficult for you to sell your shares of our common stock.</w:t>
      </w:r>
    </w:p>
    <w:p>
      <w:pPr>
        <w:spacing w:after="0" w:line="229"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An inactive market may impair our ability to raise capital by selling shares of our common stock and may impair our ability to enter into strategic partnerships or acquire companies or products by using our shares of common stock as consideration.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may be volatile, and you could lose all or part of your investment.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response to various factors, some of which we cannot control. In addition to the factors discussed in this “Risk Factors” section these factors include:</w:t>
      </w:r>
    </w:p>
    <w:p>
      <w:pPr>
        <w:spacing w:after="0" w:line="162" w:lineRule="exact"/>
        <w:rPr>
          <w:sz w:val="20"/>
          <w:szCs w:val="20"/>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products or our competitors’ products;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9" w:lineRule="exact"/>
        <w:rPr>
          <w:rFonts w:ascii="Times New Roman" w:cs="Times New Roman" w:eastAsia="Times New Roman" w:hAnsi="Times New Roman"/>
          <w:sz w:val="18"/>
          <w:szCs w:val="18"/>
          <w:color w:val="auto"/>
        </w:rPr>
      </w:pPr>
    </w:p>
    <w:p>
      <w:pPr>
        <w:ind w:left="1040" w:right="820" w:hanging="519"/>
        <w:spacing w:after="0" w:line="250"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or those of our competitors;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49" w:right="299" w:bottom="1440" w:gutter="0" w:footer="0" w:header="0"/>
        </w:sectPr>
      </w:pPr>
    </w:p>
    <w:bookmarkStart w:id="58" w:name="page59"/>
    <w:bookmarkEnd w:id="58"/>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 including coverage and reimbursement;</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 and</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5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To our knowledge, our executive officers, directors, holders of 5% or more of our capital stock and their respective affiliates beneficially own approximately 68% of our voting stock as of December 31, 2016. Accordingly,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by our existing stockholders in the public market could cause our stock price to fall.</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could occur at any time. If our existing stockholders sell, or if the market perceives that our existing stockholders intend to sell, substantial amounts of our common stock in the public market, the market price of our common stock could decline significantly.</w:t>
      </w:r>
    </w:p>
    <w:p>
      <w:pPr>
        <w:spacing w:after="0" w:line="172"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continue to have broad discretion over the use of the proceeds we received in our public offerings, private placements, warrant exercises and term loans and might not apply the proceeds in ways that increase the value of your investment.</w:t>
      </w:r>
    </w:p>
    <w:p>
      <w:pPr>
        <w:spacing w:after="0" w:line="159"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Our management will continue to have broad discretion to use the net proceeds from our public offerings, private placements warrant exercises and term loans and you will be relying on the judgment of our management regarding the application of these proceeds. Our management might not apply our net proceeds in ways that ultimately increase the value of your investment. Because of the number and variability of factors that will determine our use of the remaining net proceeds from our initial public offering, follow-on public offering and other financing transactions, their ultimate use may vary substantially from their currently intended use. If we do not invest or apply the net proceeds from our public offerings, private placements, warrant exercises and term loans in ways that enhance stockholder value, we may fail to achieve the expected financial results, which could cause our stock price to decline.</w:t>
      </w:r>
    </w:p>
    <w:p>
      <w:pPr>
        <w:spacing w:after="0" w:line="170"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equity and debt securities could result in additional dilution to our stockholders and could place restrictions on our operations and assets, and such securities could have rights, preferences and privileges senior to those of our common stock.</w:t>
      </w:r>
    </w:p>
    <w:p>
      <w:pPr>
        <w:spacing w:after="0" w:line="15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fund our planned operations, including to complete clinical trials for our product candidates. To raise capital, we may sell common stock, convertible securities or other equity securities in one or more transactions at prices and in a manner we determine from time to time. If we sell common stock, convertible securities or other equity securities, existing stockholders may be materially diluted by subsequent sales, and new investors could gain rights, preferences and privileges senior to the holders of our common stock.</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our Amended and Restated 2013 Equity Incentive Plan, our management is authorized to grant up to 5,781,333 stock options or awards to our employees, directors and consultants, and the number of shares of our common stock reserved for future issuance under the plan will be subject to automatic annual increases in accordance with the terms of the plan. To the extent that new options are granted and exercised or we issue additional shares of common stock in the future, our stockholders may experience additional dilution, which could cause our stock price to fall.</w:t>
      </w:r>
    </w:p>
    <w:p>
      <w:pPr>
        <w:spacing w:after="0" w:line="176"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15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or JOBS Act, and may take advantage of certain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our periodic reports and proxy statements and exemptions from</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auto"/>
        </w:rPr>
        <w:t>the requirements of holding a nonbinding advisory vote on executive compensation and stockholder approval of any golden parachute payments not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approved. We could be an emerging growth company for up to five years following the year in which we completed our initial public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circumstances could cause us to lose that status earlier, including if the market value of our common stock held by non-affiliates exceeds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 million as of any June 30 before that time or if we have total annual gross revenue of $1.0 billion or more during any fiscal year before that time,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cases we would no longer be an emerging growth company as of the following December 31 or, if we issue more than $1.0 billion in non-convertible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during any three year period before that time, we would cease to be an emerging growth company immediately. We cannot predict if investors will find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less attractive because we may rely on these exemptions. If some investors find our common stock less attractive as a result, there may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less active trading market for our common stock and our stock price may be more volatile.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being a public company.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As a public company listed in the United States, we incur significant additional legal, accounting and other costs. We are subject to the reporting requirements of the Exchange Act, which requires, among other things, that we file with the Securities and Exchange Commission, or the SEC, annual, quarterly and current reports with respect to our business and financial condition.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invest resources to comply with evolving laws, regulations and standards, and this investment results in increased general and administrative expenses and a diversion of management’s time and attention. If we do not comply with new laws, regulations and standards, regulatory authorities may initiate legal proceedings against us and our business may be harmed.</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 attention.</w:t>
      </w:r>
    </w:p>
    <w:p>
      <w:pPr>
        <w:spacing w:after="0" w:line="22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2"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5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225" w:lineRule="exact"/>
        <w:rPr>
          <w:sz w:val="20"/>
          <w:szCs w:val="20"/>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such that not all members of the board are elected at one time;</w:t>
      </w:r>
    </w:p>
    <w:p>
      <w:pPr>
        <w:spacing w:after="0" w:line="27"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allowing the authorized number of directors to be changed only by resolution of our board of directors;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removal of directors by the stockholders;</w:t>
      </w:r>
    </w:p>
    <w:p>
      <w:pPr>
        <w:spacing w:after="0" w:line="9" w:lineRule="exact"/>
        <w:rPr>
          <w:rFonts w:ascii="Times New Roman" w:cs="Times New Roman" w:eastAsia="Times New Roman" w:hAnsi="Times New Roman"/>
          <w:sz w:val="18"/>
          <w:szCs w:val="18"/>
          <w:color w:val="auto"/>
        </w:rPr>
      </w:pPr>
    </w:p>
    <w:p>
      <w:pPr>
        <w:ind w:left="1040" w:right="260" w:hanging="519"/>
        <w:spacing w:after="0" w:line="250"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the terms of which may be established and shares of which may be issued without stockholder approval;</w:t>
      </w: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thereby requiring all stockholder actions to be taken at a meeting of our stockholders;</w:t>
      </w:r>
    </w:p>
    <w:p>
      <w:pPr>
        <w:spacing w:after="0" w:line="9" w:lineRule="exact"/>
        <w:rPr>
          <w:rFonts w:ascii="Times New Roman" w:cs="Times New Roman" w:eastAsia="Times New Roman" w:hAnsi="Times New Roman"/>
          <w:sz w:val="18"/>
          <w:szCs w:val="18"/>
          <w:color w:val="auto"/>
        </w:rPr>
      </w:pPr>
    </w:p>
    <w:p>
      <w:pPr>
        <w:ind w:left="1040" w:hanging="519"/>
        <w:spacing w:after="0"/>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a special meeting of stockholders;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0" w:name="page61"/>
    <w:bookmarkEnd w:id="60"/>
    <w:p>
      <w:pPr>
        <w:ind w:left="1040" w:right="80" w:hanging="519"/>
        <w:spacing w:after="0" w:line="261"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than can be acted upon at stockholder meetings; and</w:t>
      </w:r>
    </w:p>
    <w:p>
      <w:pPr>
        <w:ind w:left="1040" w:hanging="519"/>
        <w:spacing w:after="0" w:line="261"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approval of the holders of at least 66 2/3% of the votes that all of our stockholders would be entitled to cast to amend or repeal our bylaws.</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inaccurate or unfavorable research about our business, our stock price and trading volume could decline.</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76"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because we do not anticipate paying any cash dividends in the foreseeable future, capital appreciation, if any, of our common stock will be your sole source of gain on an investment in our common stock.</w:t>
      </w:r>
    </w:p>
    <w:p>
      <w:pPr>
        <w:spacing w:after="0" w:line="1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paid no cash dividends on any of our classes of capital stock to date, and we currently intend to retain our future earnings, if any, to fund the development and growth of our business. In addition, the terms of our credit facility limit our ability to pay cash dividends on our capital stock. We do not anticipate paying any cash dividends on our common stock in the foreseeable future. As a result, capital appreciation, if any, of our common stock will be your sole source of gain for the foreseeable future. There is no guarantee that shares of our common stock will appreciate in value or even maintain the price at which you purchase shares of our common stock.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sell any unregistered securities during the six months ended June 30,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repurchase any securities during the three months ended June 30, 2017.</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140" w:type="dxa"/>
            <w:vAlign w:val="bottom"/>
            <w:gridSpan w:val="5"/>
            <w:vMerge w:val="restart"/>
          </w:tcPr>
          <w:p>
            <w:pPr>
              <w:ind w:left="4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3"/>
                <w:szCs w:val="13"/>
                <w:color w:val="auto"/>
              </w:rPr>
            </w:pPr>
          </w:p>
        </w:tc>
        <w:tc>
          <w:tcPr>
            <w:tcW w:w="114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140" w:type="dxa"/>
            <w:vAlign w:val="bottom"/>
            <w:tcBorders>
              <w:bottom w:val="single" w:sz="8" w:color="auto"/>
            </w:tcBorders>
            <w:gridSpan w:val="5"/>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3"/>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4"/>
                <w:szCs w:val="24"/>
                <w:color w:val="auto"/>
              </w:rPr>
            </w:pPr>
          </w:p>
        </w:tc>
        <w:tc>
          <w:tcPr>
            <w:tcW w:w="9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the Registrant (incorporated by reference to Exhibit 3.1 to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333-195169</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Registrant’s registration statement on Form S-1/A filed with the SEC on June 10, 2014)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24"/>
                <w:szCs w:val="24"/>
                <w:color w:val="auto"/>
              </w:rPr>
            </w:pPr>
          </w:p>
        </w:tc>
        <w:tc>
          <w:tcPr>
            <w:tcW w:w="9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Amended and Restated Bylaws of the Registrant (incorporated by reference to Exhibit 3.2 to the Registrant’s registration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333-195169</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statement on Form S-1/A filed with the SEC on June 10, 2014)</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Amendment No. 1 to Co-Development and License Agreement dated June 13, 2017, by and between Minerva Neurosciences,</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Inc. and Janssen Pharmaceutica NV (incorporated by reference to Exhibit 10.1 to the Registrant’s Current Report on Form 8-K</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filed with the SEC on June 14, 2017)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9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Stock Repurchase Agreement dated June 13, 2017 by and between Minerva Neurosciences, Inc. and Johnson &amp; Johnson</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001-36517</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Innovation-JJDC Inc. incorporated by reference to Exhibit 10.1 to the Registrant’s Current Report on Form 8-K filed with the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 on June 14, 2017)</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9240" w:type="dxa"/>
            <w:vAlign w:val="bottom"/>
            <w:gridSpan w:val="6"/>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Certification of Chief Executive Officer (Principal Executive Officer) pursuant to Section 302 of Sarbanes-Oxley Act of 2002</w:t>
              </w:r>
            </w:hyperlink>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906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Certification of Chief Financial Officer (Principal Financial Officer) pursuant to Section 302 of Sarbanes-Oxley Act of 2002</w:t>
              </w:r>
            </w:hyperlink>
          </w:p>
        </w:tc>
        <w:tc>
          <w:tcPr>
            <w:tcW w:w="18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32.1</w:t>
            </w:r>
            <w:r>
              <w:rPr>
                <w:rFonts w:ascii="Times New Roman" w:cs="Times New Roman" w:eastAsia="Times New Roman" w:hAnsi="Times New Roman"/>
                <w:sz w:val="15"/>
                <w:szCs w:val="15"/>
                <w:color w:val="auto"/>
                <w:w w:val="99"/>
              </w:rPr>
              <w:t>+</w:t>
            </w:r>
          </w:p>
        </w:tc>
        <w:tc>
          <w:tcPr>
            <w:tcW w:w="120" w:type="dxa"/>
            <w:vAlign w:val="bottom"/>
          </w:tcPr>
          <w:p>
            <w:pPr>
              <w:spacing w:after="0"/>
              <w:rPr>
                <w:sz w:val="24"/>
                <w:szCs w:val="24"/>
                <w:color w:val="auto"/>
              </w:rPr>
            </w:pPr>
          </w:p>
        </w:tc>
        <w:tc>
          <w:tcPr>
            <w:tcW w:w="852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Certification of Chief Executive Officer (Principal Executive Officer) and Chief Financial Officer (Principal Financial</w:t>
              </w:r>
            </w:hyperlink>
          </w:p>
        </w:tc>
        <w:tc>
          <w:tcPr>
            <w:tcW w:w="440" w:type="dxa"/>
            <w:vAlign w:val="bottom"/>
            <w:tcBorders>
              <w:top w:val="single" w:sz="8" w:color="0000EE"/>
            </w:tcBorders>
          </w:tcPr>
          <w:p>
            <w:pPr>
              <w:spacing w:after="0"/>
              <w:rPr>
                <w:sz w:val="24"/>
                <w:szCs w:val="24"/>
                <w:color w:val="auto"/>
              </w:rPr>
            </w:pPr>
          </w:p>
        </w:tc>
        <w:tc>
          <w:tcPr>
            <w:tcW w:w="280" w:type="dxa"/>
            <w:vAlign w:val="bottom"/>
            <w:gridSpan w:val="3"/>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40" w:type="dxa"/>
            <w:vAlign w:val="bottom"/>
            <w:gridSpan w:val="6"/>
          </w:tcPr>
          <w:p>
            <w:pPr>
              <w:spacing w:after="0" w:line="196" w:lineRule="exact"/>
              <w:rPr>
                <w:rFonts w:ascii="Times New Roman" w:cs="Times New Roman" w:eastAsia="Times New Roman" w:hAnsi="Times New Roman"/>
                <w:sz w:val="18"/>
                <w:szCs w:val="18"/>
                <w:color w:val="0000EE"/>
              </w:rPr>
            </w:pPr>
            <w:hyperlink w:anchor="page66">
              <w:r>
                <w:rPr>
                  <w:rFonts w:ascii="Times New Roman" w:cs="Times New Roman" w:eastAsia="Times New Roman" w:hAnsi="Times New Roman"/>
                  <w:sz w:val="18"/>
                  <w:szCs w:val="18"/>
                  <w:color w:val="0000EE"/>
                </w:rPr>
                <w:t>Officer) pursuant to Section 906 of Sarbanes-Oxley Act of 2002</w:t>
              </w:r>
            </w:hyperlink>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101.INS</w:t>
            </w:r>
          </w:p>
        </w:tc>
        <w:tc>
          <w:tcPr>
            <w:tcW w:w="46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4620" w:type="dxa"/>
            <w:vAlign w:val="bottom"/>
            <w:gridSpan w:val="5"/>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101.SCH</w:t>
            </w:r>
          </w:p>
        </w:tc>
        <w:tc>
          <w:tcPr>
            <w:tcW w:w="9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101.CAL</w:t>
            </w:r>
          </w:p>
        </w:tc>
        <w:tc>
          <w:tcPr>
            <w:tcW w:w="9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101.DEF</w:t>
            </w:r>
          </w:p>
        </w:tc>
        <w:tc>
          <w:tcPr>
            <w:tcW w:w="9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101.LAB</w:t>
            </w:r>
          </w:p>
        </w:tc>
        <w:tc>
          <w:tcPr>
            <w:tcW w:w="9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101.PRE</w:t>
            </w:r>
          </w:p>
        </w:tc>
        <w:tc>
          <w:tcPr>
            <w:tcW w:w="92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520" w:right="320" w:hanging="512"/>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2" w:name="page63"/>
    <w:bookmarkEnd w:id="62"/>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25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Geoffrey Race</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 (Principal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 2017</w:t>
      </w:r>
    </w:p>
    <w:p>
      <w:pPr>
        <w:spacing w:after="0" w:line="200" w:lineRule="exact"/>
        <w:rPr>
          <w:sz w:val="20"/>
          <w:szCs w:val="20"/>
          <w:color w:val="auto"/>
        </w:rPr>
      </w:pPr>
    </w:p>
    <w:p>
      <w:pPr>
        <w:spacing w:after="0" w:line="24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240" w:top="333" w:right="65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040" w:right="260" w:hanging="519"/>
        <w:spacing w:after="0" w:line="266"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040" w:right="420" w:hanging="519"/>
        <w:spacing w:after="0" w:line="266"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 2017</w:t>
            </w: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Remy Luthringer Ph.D.</w:t>
            </w:r>
          </w:p>
        </w:tc>
      </w:tr>
      <w:tr>
        <w:trPr>
          <w:trHeight w:val="191"/>
        </w:trPr>
        <w:tc>
          <w:tcPr>
            <w:tcW w:w="6860" w:type="dxa"/>
            <w:vAlign w:val="bottom"/>
          </w:tcPr>
          <w:p>
            <w:pPr>
              <w:spacing w:after="0"/>
              <w:rPr>
                <w:sz w:val="16"/>
                <w:szCs w:val="16"/>
                <w:color w:val="auto"/>
              </w:rPr>
            </w:pPr>
          </w:p>
        </w:tc>
        <w:tc>
          <w:tcPr>
            <w:tcW w:w="4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Remy Luthringer Ph.D.</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420"/>
          </w:cols>
          <w:pgMar w:left="240" w:top="333"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Geoffrey Race, certify that:</w:t>
      </w:r>
    </w:p>
    <w:p>
      <w:pPr>
        <w:spacing w:after="0" w:line="117"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42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jc w:val="both"/>
        <w:ind w:left="1040" w:right="260" w:hanging="519"/>
        <w:spacing w:after="0" w:line="266" w:lineRule="auto"/>
        <w:tabs>
          <w:tab w:leader="none" w:pos="1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 and procedures, or caused such disclosure control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040" w:right="480" w:hanging="519"/>
        <w:spacing w:after="0" w:line="266" w:lineRule="auto"/>
        <w:tabs>
          <w:tab w:leader="none" w:pos="1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jc w:val="both"/>
        <w:ind w:left="1040" w:right="660" w:hanging="519"/>
        <w:spacing w:after="0" w:line="313" w:lineRule="auto"/>
        <w:tabs>
          <w:tab w:leader="none" w:pos="1040"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040" w:right="160" w:hanging="519"/>
        <w:spacing w:after="0" w:line="266" w:lineRule="auto"/>
        <w:tabs>
          <w:tab w:leader="none" w:pos="1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520" w:right="320" w:hanging="512"/>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40" w:right="80" w:hanging="519"/>
        <w:spacing w:after="0" w:line="282" w:lineRule="auto"/>
        <w:tabs>
          <w:tab w:leader="none" w:pos="1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40" w:right="40" w:hanging="519"/>
        <w:spacing w:after="0" w:line="282" w:lineRule="auto"/>
        <w:tabs>
          <w:tab w:leader="none" w:pos="1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3, 2017</w:t>
            </w:r>
          </w:p>
        </w:tc>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Geoffrey Race</w:t>
            </w:r>
          </w:p>
        </w:tc>
      </w:tr>
      <w:tr>
        <w:trPr>
          <w:trHeight w:val="191"/>
        </w:trPr>
        <w:tc>
          <w:tcPr>
            <w:tcW w:w="6860" w:type="dxa"/>
            <w:vAlign w:val="bottom"/>
          </w:tcPr>
          <w:p>
            <w:pPr>
              <w:spacing w:after="0"/>
              <w:rPr>
                <w:sz w:val="16"/>
                <w:szCs w:val="16"/>
                <w:color w:val="auto"/>
              </w:rPr>
            </w:pPr>
          </w:p>
        </w:tc>
        <w:tc>
          <w:tcPr>
            <w:tcW w:w="45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Geoffrey Race</w:t>
            </w:r>
          </w:p>
        </w:tc>
      </w:tr>
      <w:tr>
        <w:trPr>
          <w:trHeight w:val="216"/>
        </w:trPr>
        <w:tc>
          <w:tcPr>
            <w:tcW w:w="6860" w:type="dxa"/>
            <w:vAlign w:val="bottom"/>
          </w:tcPr>
          <w:p>
            <w:pPr>
              <w:spacing w:after="0"/>
              <w:rPr>
                <w:sz w:val="18"/>
                <w:szCs w:val="18"/>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686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bl>
    <w:p>
      <w:pPr>
        <w:sectPr>
          <w:pgSz w:w="11900" w:h="16838" w:orient="portrait"/>
          <w:cols w:equalWidth="0" w:num="1">
            <w:col w:w="11420"/>
          </w:cols>
          <w:pgMar w:left="240" w:top="333"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Remy Luthringer, President and Chief Executive Officer (Principal Executive Officer) of Minerva Neurosciences, Inc. (the “Company”) and Geoffrey Race, Chief Financial Officer (Principal Financial Officer) of the Company, each hereby certifies that, to the best of his knowledge:</w:t>
      </w:r>
    </w:p>
    <w:p>
      <w:pPr>
        <w:spacing w:after="0" w:line="72" w:lineRule="exact"/>
        <w:rPr>
          <w:sz w:val="20"/>
          <w:szCs w:val="20"/>
          <w:color w:val="auto"/>
        </w:rPr>
      </w:pPr>
    </w:p>
    <w:p>
      <w:pPr>
        <w:ind w:left="520" w:right="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June 30, 2017, to which this Certification is attached as Exhibit 32.1 (the “Quarterly Report”) fully complies with the requirements of Section 13(a) or 15(d) of the Exchange Act; and</w:t>
      </w:r>
    </w:p>
    <w:p>
      <w:pPr>
        <w:spacing w:after="0" w:line="53"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27"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Date: August 3, 2017</w:t>
      </w:r>
      <w:r>
        <w:rPr>
          <w:sz w:val="20"/>
          <w:szCs w:val="20"/>
          <w:color w:val="auto"/>
        </w:rPr>
        <w:tab/>
      </w:r>
      <w:r>
        <w:rPr>
          <w:rFonts w:ascii="Times New Roman" w:cs="Times New Roman" w:eastAsia="Times New Roman" w:hAnsi="Times New Roman"/>
          <w:sz w:val="17"/>
          <w:szCs w:val="17"/>
          <w:color w:val="auto"/>
        </w:rPr>
        <w:t>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Geoffrey Race</w:t>
      </w:r>
    </w:p>
    <w:p>
      <w:pPr>
        <w:spacing w:after="0" w:line="27" w:lineRule="exact"/>
        <w:rPr>
          <w:sz w:val="20"/>
          <w:szCs w:val="20"/>
          <w:color w:val="auto"/>
        </w:rPr>
      </w:pPr>
    </w:p>
    <w:p>
      <w:pPr>
        <w:spacing w:after="0"/>
        <w:tabs>
          <w:tab w:leader="none" w:pos="6840" w:val="left"/>
        </w:tabs>
        <w:rPr>
          <w:sz w:val="20"/>
          <w:szCs w:val="20"/>
          <w:color w:val="auto"/>
        </w:rPr>
      </w:pPr>
      <w:r>
        <w:rPr>
          <w:rFonts w:ascii="Times New Roman" w:cs="Times New Roman" w:eastAsia="Times New Roman" w:hAnsi="Times New Roman"/>
          <w:sz w:val="18"/>
          <w:szCs w:val="18"/>
          <w:color w:val="auto"/>
        </w:rPr>
        <w:t>Date: August 3, 2017</w:t>
      </w:r>
      <w:r>
        <w:rPr>
          <w:sz w:val="20"/>
          <w:szCs w:val="20"/>
          <w:color w:val="auto"/>
        </w:rPr>
        <w:tab/>
      </w:r>
      <w:r>
        <w:rPr>
          <w:rFonts w:ascii="Times New Roman" w:cs="Times New Roman" w:eastAsia="Times New Roman" w:hAnsi="Times New Roman"/>
          <w:sz w:val="17"/>
          <w:szCs w:val="17"/>
          <w:color w:val="auto"/>
        </w:rPr>
        <w:t>Geoffrey 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incorporated by reference into any filing of Minerva Neurosciences, Inc.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2019-12-29T05:03:17Z</dcterms:created>
  <dcterms:modified xsi:type="dcterms:W3CDTF">2019-12-29T05:03:17Z</dcterms:modified>
</cp:coreProperties>
</file>