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ind w:left="500" w:right="10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00" w:right="8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109220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590" w:type="dxa"/>
        <w:tblCellMar>
          <w:top w:w="0" w:type="dxa"/>
          <w:left w:w="0" w:type="dxa"/>
          <w:bottom w:w="0" w:type="dxa"/>
          <w:right w:w="0" w:type="dxa"/>
        </w:tblCellMar>
      </w:tblPr>
      <w:tr>
        <w:trPr>
          <w:trHeight w:val="155"/>
        </w:trPr>
        <w:tc>
          <w:tcPr>
            <w:tcW w:w="388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38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Trading Symbol(s)</w:t>
            </w:r>
          </w:p>
        </w:tc>
        <w:tc>
          <w:tcPr>
            <w:tcW w:w="38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Name of each exchange on which registered</w:t>
            </w:r>
          </w:p>
        </w:tc>
      </w:tr>
      <w:tr>
        <w:trPr>
          <w:trHeight w:val="155"/>
        </w:trPr>
        <w:tc>
          <w:tcPr>
            <w:tcW w:w="388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3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3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The NASDAQ Global Market</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October 28, 2020 was 42,674,491.</w:t>
      </w:r>
    </w:p>
    <w:p>
      <w:pPr>
        <w:spacing w:after="0" w:line="96"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3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584" w:right="4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340"/>
          </w:cols>
          <w:pgMar w:left="320" w:top="584"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9440" w:type="dxa"/>
            <w:vAlign w:val="bottom"/>
            <w:vMerge w:val="restart"/>
          </w:tcPr>
          <w:p>
            <w:pPr>
              <w:ind w:left="34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94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and December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Condensed Consolidated Statements of Operations for the three and nine months ended September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Condensed Consolidated Statements of Stockholders’ Equity for the nine months ended September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44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9440" w:type="dxa"/>
            <w:vAlign w:val="bottom"/>
          </w:tcPr>
          <w:p>
            <w:pPr>
              <w:ind w:left="350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tcPr>
          <w:p>
            <w:pPr>
              <w:ind w:lef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440" w:type="dxa"/>
            <w:vAlign w:val="bottom"/>
          </w:tcPr>
          <w:p>
            <w:pPr>
              <w:ind w:lef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tcPr>
          <w:p>
            <w:pPr>
              <w:ind w:lef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1140" w:type="dxa"/>
            <w:vAlign w:val="bottom"/>
          </w:tcPr>
          <w:p>
            <w:pPr>
              <w:spacing w:after="0"/>
              <w:rPr>
                <w:rFonts w:ascii="Arial" w:cs="Arial" w:eastAsia="Arial" w:hAnsi="Arial"/>
                <w:sz w:val="18"/>
                <w:szCs w:val="18"/>
                <w:u w:val="single" w:color="auto"/>
                <w:color w:val="0000EE"/>
                <w:w w:val="95"/>
              </w:rPr>
            </w:pPr>
            <w:hyperlink w:anchor="page30">
              <w:r>
                <w:rPr>
                  <w:rFonts w:ascii="Arial" w:cs="Arial" w:eastAsia="Arial" w:hAnsi="Arial"/>
                  <w:sz w:val="18"/>
                  <w:szCs w:val="18"/>
                  <w:u w:val="single" w:color="auto"/>
                  <w:color w:val="0000EE"/>
                  <w:w w:val="95"/>
                </w:rPr>
                <w:t>SIGNATURES</w:t>
              </w:r>
            </w:hyperlink>
          </w:p>
        </w:tc>
        <w:tc>
          <w:tcPr>
            <w:tcW w:w="9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2019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32,515,833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24,441,520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2,374,294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1,182,483</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34,990,127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47,136,626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143,465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65,220,710</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8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701,585</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2,317,004</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4,535,910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156,956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172,901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5,394,451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6,629,068</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Noncurrent operating leases</w:t>
            </w:r>
          </w:p>
        </w:tc>
        <w:tc>
          <w:tcPr>
            <w:tcW w:w="20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Pr>
          <w:p>
            <w:pPr>
              <w:spacing w:after="0"/>
              <w:rPr>
                <w:sz w:val="19"/>
                <w:szCs w:val="19"/>
                <w:color w:val="auto"/>
              </w:rPr>
            </w:pP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7,197,807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49,719,253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as of September 30, 2020 and December 31, 2019, respectively</w:t>
            </w:r>
          </w:p>
        </w:tc>
        <w:tc>
          <w:tcPr>
            <w:tcW w:w="20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Common stock; $0.0001 par value; 125,000,000 shares authorized; 42,674,491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80" w:type="dxa"/>
            <w:vAlign w:val="bottom"/>
          </w:tcPr>
          <w:p>
            <w:pPr>
              <w:ind w:left="380"/>
              <w:spacing w:after="0"/>
              <w:rPr>
                <w:sz w:val="20"/>
                <w:szCs w:val="20"/>
                <w:color w:val="auto"/>
              </w:rPr>
            </w:pPr>
            <w:r>
              <w:rPr>
                <w:rFonts w:ascii="Arial" w:cs="Arial" w:eastAsia="Arial" w:hAnsi="Arial"/>
                <w:sz w:val="18"/>
                <w:szCs w:val="18"/>
                <w:color w:val="auto"/>
              </w:rPr>
              <w:t>39,084,121 shares issued and outstanding as of September 30, 2020 and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December 31, 2019,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0"/>
                <w:szCs w:val="20"/>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335,489,256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314,511,853</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(277,470,620)</w:t>
            </w: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(286,736,218)</w:t>
            </w:r>
          </w:p>
        </w:tc>
      </w:tr>
      <w:tr>
        <w:trPr>
          <w:trHeight w:val="223"/>
        </w:trPr>
        <w:tc>
          <w:tcPr>
            <w:tcW w:w="7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58,022,903</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27,779,543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65,220,710</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12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5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6"/>
        </w:trPr>
        <w:tc>
          <w:tcPr>
            <w:tcW w:w="56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68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41,175,600</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5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6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5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4,638,614</w:t>
            </w:r>
          </w:p>
        </w:tc>
        <w:tc>
          <w:tcPr>
            <w:tcW w:w="14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9,674,310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18,488,108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29,600,119</w:t>
            </w:r>
          </w:p>
        </w:tc>
        <w:tc>
          <w:tcPr>
            <w:tcW w:w="100" w:type="dxa"/>
            <w:vAlign w:val="bottom"/>
            <w:shd w:val="clear" w:color="auto" w:fill="CFF0FC"/>
          </w:tcPr>
          <w:p>
            <w:pPr>
              <w:spacing w:after="0"/>
              <w:rPr>
                <w:sz w:val="21"/>
                <w:szCs w:val="21"/>
                <w:color w:val="auto"/>
              </w:rPr>
            </w:pPr>
          </w:p>
        </w:tc>
      </w:tr>
      <w:tr>
        <w:trPr>
          <w:trHeight w:val="243"/>
        </w:trPr>
        <w:tc>
          <w:tcPr>
            <w:tcW w:w="5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3,451,667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4,607,462</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13,541,253</w:t>
            </w:r>
          </w:p>
        </w:tc>
        <w:tc>
          <w:tcPr>
            <w:tcW w:w="2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13,897,497</w:t>
            </w:r>
          </w:p>
        </w:tc>
        <w:tc>
          <w:tcPr>
            <w:tcW w:w="100" w:type="dxa"/>
            <w:vAlign w:val="bottom"/>
            <w:tcBorders>
              <w:bottom w:val="single" w:sz="8" w:color="CFF0FC"/>
            </w:tcBorders>
          </w:tcPr>
          <w:p>
            <w:pPr>
              <w:spacing w:after="0"/>
              <w:rPr>
                <w:sz w:val="21"/>
                <w:szCs w:val="21"/>
                <w:color w:val="auto"/>
              </w:rPr>
            </w:pPr>
          </w:p>
        </w:tc>
      </w:tr>
      <w:tr>
        <w:trPr>
          <w:trHeight w:val="236"/>
        </w:trPr>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8,090,281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14,281,772</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32,029,361</w:t>
            </w:r>
          </w:p>
        </w:tc>
        <w:tc>
          <w:tcPr>
            <w:tcW w:w="2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43,497,616</w:t>
            </w:r>
          </w:p>
        </w:tc>
        <w:tc>
          <w:tcPr>
            <w:tcW w:w="100" w:type="dxa"/>
            <w:vAlign w:val="bottom"/>
            <w:shd w:val="clear" w:color="auto" w:fill="CFF0FC"/>
          </w:tcPr>
          <w:p>
            <w:pPr>
              <w:spacing w:after="0"/>
              <w:rPr>
                <w:sz w:val="20"/>
                <w:szCs w:val="20"/>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(Loss) gain from operations</w:t>
            </w:r>
          </w:p>
        </w:tc>
        <w:tc>
          <w:tcPr>
            <w:tcW w:w="1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(8,090,281)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(14,281,772)</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9,146,239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(43,497,616)</w:t>
            </w:r>
          </w:p>
        </w:tc>
      </w:tr>
      <w:tr>
        <w:trPr>
          <w:trHeight w:val="243"/>
        </w:trPr>
        <w:tc>
          <w:tcPr>
            <w:tcW w:w="5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4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(4,766)</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(40,549)</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(17,797)</w:t>
            </w:r>
          </w:p>
        </w:tc>
      </w:tr>
      <w:tr>
        <w:trPr>
          <w:trHeight w:val="24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324,535</w:t>
            </w:r>
          </w:p>
        </w:tc>
        <w:tc>
          <w:tcPr>
            <w:tcW w:w="2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159,908</w:t>
            </w:r>
          </w:p>
        </w:tc>
        <w:tc>
          <w:tcPr>
            <w:tcW w:w="2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1,249,739</w:t>
            </w:r>
          </w:p>
        </w:tc>
        <w:tc>
          <w:tcPr>
            <w:tcW w:w="100" w:type="dxa"/>
            <w:vAlign w:val="bottom"/>
            <w:shd w:val="clear" w:color="auto" w:fill="CFF0FC"/>
          </w:tcPr>
          <w:p>
            <w:pPr>
              <w:spacing w:after="0"/>
              <w:rPr>
                <w:sz w:val="21"/>
                <w:szCs w:val="21"/>
                <w:color w:val="auto"/>
              </w:rPr>
            </w:pPr>
          </w:p>
        </w:tc>
      </w:tr>
      <w:tr>
        <w:trPr>
          <w:trHeight w:val="277"/>
        </w:trPr>
        <w:tc>
          <w:tcPr>
            <w:tcW w:w="5680" w:type="dxa"/>
            <w:vAlign w:val="bottom"/>
          </w:tcPr>
          <w:p>
            <w:pPr>
              <w:ind w:left="50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(8,112,613)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(13,962,003)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9,265,598</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(42,265,674)</w:t>
            </w:r>
          </w:p>
        </w:tc>
      </w:tr>
      <w:tr>
        <w:trPr>
          <w:trHeight w:val="223"/>
        </w:trPr>
        <w:tc>
          <w:tcPr>
            <w:tcW w:w="56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Net (loss) income per share,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24"/>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41,917,923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40,199,196</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39,006,561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76"/>
        </w:trPr>
        <w:tc>
          <w:tcPr>
            <w:tcW w:w="5680" w:type="dxa"/>
            <w:vAlign w:val="bottom"/>
          </w:tcPr>
          <w:p>
            <w:pPr>
              <w:spacing w:after="0"/>
              <w:rPr>
                <w:sz w:val="20"/>
                <w:szCs w:val="20"/>
                <w:color w:val="auto"/>
              </w:rPr>
            </w:pPr>
            <w:r>
              <w:rPr>
                <w:rFonts w:ascii="Arial" w:cs="Arial" w:eastAsia="Arial" w:hAnsi="Arial"/>
                <w:sz w:val="18"/>
                <w:szCs w:val="18"/>
                <w:color w:val="auto"/>
              </w:rPr>
              <w:t>Net (loss) income per share,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41,917,923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40,477,801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39,006,561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3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160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6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3"/>
                <w:szCs w:val="13"/>
                <w:color w:val="auto"/>
              </w:rPr>
            </w:pPr>
          </w:p>
        </w:tc>
        <w:tc>
          <w:tcPr>
            <w:tcW w:w="1340" w:type="dxa"/>
            <w:vAlign w:val="bottom"/>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304,813,603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(214,552,728)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87,500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(15,827,200)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(15,827,200)</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307,800,293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(230,379,928)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77,424,268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2,320,392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2,320,392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(12,476,471)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(12,476,471)</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Balances at June 30, 2019</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310,120,685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(242,856,399)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67,268,189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2,221,189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(13,962,003)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(13,962,003)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2019</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39,025,471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312,341,874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(256,818,402</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55,527,375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(286,736,218)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135,013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797,615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(12,151,165)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(12,151,165)</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39,219,134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317,507,655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(298,887,383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18,624,194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Issuance of common stock in a public</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offering</w:t>
            </w:r>
          </w:p>
        </w:tc>
        <w:tc>
          <w:tcPr>
            <w:tcW w:w="1340" w:type="dxa"/>
            <w:vAlign w:val="bottom"/>
          </w:tcPr>
          <w:p>
            <w:pPr>
              <w:jc w:val="right"/>
              <w:spacing w:after="0"/>
              <w:rPr>
                <w:sz w:val="20"/>
                <w:szCs w:val="20"/>
                <w:color w:val="auto"/>
              </w:rPr>
            </w:pPr>
            <w:r>
              <w:rPr>
                <w:rFonts w:ascii="Arial" w:cs="Arial" w:eastAsia="Arial" w:hAnsi="Arial"/>
                <w:sz w:val="18"/>
                <w:szCs w:val="18"/>
                <w:color w:val="auto"/>
              </w:rPr>
              <w:t>1,361,956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5,178,324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5,178,460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Costs related to issuance of common</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(219,517)</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(219,517)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63,749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346,019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29,529,376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29,529,376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40,644,839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326,297,963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(269,358,007</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56,944,021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Issuance of common stock in a public</w:t>
            </w: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offering</w:t>
            </w:r>
          </w:p>
        </w:tc>
        <w:tc>
          <w:tcPr>
            <w:tcW w:w="1340" w:type="dxa"/>
            <w:vAlign w:val="bottom"/>
          </w:tcPr>
          <w:p>
            <w:pPr>
              <w:jc w:val="right"/>
              <w:spacing w:after="0"/>
              <w:rPr>
                <w:sz w:val="20"/>
                <w:szCs w:val="20"/>
                <w:color w:val="auto"/>
              </w:rPr>
            </w:pPr>
            <w:r>
              <w:rPr>
                <w:rFonts w:ascii="Arial" w:cs="Arial" w:eastAsia="Arial" w:hAnsi="Arial"/>
                <w:sz w:val="18"/>
                <w:szCs w:val="18"/>
                <w:color w:val="auto"/>
              </w:rPr>
              <w:t>2,019,652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7,371,408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7,371,609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Costs related to issuance of common</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(236,149)</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(236,149)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2,056,035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(8,112,613)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(8,112,613)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42,674,491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335,489,256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(277,470,620</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58,022,903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9,265,598</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(42,265,674)</w:t>
            </w: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(86,774)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(661,830)</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118,487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(1,191,811)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(1,615,419)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3,530,784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(15,945)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(111,229)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(127,175)</w:t>
            </w:r>
          </w:p>
        </w:tc>
        <w:tc>
          <w:tcPr>
            <w:tcW w:w="0" w:type="dxa"/>
            <w:vAlign w:val="bottom"/>
          </w:tcPr>
          <w:p>
            <w:pPr>
              <w:spacing w:after="0"/>
              <w:rPr>
                <w:sz w:val="1"/>
                <w:szCs w:val="1"/>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(26,663,142)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(29,251,354)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28,400,000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65,845,000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(3,871,706)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(49,447,545)</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24,528,294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16,397,455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12,550,069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(455,666)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13,238,058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11,103,210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(12,328,899)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32,615,833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38,005,972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32,515,833</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37,905,972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32,615,833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38,005,972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September 30, 2020 and for the Nine Months Ended September 30, 2020 and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Company’s lead product candidate is roluperidone (also known as MIN-101), a compound the Company is developing for the treatment of negative symptoms in patients with schizophrenia, and MIN-301, a compound the Company is developing for the treatment of Parkinson’s disease. In addition, the Company possesses a potential royalty stream from seltorexant (also known as MIN-202 or JNJ-42847922), a compound that is being developed by Janssen Pharmaceutica NV (“Janssen”) for the treatment of insomnia disorder and major depressive disorder (“MDD”).</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in each year since inception. As of September 30, 2020, the Company has an accumulated deficit of approximately $277.5 million and net cash used in operating activities was approximately $26.7 million during the nine months ended September 30, 2020. Management expects to continue to incur operating losses and negative cash flows from operations. The Company has financed its operations to date from proceeds from the sale of common stock, warrants, loans and convertible promissory notes.</w:t>
      </w:r>
    </w:p>
    <w:p>
      <w:pPr>
        <w:spacing w:after="0" w:line="15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September 30, 2020, the Company had cash, cash equivalents, and restricted cash of $32.6 million. The Company believes that its existing cash, cash equivalents, and restricted cash will be sufficient to meet its cash commitments for at least the next 12 months after the date that the interim condensed consolidated financial statements are issued. As a result of the roluperidone Phase 3 study not achieving a statistically significant improvement on its primary and secondary endpoints, we have significantly decreased our operating plan spending levels. We plan to maintain the lower level of spending while we are preparing for our Type C meeting with the U.S. Food and Drug Administration (“FDA”) in mid-November 2020 to discuss the potential next steps in the development and regulatory approval of roluperidone. Therefore, the year-to-date cash used is not representative of the future cash commitments and spending for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 During the nine months ended September 30, 2020, the Company issued and sold 3,381,608 shares of the Company's common stock under the Open Market Sale Agreement (the “Sales Agreement”) with Jefferies, LLC (“Jefferies”). The shares were sold at an average price of $3.7113 per share for aggregate net proceeds to the Company of approximately $12.1 million, after deducting sales commissions and offering costs payable by the Company.</w:t>
      </w:r>
    </w:p>
    <w:p>
      <w:pPr>
        <w:spacing w:after="0" w:line="18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Additionally, the Company’s headquarters are located in Massachusetts, which implemented such restrictions. In response, the Company implemented work-from-home policies for its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the Company’s workforce may return. The effects of the state executive order, local shelter-in-place orders, government-imposed quarantines and the Company’s work-from-home policies, including the uncertainty about their duration, may negatively impact productivity, disrupt our business and delay the clinical programs and timelines.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2020, the results of operations for the three and nine months ended September 30, 2020 and 2019 and cash flows for the nine months ended September 30, 2020 and 2019. The results of operations for the three and nine months ended September 30, 2020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2019 was derived from the audited annual financial statements. The accompanying unaudited condensed consolidated financial statements and notes thereto should be read in conjunction with the audited consolidated financial statements for the year ended December 31, 2019 included in the Company’s Annual Report on Form 10-K filed with the SEC on March 9, 2020.</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September 30, 2020 and December 31, 2019.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Marketable securities consisted of corporate and U.S. government debt securities. Based on the Company’s intentions regarding its marketable securities, all marketable securities were classified as held-to-maturity and were carried under the amortized cost approach. The Company’s investments in marketable securities were classified as Level 2 within the fair value hierarchy. As of September 30, 2020, all marketable securities have matured or been redeemed. The following table provides the amortized cost basis, aggregate fair value, unrealized gains/losses, and the net carrying value of investments in held-to-maturity securities as of December 31, 2019:</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December 31,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76"/>
              <w:spacing w:after="0" w:line="147"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98"/>
              <w:spacing w:after="0" w:line="147" w:lineRule="exact"/>
              <w:rPr>
                <w:sz w:val="20"/>
                <w:szCs w:val="20"/>
                <w:color w:val="auto"/>
              </w:rPr>
            </w:pPr>
            <w:r>
              <w:rPr>
                <w:rFonts w:ascii="Arial" w:cs="Arial" w:eastAsia="Arial" w:hAnsi="Arial"/>
                <w:sz w:val="14"/>
                <w:szCs w:val="14"/>
                <w:b w:val="1"/>
                <w:bCs w:val="1"/>
                <w:color w:val="auto"/>
                <w:w w:val="92"/>
              </w:rPr>
              <w:t>Aggregate</w:t>
            </w:r>
          </w:p>
        </w:tc>
        <w:tc>
          <w:tcPr>
            <w:tcW w:w="180" w:type="dxa"/>
            <w:vAlign w:val="bottom"/>
          </w:tcPr>
          <w:p>
            <w:pPr>
              <w:spacing w:after="0"/>
              <w:rPr>
                <w:sz w:val="12"/>
                <w:szCs w:val="12"/>
                <w:color w:val="auto"/>
              </w:rPr>
            </w:pPr>
          </w:p>
        </w:tc>
        <w:tc>
          <w:tcPr>
            <w:tcW w:w="960" w:type="dxa"/>
            <w:vAlign w:val="bottom"/>
            <w:gridSpan w:val="3"/>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940" w:type="dxa"/>
            <w:vAlign w:val="bottom"/>
            <w:gridSpan w:val="3"/>
          </w:tcPr>
          <w:p>
            <w:pPr>
              <w:jc w:val="right"/>
              <w:ind w:right="121"/>
              <w:spacing w:after="0" w:line="147"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2"/>
                <w:szCs w:val="12"/>
                <w:color w:val="auto"/>
              </w:rPr>
            </w:pPr>
          </w:p>
        </w:tc>
      </w:tr>
      <w:tr>
        <w:trPr>
          <w:trHeight w:val="171"/>
        </w:trPr>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56"/>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91"/>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220" w:type="dxa"/>
            <w:vAlign w:val="bottom"/>
          </w:tcPr>
          <w:p>
            <w:pPr>
              <w:ind w:left="240"/>
              <w:spacing w:after="0"/>
              <w:rPr>
                <w:sz w:val="20"/>
                <w:szCs w:val="20"/>
                <w:color w:val="auto"/>
              </w:rPr>
            </w:pPr>
            <w:r>
              <w:rPr>
                <w:rFonts w:ascii="Arial" w:cs="Arial" w:eastAsia="Arial" w:hAnsi="Arial"/>
                <w:sz w:val="18"/>
                <w:szCs w:val="18"/>
                <w:color w:val="auto"/>
              </w:rPr>
              <w:t>Corporate bonds/notes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2,701,114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2,700,678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2,701,114</w:t>
            </w:r>
          </w:p>
        </w:tc>
        <w:tc>
          <w:tcPr>
            <w:tcW w:w="80" w:type="dxa"/>
            <w:vAlign w:val="bottom"/>
          </w:tcPr>
          <w:p>
            <w:pPr>
              <w:spacing w:after="0"/>
              <w:rPr>
                <w:sz w:val="19"/>
                <w:szCs w:val="19"/>
                <w:color w:val="auto"/>
              </w:rPr>
            </w:pPr>
          </w:p>
        </w:tc>
      </w:tr>
      <w:tr>
        <w:trPr>
          <w:trHeight w:val="230"/>
        </w:trPr>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19,245,921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19,245,921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19,245,921</w:t>
            </w:r>
          </w:p>
        </w:tc>
        <w:tc>
          <w:tcPr>
            <w:tcW w:w="80" w:type="dxa"/>
            <w:vAlign w:val="bottom"/>
            <w:shd w:val="clear" w:color="auto" w:fill="CFF0FC"/>
          </w:tcPr>
          <w:p>
            <w:pPr>
              <w:spacing w:after="0"/>
              <w:rPr>
                <w:sz w:val="19"/>
                <w:szCs w:val="19"/>
                <w:color w:val="auto"/>
              </w:rPr>
            </w:pPr>
          </w:p>
        </w:tc>
      </w:tr>
      <w:tr>
        <w:trPr>
          <w:trHeight w:val="230"/>
        </w:trPr>
        <w:tc>
          <w:tcPr>
            <w:tcW w:w="322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2,494,485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2,495,675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2,494,485</w:t>
            </w:r>
          </w:p>
        </w:tc>
        <w:tc>
          <w:tcPr>
            <w:tcW w:w="80" w:type="dxa"/>
            <w:vAlign w:val="bottom"/>
          </w:tcPr>
          <w:p>
            <w:pPr>
              <w:spacing w:after="0"/>
              <w:rPr>
                <w:sz w:val="19"/>
                <w:szCs w:val="19"/>
                <w:color w:val="auto"/>
              </w:rPr>
            </w:pPr>
          </w:p>
        </w:tc>
      </w:tr>
      <w:tr>
        <w:trPr>
          <w:trHeight w:val="223"/>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24,441,520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24,442,274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24,441,520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60"/>
        <w:spacing w:after="0" w:line="269"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nine months ended September 30, 2020 or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Company’s Phase 2b trial of MIN-117 in adult patients suffering from moderate to severe MDD not meeting its primary and key secondary endpoints and the Company’s decision not to further the clinical development of MIN-117 in MDD, the Company determined that the MIN-117 IPR&amp;D was fully impaired and recognized a $19.0 million expense, which was included as a component of research and development expense, during the year ended December 31, 2019.</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(loss) per share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income (loss) per share is computed by dividing net income (loss) by the weighted-average number of shares of common stock outstanding for the period. Diluted income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jc w:val="both"/>
        <w:ind w:right="120"/>
        <w:spacing w:after="0" w:line="263" w:lineRule="auto"/>
        <w:rPr>
          <w:sz w:val="20"/>
          <w:szCs w:val="20"/>
          <w:color w:val="auto"/>
        </w:rPr>
      </w:pPr>
      <w:r>
        <w:rPr>
          <w:rFonts w:ascii="Arial" w:cs="Arial" w:eastAsia="Arial" w:hAnsi="Arial"/>
          <w:sz w:val="18"/>
          <w:szCs w:val="18"/>
          <w:color w:val="auto"/>
        </w:rPr>
        <w:t>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September 30, 2020 and 2019.</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ind w:right="80"/>
        <w:spacing w:after="0" w:line="263" w:lineRule="auto"/>
        <w:rPr>
          <w:sz w:val="20"/>
          <w:szCs w:val="20"/>
          <w:color w:val="auto"/>
        </w:rPr>
      </w:pPr>
      <w:r>
        <w:rPr>
          <w:rFonts w:ascii="Arial" w:cs="Arial" w:eastAsia="Arial" w:hAnsi="Arial"/>
          <w:sz w:val="18"/>
          <w:szCs w:val="18"/>
          <w:color w:val="auto"/>
        </w:rPr>
        <w:t>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nine months ended September 30, 2020 and 2019.</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When the Company enters into an arrangement that meets the definition of a collaboration under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nine months ended September 30, 2020, the Company recognized $41.2 million in collaborative revenue as a result of opting out of its agreement with Janssen (see Note 5).</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32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3,108,394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3,824,950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Accrued Severance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49,386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1,200,633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Professional fees</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314,213</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Vacation pay</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4,535,910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4,139,163</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INCOME (LOSS) PER SHARE OF COMMON STOCK</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Basic income (loss) per share is calculated by dividing the net income (loss) by the weighted average number of shares of common stock outstanding. Diluted income per share is computed by dividing the net income by the weighted average number of shares of common stock outstanding, plus potential outstanding common stock for the period. Potential outstanding common stock includes stock options and shares underlying RSUs, but only to the extent that their inclusion is dilutive. The following table sets forth the computation of basic and diluted loss per share for common stockholders: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(8,112,613)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(13,962,003)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9,265,598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(42,265,674)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 basic</w:t>
            </w: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41,917,923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40,199,196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39,006,561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Dilutive effect</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278,605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of common stock</w:t>
            </w:r>
          </w:p>
        </w:tc>
        <w:tc>
          <w:tcPr>
            <w:tcW w:w="6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 - diluted</w:t>
            </w:r>
          </w:p>
        </w:tc>
        <w:tc>
          <w:tcPr>
            <w:tcW w:w="6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41,917,923</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40,477,801</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39,006,561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ordinary share:</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securities outstanding at September 30, 2020 and 2019 have been excluded from the calculation of weighted average shares outstanding as their effect on the calculation of loss per share is antidilutive:</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640" w:type="dxa"/>
            <w:vAlign w:val="bottom"/>
            <w:gridSpan w:val="7"/>
          </w:tcPr>
          <w:p>
            <w:pPr>
              <w:jc w:val="center"/>
              <w:ind w:left="1136"/>
              <w:spacing w:after="0"/>
              <w:rPr>
                <w:sz w:val="20"/>
                <w:szCs w:val="20"/>
                <w:color w:val="auto"/>
              </w:rPr>
            </w:pPr>
            <w:r>
              <w:rPr>
                <w:rFonts w:ascii="Arial" w:cs="Arial" w:eastAsia="Arial" w:hAnsi="Arial"/>
                <w:sz w:val="14"/>
                <w:szCs w:val="14"/>
                <w:b w:val="1"/>
                <w:bCs w:val="1"/>
                <w:color w:val="auto"/>
                <w:w w:val="94"/>
              </w:rPr>
              <w:t>Three Months Ended September</w:t>
            </w:r>
          </w:p>
        </w:tc>
        <w:tc>
          <w:tcPr>
            <w:tcW w:w="2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71"/>
        </w:trPr>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120" w:type="dxa"/>
            <w:vAlign w:val="bottom"/>
            <w:gridSpan w:val="3"/>
          </w:tcPr>
          <w:p>
            <w:pPr>
              <w:jc w:val="right"/>
              <w:ind w:right="25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120" w:type="dxa"/>
            <w:vAlign w:val="bottom"/>
            <w:gridSpan w:val="2"/>
          </w:tcPr>
          <w:p>
            <w:pPr>
              <w:jc w:val="right"/>
              <w:ind w:right="25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4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9,347,054</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6,357,500</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48,650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127,300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127,300</w:t>
            </w:r>
          </w:p>
        </w:tc>
        <w:tc>
          <w:tcPr>
            <w:tcW w:w="100" w:type="dxa"/>
            <w:vAlign w:val="bottom"/>
          </w:tcPr>
          <w:p>
            <w:pPr>
              <w:spacing w:after="0"/>
              <w:rPr>
                <w:sz w:val="19"/>
                <w:szCs w:val="19"/>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 xml:space="preserve">The Company has accounted for the Agreement as a joint risk-sharing collaboration in accordance with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w:t>
      </w:r>
    </w:p>
    <w:p>
      <w:pPr>
        <w:spacing w:after="0" w:line="2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2017, the Company entered into an amendment (“the Amendment”) to the Agreement, which became effective on August 29, 2017. Under the Amendment, Janssen waived its right to royalties on seltorexant insomnia sales in the Minerva Territory and made an upfront payment to the Company of $30 million and agreed to waive development payments from the Company until completion of the Phase 2b development milestone, referred to as “Decision Point 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Top-line results have been reported from three Phase 2b trials and one Phase 1b trial with seltorexant.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June 30, 2020, the Company exercised its right to opt out of the Agreement with Janssen pursuant to a Settlement Agreement with Janssen dated June 24, 2020 (the “Settlement Agreement”), which became effective upon exercise of the opt out, pursuant to which the Company and Janssen resolved certain disputes under the Agreement. Under the Settlement Agreement, the Company agreed not to assert that Decision Point 4 has not been reached, Janssen waived the requirement that opt-out occur after Decision Point 4 in order for the Company to receive a royalty on sales of seltorexant after opt-out, and the Company and Janssen agreed to waive any payments to the other with respect to development costs for seltorexant. As a result of the exercise of its right to opt out of the Agreement with Janssen, the Agreement is deemed to have been terminated effective as of October 2, 2019. The Company will now collect a royalty on worldwide sales of seltorexant in all indications in the mid-single digits, with no further financial obligations to Janssen.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will recognize any future royalty revenues in the periods of the sale of the related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nine months ended September 30,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September 30, 2020.</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 Stock option activity for employees and non-employees for the nine months ended September 30, 2020 is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Terms (years)</w:t>
            </w:r>
          </w:p>
        </w:tc>
        <w:tc>
          <w:tcPr>
            <w:tcW w:w="2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2,148,344</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(198,762)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(1,537,500)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Expired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(105,356)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September 30,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9,347,054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CFF0FC"/>
              <w:bottom w:val="single" w:sz="8" w:color="CFF0FC"/>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Exercisable September 30, 2020</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38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4640" w:type="dxa"/>
            <w:vAlign w:val="bottom"/>
            <w:gridSpan w:val="2"/>
            <w:vMerge w:val="continue"/>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5,543,155</w:t>
            </w:r>
          </w:p>
        </w:tc>
        <w:tc>
          <w:tcPr>
            <w:tcW w:w="1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859,510</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September 30, 2020 was $4.32 per share. Total unrecognized compensation costs related to non-vested stock options at September 30, 2020 were approximately $11.8 million and are expected to be recognized within future operating results over a weighted-average period of 2.18 years. The total intrinsic value of the options exercised during the nine months ended September 30, 2020, and 2019 was approximately $0.9 million and $0.2 million, respectively.</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Black-Scholes model to estimate the fair value of stock options granted. For stock options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the Company utilized the following assumptions: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center"/>
              <w:ind w:right="175"/>
              <w:spacing w:after="0" w:line="155"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55"/>
              <w:spacing w:after="0"/>
              <w:rPr>
                <w:sz w:val="20"/>
                <w:szCs w:val="20"/>
                <w:color w:val="auto"/>
              </w:rPr>
            </w:pPr>
            <w:r>
              <w:rPr>
                <w:rFonts w:ascii="Arial" w:cs="Arial" w:eastAsia="Arial" w:hAnsi="Arial"/>
                <w:sz w:val="18"/>
                <w:szCs w:val="18"/>
                <w:color w:val="auto"/>
                <w:w w:val="90"/>
              </w:rPr>
              <w:t>5.5-6.25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8"/>
                <w:szCs w:val="18"/>
                <w:color w:val="auto"/>
                <w:w w:val="91"/>
              </w:rPr>
              <w:t>0.37-0.42%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3"/>
              <w:spacing w:after="0"/>
              <w:rPr>
                <w:sz w:val="20"/>
                <w:szCs w:val="20"/>
                <w:color w:val="auto"/>
              </w:rPr>
            </w:pPr>
            <w:r>
              <w:rPr>
                <w:rFonts w:ascii="Arial" w:cs="Arial" w:eastAsia="Arial" w:hAnsi="Arial"/>
                <w:sz w:val="18"/>
                <w:szCs w:val="18"/>
                <w:color w:val="auto"/>
                <w:w w:val="91"/>
              </w:rPr>
              <w:t>1.91-1.96%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75"/>
              <w:spacing w:after="0"/>
              <w:rPr>
                <w:sz w:val="20"/>
                <w:szCs w:val="20"/>
                <w:color w:val="auto"/>
              </w:rPr>
            </w:pPr>
            <w:r>
              <w:rPr>
                <w:rFonts w:ascii="Arial" w:cs="Arial" w:eastAsia="Arial" w:hAnsi="Arial"/>
                <w:sz w:val="18"/>
                <w:szCs w:val="18"/>
                <w:color w:val="auto"/>
                <w:w w:val="93"/>
              </w:rPr>
              <w:t>68-71%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90"/>
              </w:rPr>
              <w:t>74-77%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w w:val="97"/>
              </w:rPr>
              <w:t>Weighted average grant date fair value per share of</w:t>
            </w:r>
          </w:p>
        </w:tc>
        <w:tc>
          <w:tcPr>
            <w:tcW w:w="2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435"/>
              <w:spacing w:after="0"/>
              <w:rPr>
                <w:sz w:val="20"/>
                <w:szCs w:val="20"/>
                <w:color w:val="auto"/>
              </w:rPr>
            </w:pPr>
            <w:r>
              <w:rPr>
                <w:rFonts w:ascii="Arial" w:cs="Arial" w:eastAsia="Arial" w:hAnsi="Arial"/>
                <w:sz w:val="18"/>
                <w:szCs w:val="18"/>
                <w:color w:val="auto"/>
              </w:rPr>
              <w:t>1.62</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21"/>
        </w:trPr>
        <w:tc>
          <w:tcPr>
            <w:tcW w:w="11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120" w:type="dxa"/>
            <w:vAlign w:val="bottom"/>
          </w:tcPr>
          <w:p>
            <w:pPr>
              <w:jc w:val="right"/>
              <w:ind w:right="14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RSU activity under the Plan for the nine months ended September 30, 2020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September 30,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September 30, 2020 was approximately $0.1 million and is expected to be recognized within future operating results over a period of 0.2 years. The total fair value of shares vested during the nine months ended September 30, 2020 and 2019 was approximately $61 thousand and zero, respectively. The following table presents stock-based compensation expense included in the Company’s consolidated statements of operations: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4"/>
                <w:szCs w:val="14"/>
                <w:color w:val="auto"/>
              </w:rPr>
            </w:pPr>
          </w:p>
        </w:tc>
        <w:tc>
          <w:tcPr>
            <w:tcW w:w="21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71"/>
        </w:trPr>
        <w:tc>
          <w:tcPr>
            <w:tcW w:w="4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1"/>
              </w:rPr>
              <w:t>30,</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6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813,443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651,835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2,189,595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2,005,816</w:t>
            </w:r>
          </w:p>
        </w:tc>
        <w:tc>
          <w:tcPr>
            <w:tcW w:w="80" w:type="dxa"/>
            <w:vAlign w:val="bottom"/>
            <w:shd w:val="clear" w:color="auto" w:fill="CFF0FC"/>
          </w:tcPr>
          <w:p>
            <w:pPr>
              <w:spacing w:after="0"/>
              <w:rPr>
                <w:sz w:val="19"/>
                <w:szCs w:val="19"/>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1,242,592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1,569,354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5,550,109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4,997,464</w:t>
            </w:r>
          </w:p>
        </w:tc>
        <w:tc>
          <w:tcPr>
            <w:tcW w:w="8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2,056,035</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2,221,189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7,739,704</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7,003,280</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While the outcome of these claims cannot be predicted with certainty, management does not believe that the outcome of any of these other legal matters will have a material adverse effect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 Leases, for the Company’s current lease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2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82" w:right="47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nine months ended September 30, 2020: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September 30,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134,452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134,452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143,139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Future minimum Sublease payments under the Company’s non-cancelable operating Sublease as of September 30, 2020 and December 31, 2019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3"/>
            <w:vMerge w:val="restart"/>
          </w:tcPr>
          <w:p>
            <w:pPr>
              <w:ind w:left="1700"/>
              <w:spacing w:after="0"/>
              <w:rPr>
                <w:sz w:val="20"/>
                <w:szCs w:val="20"/>
                <w:color w:val="auto"/>
              </w:rPr>
            </w:pPr>
            <w:r>
              <w:rPr>
                <w:rFonts w:ascii="Arial" w:cs="Arial" w:eastAsia="Arial" w:hAnsi="Arial"/>
                <w:sz w:val="14"/>
                <w:szCs w:val="14"/>
                <w:b w:val="1"/>
                <w:bCs w:val="1"/>
                <w:color w:val="auto"/>
              </w:rPr>
              <w:t>Future Operating Sublease Payments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Nine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(excluding the nine months ended September 30, 2020)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48,864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1700"/>
              <w:spacing w:after="0"/>
              <w:rPr>
                <w:sz w:val="20"/>
                <w:szCs w:val="20"/>
                <w:color w:val="auto"/>
              </w:rPr>
            </w:pPr>
            <w:r>
              <w:rPr>
                <w:rFonts w:ascii="Arial" w:cs="Arial" w:eastAsia="Arial" w:hAnsi="Arial"/>
                <w:sz w:val="18"/>
                <w:szCs w:val="18"/>
                <w:color w:val="auto"/>
              </w:rPr>
              <w:t>Total Sublease payments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162,882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September 30,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156,956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8060" w:type="dxa"/>
            <w:vAlign w:val="bottom"/>
            <w:gridSpan w:val="3"/>
            <w:vMerge w:val="restart"/>
          </w:tcPr>
          <w:p>
            <w:pPr>
              <w:ind w:left="1700"/>
              <w:spacing w:after="0"/>
              <w:rPr>
                <w:sz w:val="20"/>
                <w:szCs w:val="20"/>
                <w:color w:val="auto"/>
              </w:rPr>
            </w:pPr>
            <w:r>
              <w:rPr>
                <w:rFonts w:ascii="Arial" w:cs="Arial" w:eastAsia="Arial" w:hAnsi="Arial"/>
                <w:sz w:val="14"/>
                <w:szCs w:val="14"/>
                <w:b w:val="1"/>
                <w:bCs w:val="1"/>
                <w:color w:val="auto"/>
              </w:rPr>
              <w:t>Future Operating Sublease Payments</w:t>
            </w:r>
          </w:p>
        </w:tc>
        <w:tc>
          <w:tcPr>
            <w:tcW w:w="80" w:type="dxa"/>
            <w:vAlign w:val="bottom"/>
          </w:tcPr>
          <w:p>
            <w:pPr>
              <w:spacing w:after="0"/>
              <w:rPr>
                <w:sz w:val="24"/>
                <w:szCs w:val="2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2019</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gridSpan w:val="3"/>
          </w:tcPr>
          <w:p>
            <w:pPr>
              <w:ind w:left="1700"/>
              <w:spacing w:after="0"/>
              <w:rPr>
                <w:sz w:val="20"/>
                <w:szCs w:val="20"/>
                <w:color w:val="auto"/>
              </w:rPr>
            </w:pPr>
            <w:r>
              <w:rPr>
                <w:rFonts w:ascii="Arial" w:cs="Arial" w:eastAsia="Arial" w:hAnsi="Arial"/>
                <w:sz w:val="18"/>
                <w:szCs w:val="18"/>
                <w:color w:val="auto"/>
              </w:rPr>
              <w:t>Total Sublease payments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(21,892)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Total operating Sublease liabilities at December 31, 2019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284,130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7900" w:type="dxa"/>
            <w:vAlign w:val="bottom"/>
            <w:gridSpan w:val="2"/>
          </w:tcPr>
          <w:p>
            <w:pPr>
              <w:ind w:left="55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2019 as filed with the Securities and Exchange Commission on March 9,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three proprietary compounds that are currently in development. We believe these compounds have innovative mechanisms of action and therapeutic profiles that potentially address the unmet needs of patients with these diseases.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product portfolio and potential indications include: roluperidone (also known as MIN-101) for the treatment of negative symptoms in patients with schizophrenia,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we possess a potential royalty stream from seltorexant (also known as MIN-202 or JNJ-42847922), a compound under development by Janssen Pharmaceutica, N.V., or Janssen, for the treatment of insomnia disorder and major depressive disorder (“MDD”).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June 30, 2020, we exercised our right to opt out of the co-development and license agreement as amended with Janssen, as contemplated by the settlement agreement dated June 24, 2020, which became effective upon exercise of the opt out. Under the settlement agreement, we resolved certain disputes with Janssen under the co-development and license agreement related to the development of seltorexant. As a result of the exercise of our opt-out right, the co-development and license agreement was deemed to have been terminated effective as of October 2, 2019, and we are eligible to collect a royalty on future worldwide sales of seltorexant, if any, in all indications in the mid-single digits, with no financial obligations to Janssen. As a result of the opt-out, during the second quarter of 2020 we recognized approximately $41.2 million in collaborative revenue, which we had previously included on our balance sheet under deferred revenue.</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29, 2020, we announced that the Phase 3 trial of roluperidone to treat negative symptoms in schizophrenia did not meet its primary (reduction in PANSS Marder Negative Symptoms Factor Score, or NSFS) and key secondary (improvement in the Personal and Social Performance Scale Total Score, or PSP) endpoints.</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total, 515 patients were enrolled into the trial, and 513 patients received treatment and were included in the safety and Intent-To-Treat population. The trial was conducted in the United States, Europe and Israel. There were 172 patients who received placebo, 170 patients who received roluperidone 32 mg, and 171 patients who received roluperidone 64 mg. Demographic and baseline disease characteristics were comparable across all treatment arms.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both roluperidone doses versus placebo across both the primary and the key secondary endpoints to Week 12 were corrected for multiplicity using the truncated Hochberg procedure.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primary objective of the trial was to evaluate the change from baseline to Week 12 of NSFS with 32 mg and 64 mg doses of roluperidone compared to placebo in patients diagnosed with schizophrenia presenting with moderate to severe negative symptoms. Neither the 32 mg nor 64 mg dose of roluperidone showed a statistically significant separation from placebo at Week 12 (32 mg: p ≤0.256, effect size [ES]=0.1; 64 mg: p ≤0.064, ES=0.2).</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right="20"/>
        <w:spacing w:after="0" w:line="277" w:lineRule="auto"/>
        <w:rPr>
          <w:sz w:val="20"/>
          <w:szCs w:val="20"/>
          <w:color w:val="auto"/>
        </w:rPr>
      </w:pPr>
      <w:r>
        <w:rPr>
          <w:rFonts w:ascii="Arial" w:cs="Arial" w:eastAsia="Arial" w:hAnsi="Arial"/>
          <w:sz w:val="18"/>
          <w:szCs w:val="18"/>
          <w:color w:val="auto"/>
        </w:rPr>
        <w:t>Furthermore, neither dose showed a statistically significant separation from placebo on the key secondary endpoint, the change from baseline at Week 12 in PSP (32 mg: p ≤0.542, ES=0.1; 64 mg: nominal p ≤0.021, ES=0.3).</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limited inferences can be drawn from this data, unadjusted statistically significant separations from placebo were observed in NSFS at Week 4 for both doses (32 mg: nominal p ≤0.036, ES=0.2; 64 mg: nominal p ≤0.007, ES=0.3), and at Week 8 for the 64 mg dose (nominal p ≤0.027, ES=0.3), and the 64 mg dose was statistically significantly different from placebo as measured by change in PSP at all other assessment timepoints (Week 4, nominal p ≤0.005, ES=0.3; Week 8: nominal p ≤0.018, ES=0.3).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Overall, subgroup analyses by region (United States and rest of the world) and by age groups were similar.</w:t>
      </w:r>
    </w:p>
    <w:p>
      <w:pPr>
        <w:spacing w:after="0" w:line="225"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Roluperidone was generally well tolerated, and the incidences of patients who reported treatment</w:t>
      </w:r>
      <w:r>
        <w:rPr>
          <w:rFonts w:ascii="MS PGothic" w:cs="MS PGothic" w:eastAsia="MS PGothic" w:hAnsi="MS PGothic"/>
          <w:sz w:val="18"/>
          <w:szCs w:val="18"/>
          <w:color w:val="auto"/>
        </w:rPr>
        <w:t>‑</w:t>
      </w:r>
      <w:r>
        <w:rPr>
          <w:rFonts w:ascii="Arial" w:cs="Arial" w:eastAsia="Arial" w:hAnsi="Arial"/>
          <w:sz w:val="18"/>
          <w:szCs w:val="18"/>
          <w:color w:val="auto"/>
        </w:rPr>
        <w:t>emergent adverse events over the duration of 12 weeks of treatment were 37% for the 64 mg group, 42% for the 32 mg group, and 33% for placebo. Only 42 patients discontinued from the study due to adverse events, 16 (9%) in 64 mg arm, 18 (10%) in 32 mg arm, and 8 (5%) in placebo arm. Two treatment-unrelated deaths were reported in the 32 mg treatment arm.</w:t>
      </w:r>
    </w:p>
    <w:p>
      <w:pPr>
        <w:spacing w:after="0" w:line="204"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Patients admitted into the trial had a documented diagnosis of schizophrenia for at least one year and been symptomatically stable for at least six months with moderate to severe negative symptoms (&gt;20 on the PANSS negative symptom subscore)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the results obtained in the Phase 3 study expand upon the outcome of the Phase 2b study that showed improvements in the primary endpoint and in multiple secondary endpoints. We believe the Phase 3 study’s inability to achieve adjusted statistically significant improvement at Week 12 on its primary and key secondary endpoint may be primarily due to a larger than expected placebo effect. Results obtained with the 64 mg dose included an early onset of effect and functional improvement as measured by PSP and suggest that roluperidone merits continued investigation for the treatment of negative symptoms in patients with schizophrenia.</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open-label phase of the trial is ongoing and participating patients continue to receive 1 of the 2 roluperidone doses. The open-label phase is on schedule to be completed during the first quarter of 2021.</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completed additional detailed analyses of data from this trial, following which we requested a meeting with the FDA to consult about the potential next steps in the development of roluperidone. On September 2, 2020, the FDA granted us a Type C meeting, which is currently scheduled to take place via teleconference on November 10, 2020. In preparation for this meeting, we have provided the Type C Meeting Package to the FDA that contains detailed analyses of the Phase 3 trial results and background information on roluperidone. It is possible that the FDA could cancel or reschedule this meeting, and we do not expect to receive the official minutes of the meeting until mid or late December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On June 30, 2020, we exercised our right to opt out of our agreement with Janssen for future Phase 3 development and commercialization of seltorexant. Under the agreement terms, we are entitled to collect a royalty on worldwide sales of seltorexant in all indications in the mid-single digits, with no further future financial obligations to Janssen.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association with the opt out agreement, we recognized $41.2 million of deferred revenue as collaborative revenue during the second quarter of 2020.</w:t>
      </w:r>
    </w:p>
    <w:p>
      <w:pPr>
        <w:spacing w:after="0" w:line="24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Janssen has proposed a Phase 3 development program for seltorexant with a target indication of “adjunctive treatment of MDD (aMDD) in patients with insomnia symptoms” and clinical trials to support that target indication. Because we are no longer participating in the development of seltorexant, we cannot be certain of the effect of the COVID-19 pandemic on this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80"/>
        <w:spacing w:after="0" w:line="277" w:lineRule="auto"/>
        <w:rPr>
          <w:sz w:val="20"/>
          <w:szCs w:val="20"/>
          <w:color w:val="auto"/>
        </w:rPr>
      </w:pPr>
      <w:r>
        <w:rPr>
          <w:rFonts w:ascii="Arial" w:cs="Arial" w:eastAsia="Arial" w:hAnsi="Arial"/>
          <w:sz w:val="18"/>
          <w:szCs w:val="18"/>
          <w:i w:val="1"/>
          <w:iCs w:val="1"/>
          <w:color w:val="auto"/>
        </w:rPr>
        <w:t xml:space="preserve">Collaborative Revenue. </w:t>
      </w:r>
      <w:r>
        <w:rPr>
          <w:rFonts w:ascii="Arial" w:cs="Arial" w:eastAsia="Arial" w:hAnsi="Arial"/>
          <w:sz w:val="18"/>
          <w:szCs w:val="18"/>
          <w:color w:val="auto"/>
        </w:rPr>
        <w:t>As a result of opting out of our co-development and license agreement with Janssen, we recognized the deferred revenue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 the second quarter of 2020 as we do not have any future performance obligations under the agreement.</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expect to continue to incur general and administrative expenses,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expenses denominated in Euros. Because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2020 versus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Total research and development expenses were $4.6 million for the three months ended September 30, 2020 compared to $9.7 million for the same period in 2019, a decrease of approximately $5.1 million. The decrease in research and development expenses primarily reflects lower development expenses for the Phase 3 clinical trial of roluperidone and the completion of the Phase 2b clinical trial of MIN-117 in December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Total general and administrative expenses were $3.5 million for the three months ended September 30, 2020 compared to $4.6 million for the same period in 2019, a decrease of approximately $1.1 million. The decrease in general and administrative expenses was primarily due to a decrease in non-cash stock-based compensation expenses and lower commercial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Foreign exchange losses were $27 thousand for the three months ended September 30, 2020 compared to a loss of $5 thousand for the same period in 2019, an increased loss of $22 thousand. The loss was primarily due to clinical activities denominated in Euros.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Investment income was $5 thousand for the three months ended September 30, 2020 compared to $325 thousand for the same period in 2019, a decrease of $320 thousand. The decrease was due to investment income on lower balances of cash equivalents and marketable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2020 versus September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Collaborative revenue was $41.2 million for the nine months ended September 30, 2020 compared to zero for the same period in 2019, an increase of $41.2 million. The increase in collaborative revenue was the result of opting out of our co-development and license agreement with Janssen and corresponding recognition of revenue as we do not have any future performance obligations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Total research and development expenses were $18.5 million for the nine months ended September 30, 2020 compared to $29.6 million for the same period in 2019, a decrease of approximately $11.1 million. The decrease in research and development expenses primarily reflects lower development expenses for the Phase 3 clinical trial of roluperidone and the completion of the Phase 2b clinical trial of MIN-117 in December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Total general and administrative expenses were $13.5 million for the nine months ended September 30, 2020 compared to $13.9 million for the same period in 2019, a decrease of approximately $0.4 million. The decrease in general and administrative expenses was primarily due to lower commercial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Foreign exchange losses were $41 thousand for the nine months ended September 30, 2020 compared to gains of $18 thousand for the same period in 2019, an increased loss of $23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Investment income was $0.2 million for the nine months ended September 30, 2020 compared to $1.2 million for the same period in 2019, a decrease of $1 million. The decrease was due to investment income on lower balances of cash equivalents and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of September 30, 2020, we had an accumulated deficit of approximately $277.5 million. We anticipate that we will continue to incur net losses for the foreseeable future as we continue the development and potential commercialization of our product candidates and to support our operations as a public company. At September 30, 2020, we had approximately $32.6 million in cash, cash equivalents, and restricted cash. We believe that our existing cash, cash equivalents, and restricted cash will be sufficient to meet our cash commitments for at least the next 12 months after the date that the interim condensed financial statements are issued. As a result of the roluperidone Phase 3 study not achieving a statistically significant improvement on its primary and secondary endpoints, we have significantly decreased our operating plan spending levels. We plan to maintain the lower level of spending while we are preparing for our Type C meeting with the U.S. FDA on November 10, 2020 to discuss the potential next steps in the development and regulatory approval of roluperidone. Therefore, the year-to-date cash used is not representative of the future cash commitments and spending for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August 10, 2018, we entered into the Sales Agreement with Jefferies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nine months ended September 30, 2020, we issued and sold 3,381,608 shares of our common stock under the Sales Agreement. The shares were sold at an average price of $3.7113 per share for aggregate net proceeds to us of approximately $12.1 million, after deducting sales commissions and offering costs payable by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Co-Development and License Agreement with Janssen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30, 2020, we exercised our right to opt out of the Agreement with Janssen pursuant to a Settlement Agreement with Janssen dated June 24, 2020, which became effective upon exercise of the opt out, pursuant to which we and Janssen resolved certain disputes under the Agreement. Under the Settlement Agreement, we agreed not to assert that Decision Point 4 has not been reached, Janssen waived the requirement that opt-out occur after Decision Point 4 in order for us to receive a royalty on sales of seltorexant after opt-out, and we and Janssen agreed to waive any payments to the other with respect to development costs for seltorexant. As a result of our exercise of the opt out, the Agreement was deemed to have been terminated effective as of October 2, 2019. We will collect a royalty on future worldwide sales, if any, of seltorexant in all indications in the mid-single digits, with no financial obligations to Janssen.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date, we have not generated any revenue from sales of products and have only generated collaborative revenue due to opting out of our license and co-development agreement with Janssen. We do not know when, or if, we will generate any revenue from sales of our products or when, or if, we will receive royalty payments from Janssen on future sales of seltorexant, if any.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92"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5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56"/>
        </w:trPr>
        <w:tc>
          <w:tcPr>
            <w:tcW w:w="53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000" w:type="dxa"/>
            <w:vAlign w:val="bottom"/>
            <w:gridSpan w:val="5"/>
          </w:tcPr>
          <w:p>
            <w:pPr>
              <w:jc w:val="right"/>
              <w:ind w:right="110"/>
              <w:spacing w:after="0" w:line="155"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700" w:type="dxa"/>
            <w:vAlign w:val="bottom"/>
          </w:tcPr>
          <w:p>
            <w:pPr>
              <w:jc w:val="right"/>
              <w:ind w:right="548"/>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(26.7)</w:t>
            </w:r>
          </w:p>
        </w:tc>
        <w:tc>
          <w:tcPr>
            <w:tcW w:w="76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(29.2)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(12.3)</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Net cash used in operating activities of approximately $26.7 million during the nine months ended September 30, 2020 was primarily due to our net income of $9.3 million, stock-based compensation expense of $7.7 million, and a $0.4 million increase in accrued expenses, partially offset by a decrease in deferred revenue of $41.2 million, a $1.7 decrease in accounts payable, and an increase prepaid expense of $1.2 million.</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of approximately $29.2 million during the nine months ended September 30, 2019 was primarily due to our net loss of $42.3 million and amortization of investments of $0.7 million, partially offset by stock-based compensation expense of $7.0 million, a $3.6 million increase in accounts payable, a $2.6 million increase in accrued expenses, and a decrease in prepaid expense of $0.6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Net cash provided by investing activities of approximately $24.5 million during the nine months ended September 30, 2020 was primarily due to the maturity and redemption of marketable securities of $28.4 million, partially offset by the purchase of marketable securities of $3.9 million.</w:t>
      </w:r>
    </w:p>
    <w:p>
      <w:pPr>
        <w:spacing w:after="0" w:line="12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Net cash provided by investing activities of approximately $16.4 million during the nine months ended September 30, 2019 was primarily due to the maturity and redemption of marketable securities of $65.8 million, partially offset by the purchase of marketable securities of $49.4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cash provided by financing activities of $13.3 million during the nine months ended September 30, 2020 was due to gross proceeds received from the ‘at the market’ stock offering of $12.6 million less costs of $0.4 million, and proceeds from the exercise of common stock options of $1.1 million.</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financing activities of $0.5 million during the nine months ended September 30, 2019 was due to the proceeds from the exercise of common stock options of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2019, our most critical accounting policies and estimates upon which our financial status depends were identified as those relating to stock-based compensation; research and development costs; in-process research and development; goodwill; income taxes; net operating losses and tax credit carryforwards; and impairment of long-lived assets. We reviewed our policies and determined that those policies remain our most critical accounting policies for the nine months ended September 30,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2020. Based on the evaluation of our disclosure controls and procedures as of September 30, 2020,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2019, as filed with the SEC on March 9, 2020. The risk factors set forth below are risk factors containing changes, which may be material, from the risk factors previously disclosed in Item 1A of our Annual Report on Form 10-K for the fiscal year ended December 31, 2019, as filed with the SEC.</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clinical development-stage biopharmaceutical company.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had an accumulated deficit of $277.5 million.</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As of September 30, 2020, we had cash, cash equivalents, and restricted cash of $32.6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right="560" w:hanging="493"/>
        <w:spacing w:after="0" w:line="25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00" w:right="640" w:hanging="493"/>
        <w:spacing w:after="0" w:line="28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20" w:hanging="493"/>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hanging="493"/>
        <w:spacing w:after="0" w:line="26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Additionally, our headquarters are located in Massachusetts, which implemented such restrictions. In response, we implemented work-from-home policies for our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our workforce may return. The effects of the state executive order, local shelter-in-place orders, government-imposed quarantines and our work-from-home policies, including the uncertainty about their duration, may negatively impact productivity, disrupt our business and delay our clinical programs and timelines. The magnitude of these negative effects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retaining patients in the open-label extension period of the MIN-101C07 study of roluperidone and may have difficultly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nine months ended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nine months ended September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6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1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EE"/>
                <w:w w:val="98"/>
              </w:rPr>
            </w:pPr>
            <w:hyperlink r:id="rId48">
              <w:r>
                <w:rPr>
                  <w:rFonts w:ascii="Arial" w:cs="Arial" w:eastAsia="Arial" w:hAnsi="Arial"/>
                  <w:sz w:val="18"/>
                  <w:szCs w:val="18"/>
                  <w:color w:val="0000EE"/>
                  <w:w w:val="98"/>
                </w:rPr>
                <w:t>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registration statement on Form S-1/A filed with the SEC on June 10, 2014)</w:t>
              </w:r>
            </w:hyperlink>
          </w:p>
        </w:tc>
        <w:tc>
          <w:tcPr>
            <w:tcW w:w="3860" w:type="dxa"/>
            <w:vAlign w:val="bottom"/>
            <w:tcBorders>
              <w:top w:val="single" w:sz="8" w:color="0000EE"/>
            </w:tcBorders>
          </w:tcPr>
          <w:p>
            <w:pPr>
              <w:spacing w:after="0"/>
              <w:rPr>
                <w:sz w:val="17"/>
                <w:szCs w:val="17"/>
                <w:color w:val="auto"/>
              </w:rPr>
            </w:pPr>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9660" w:type="dxa"/>
            <w:vAlign w:val="bottom"/>
            <w:tcBorders>
              <w:bottom w:val="single" w:sz="8" w:color="0000EE"/>
            </w:tcBorders>
            <w:gridSpan w:val="5"/>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Bylaws of the Registrant (incorporated by reference to Exhibit 3.2 to the Registrant’s registration statement on</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Form S-1/A filed with the SEC on November 4, 2019)</w:t>
              </w:r>
            </w:hyperlink>
          </w:p>
        </w:tc>
        <w:tc>
          <w:tcPr>
            <w:tcW w:w="6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Remy Luthringer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Geoff Race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Jay Saoud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Devin Smith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Frederick Ahlholm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Joseph Reilly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Michael Davidson Retention Benefits Letter Agreement (redacted)</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Certification of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Certification of Chief Financial Officer (Principal Financial Officer) pursuant to Section 302 of Sarbanes-Oxley Act of 2002</w:t>
              </w:r>
            </w:hyperlink>
          </w:p>
        </w:tc>
        <w:tc>
          <w:tcPr>
            <w:tcW w:w="0" w:type="dxa"/>
            <w:vAlign w:val="bottom"/>
          </w:tcPr>
          <w:p>
            <w:pPr>
              <w:spacing w:after="0"/>
              <w:rPr>
                <w:sz w:val="1"/>
                <w:szCs w:val="1"/>
                <w:color w:val="auto"/>
              </w:rPr>
            </w:pPr>
          </w:p>
        </w:tc>
      </w:tr>
      <w:tr>
        <w:trPr>
          <w:trHeight w:val="297"/>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r>
              <w:rPr>
                <w:rFonts w:ascii="Arial" w:cs="Arial" w:eastAsia="Arial" w:hAnsi="Arial"/>
                <w:sz w:val="15"/>
                <w:szCs w:val="15"/>
                <w:color w:val="auto"/>
                <w:w w:val="91"/>
              </w:rPr>
              <w:t>+</w:t>
            </w:r>
          </w:p>
        </w:tc>
        <w:tc>
          <w:tcPr>
            <w:tcW w:w="14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Chief Executive Officer (Principal Executive Officer) and Chief Financial Officer (Principal Financial Officer) pursuant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Section 906 of Sarbanes-Oxley Act of 2002</w:t>
              </w:r>
            </w:hyperlink>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24"/>
                <w:szCs w:val="24"/>
                <w:color w:val="auto"/>
              </w:rPr>
            </w:pPr>
          </w:p>
        </w:tc>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Inline XBRL Instance Document</w:t>
            </w:r>
          </w:p>
        </w:tc>
        <w:tc>
          <w:tcPr>
            <w:tcW w:w="69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7"/>
        </w:trPr>
        <w:tc>
          <w:tcPr>
            <w:tcW w:w="10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right="60" w:hanging="78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cover page from Minerva Neuroscience’s Quarterly Report on Form 10-Q for the three months ended September 30, 2020 is formatted in Inline XBRL and it is contained in Exhibit 101</w:t>
      </w:r>
    </w:p>
    <w:p>
      <w:pPr>
        <w:spacing w:after="0" w:line="210" w:lineRule="exact"/>
        <w:rPr>
          <w:rFonts w:ascii="Arial" w:cs="Arial" w:eastAsia="Arial" w:hAnsi="Arial"/>
          <w:sz w:val="18"/>
          <w:szCs w:val="18"/>
          <w:color w:val="auto"/>
        </w:rPr>
      </w:pPr>
    </w:p>
    <w:p>
      <w:pPr>
        <w:ind w:left="380" w:right="300" w:hanging="372"/>
        <w:spacing w:after="0" w:line="26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320" w:top="337" w:right="579" w:bottom="1440" w:gutter="0" w:footer="0" w:header="0"/>
        </w:sectPr>
      </w:pPr>
    </w:p>
    <w:bookmarkStart w:id="30" w:name="page31"/>
    <w:bookmarkEnd w:id="30"/>
    <w:p>
      <w:pPr>
        <w:ind w:left="10000"/>
        <w:spacing w:after="0"/>
        <w:rPr>
          <w:sz w:val="20"/>
          <w:szCs w:val="20"/>
          <w:color w:val="auto"/>
        </w:rPr>
      </w:pPr>
      <w:r>
        <w:rPr>
          <w:rFonts w:ascii="Arial" w:cs="Arial" w:eastAsia="Arial" w:hAnsi="Arial"/>
          <w:sz w:val="20"/>
          <w:szCs w:val="20"/>
          <w:b w:val="1"/>
          <w:bCs w:val="1"/>
          <w:color w:val="auto"/>
        </w:rPr>
        <w:t>EXHIBIT 10.1</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Certain identified information identified with brackets (“[•••]”) has </w:t>
      </w:r>
      <w:r>
        <w:rPr>
          <w:rFonts w:ascii="Arial" w:cs="Arial" w:eastAsia="Arial" w:hAnsi="Arial"/>
          <w:sz w:val="20"/>
          <w:szCs w:val="20"/>
          <w:b w:val="1"/>
          <w:bCs w:val="1"/>
          <w:color w:val="auto"/>
        </w:rPr>
        <w:t>been</w:t>
      </w:r>
      <w:r>
        <w:rPr>
          <w:rFonts w:ascii="Arial" w:cs="Arial" w:eastAsia="Arial" w:hAnsi="Arial"/>
          <w:sz w:val="20"/>
          <w:szCs w:val="20"/>
          <w:color w:val="auto"/>
        </w:rPr>
        <w:t xml:space="preserve"> excluded from this exhibit because it both (i) is not material and (ii) would be competitively harmful if publicly disclosed.</w:t>
      </w:r>
    </w:p>
    <w:p>
      <w:pPr>
        <w:spacing w:after="0" w:line="183"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10.1</w:t>
      </w:r>
      <w:r>
        <w:rPr>
          <w:sz w:val="20"/>
          <w:szCs w:val="20"/>
          <w:color w:val="auto"/>
        </w:rPr>
        <w:tab/>
      </w:r>
      <w:r>
        <w:rPr>
          <w:rFonts w:ascii="Arial" w:cs="Arial" w:eastAsia="Arial" w:hAnsi="Arial"/>
          <w:sz w:val="18"/>
          <w:szCs w:val="18"/>
          <w:color w:val="auto"/>
        </w:rPr>
        <w:t>Remy Luthringer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Remy Luthringer, PhD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Remy: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$282,555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100%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$282,555 to you as an additional bonus [•••] if the Company, on or before March 31, 2021 [•••]. This [•••] Bonus is approximately equal to 100%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63" w:lineRule="auto"/>
        <w:tabs>
          <w:tab w:leader="none" w:pos="796"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Additional Option Grant</w:t>
      </w:r>
      <w:r>
        <w:rPr>
          <w:rFonts w:ascii="Arial" w:cs="Arial" w:eastAsia="Arial" w:hAnsi="Arial"/>
          <w:sz w:val="19"/>
          <w:szCs w:val="19"/>
          <w:color w:val="auto"/>
        </w:rPr>
        <w:t>. You will be granted an option (the “Option”) to purchase 200,000 shares of common stock of the Company, with an exercise price equal to the fair market value of the common 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89" w:lineRule="exact"/>
        <w:rPr>
          <w:rFonts w:ascii="Arial" w:cs="Arial" w:eastAsia="Arial" w:hAnsi="Arial"/>
          <w:sz w:val="19"/>
          <w:szCs w:val="19"/>
          <w:color w:val="auto"/>
        </w:rPr>
      </w:pPr>
    </w:p>
    <w:p>
      <w:pPr>
        <w:ind w:left="800" w:hanging="792"/>
        <w:spacing w:after="0"/>
        <w:tabs>
          <w:tab w:leader="none" w:pos="80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ind w:firstLine="8"/>
        <w:spacing w:after="0" w:line="316" w:lineRule="auto"/>
        <w:tabs>
          <w:tab w:leader="none" w:pos="79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Geoff Race</w:t>
            </w:r>
          </w:p>
        </w:tc>
        <w:tc>
          <w:tcPr>
            <w:tcW w:w="2020" w:type="dxa"/>
            <w:vAlign w:val="bottom"/>
          </w:tcPr>
          <w:p>
            <w:pPr>
              <w:spacing w:after="0"/>
              <w:rPr>
                <w:sz w:val="19"/>
                <w:szCs w:val="19"/>
                <w:color w:val="auto"/>
              </w:rPr>
            </w:pPr>
          </w:p>
        </w:tc>
        <w:tc>
          <w:tcPr>
            <w:tcW w:w="316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CBO, CFO</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20"/>
                <w:szCs w:val="20"/>
                <w:color w:val="auto"/>
              </w:rPr>
              <w:t>ACCEPTED AND AGREED: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Borders>
              <w:bottom w:val="single" w:sz="8" w:color="auto"/>
            </w:tcBorders>
          </w:tcPr>
          <w:p>
            <w:pPr>
              <w:spacing w:after="0"/>
              <w:rPr>
                <w:sz w:val="24"/>
                <w:szCs w:val="24"/>
                <w:color w:val="auto"/>
              </w:rPr>
            </w:pPr>
          </w:p>
        </w:tc>
        <w:tc>
          <w:tcPr>
            <w:tcW w:w="20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20"/>
                <w:szCs w:val="20"/>
                <w:color w:val="auto"/>
              </w:rPr>
              <w:t>Remy Luthringer, PhD</w:t>
            </w:r>
          </w:p>
        </w:tc>
        <w:tc>
          <w:tcPr>
            <w:tcW w:w="20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4040" w:type="dxa"/>
            <w:vAlign w:val="bottom"/>
          </w:tcPr>
          <w:p>
            <w:pPr>
              <w:spacing w:after="0"/>
              <w:rPr>
                <w:sz w:val="20"/>
                <w:szCs w:val="20"/>
                <w:color w:val="auto"/>
              </w:rPr>
            </w:pPr>
            <w:r>
              <w:rPr>
                <w:rFonts w:ascii="Arial" w:cs="Arial" w:eastAsia="Arial" w:hAnsi="Arial"/>
                <w:sz w:val="20"/>
                <w:szCs w:val="20"/>
                <w:color w:val="auto"/>
              </w:rPr>
              <w:t>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32" w:name="page33"/>
    <w:bookmarkEnd w:id="32"/>
    <w:p>
      <w:pPr>
        <w:ind w:left="10000"/>
        <w:spacing w:after="0"/>
        <w:rPr>
          <w:sz w:val="20"/>
          <w:szCs w:val="20"/>
          <w:color w:val="auto"/>
        </w:rPr>
      </w:pPr>
      <w:r>
        <w:rPr>
          <w:rFonts w:ascii="Arial" w:cs="Arial" w:eastAsia="Arial" w:hAnsi="Arial"/>
          <w:sz w:val="20"/>
          <w:szCs w:val="20"/>
          <w:b w:val="1"/>
          <w:bCs w:val="1"/>
          <w:color w:val="auto"/>
        </w:rPr>
        <w:t>EXHIBIT 10.2</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10.2</w:t>
      </w:r>
      <w:r>
        <w:rPr>
          <w:sz w:val="20"/>
          <w:szCs w:val="20"/>
          <w:color w:val="auto"/>
        </w:rPr>
        <w:tab/>
      </w:r>
      <w:r>
        <w:rPr>
          <w:rFonts w:ascii="Arial" w:cs="Arial" w:eastAsia="Arial" w:hAnsi="Arial"/>
          <w:sz w:val="16"/>
          <w:szCs w:val="16"/>
          <w:color w:val="auto"/>
        </w:rPr>
        <w:t>Geoff Race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Geoff Race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Geoff:</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$213,668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100%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$213,668 to you as an additional bonus [•••] if the Company, on or before March 31, 2021 [•••]. This [•••] Bonus is approximately equal to 100%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63" w:lineRule="auto"/>
        <w:tabs>
          <w:tab w:leader="none" w:pos="79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Additional Option Grant</w:t>
      </w:r>
      <w:r>
        <w:rPr>
          <w:rFonts w:ascii="Arial" w:cs="Arial" w:eastAsia="Arial" w:hAnsi="Arial"/>
          <w:sz w:val="19"/>
          <w:szCs w:val="19"/>
          <w:color w:val="auto"/>
        </w:rPr>
        <w:t>. You will be granted an option (the “Option”) to purchase 140,000 shares of common stock of the Company, with an exercise price equal to the fair market value of the common 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89" w:lineRule="exact"/>
        <w:rPr>
          <w:rFonts w:ascii="Arial" w:cs="Arial" w:eastAsia="Arial" w:hAnsi="Arial"/>
          <w:sz w:val="19"/>
          <w:szCs w:val="19"/>
          <w:color w:val="auto"/>
        </w:rPr>
      </w:pPr>
    </w:p>
    <w:p>
      <w:pPr>
        <w:ind w:left="800" w:hanging="792"/>
        <w:spacing w:after="0"/>
        <w:tabs>
          <w:tab w:leader="none" w:pos="80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ind w:firstLine="8"/>
        <w:spacing w:after="0" w:line="316" w:lineRule="auto"/>
        <w:tabs>
          <w:tab w:leader="none" w:pos="79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260" w:type="dxa"/>
            <w:vAlign w:val="bottom"/>
          </w:tcPr>
          <w:p>
            <w:pPr>
              <w:spacing w:after="0"/>
              <w:rPr>
                <w:sz w:val="19"/>
                <w:szCs w:val="19"/>
                <w:color w:val="auto"/>
              </w:rPr>
            </w:pPr>
          </w:p>
        </w:tc>
        <w:tc>
          <w:tcPr>
            <w:tcW w:w="360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6080" w:type="dxa"/>
            <w:vAlign w:val="bottom"/>
            <w:gridSpan w:val="2"/>
          </w:tcPr>
          <w:p>
            <w:pPr>
              <w:spacing w:after="0"/>
              <w:rPr>
                <w:sz w:val="20"/>
                <w:szCs w:val="20"/>
                <w:color w:val="auto"/>
              </w:rPr>
            </w:pPr>
            <w:r>
              <w:rPr>
                <w:rFonts w:ascii="Arial" w:cs="Arial" w:eastAsia="Arial" w:hAnsi="Arial"/>
                <w:sz w:val="20"/>
                <w:szCs w:val="20"/>
                <w:color w:val="auto"/>
              </w:rPr>
              <w:t>Chairman and CEO</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80" w:type="dxa"/>
            <w:vAlign w:val="bottom"/>
            <w:gridSpan w:val="2"/>
          </w:tcPr>
          <w:p>
            <w:pPr>
              <w:spacing w:after="0"/>
              <w:rPr>
                <w:sz w:val="20"/>
                <w:szCs w:val="20"/>
                <w:color w:val="auto"/>
              </w:rPr>
            </w:pPr>
            <w:r>
              <w:rPr>
                <w:rFonts w:ascii="Arial" w:cs="Arial" w:eastAsia="Arial" w:hAnsi="Arial"/>
                <w:sz w:val="20"/>
                <w:szCs w:val="20"/>
                <w:color w:val="auto"/>
              </w:rPr>
              <w:t>ACCEPTED AND AGREED:</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3820" w:type="dxa"/>
            <w:vAlign w:val="bottom"/>
            <w:tcBorders>
              <w:bottom w:val="single" w:sz="8" w:color="auto"/>
            </w:tcBorders>
          </w:tcPr>
          <w:p>
            <w:pPr>
              <w:spacing w:after="0"/>
              <w:rPr>
                <w:sz w:val="24"/>
                <w:szCs w:val="24"/>
                <w:color w:val="auto"/>
              </w:rPr>
            </w:pPr>
          </w:p>
        </w:tc>
        <w:tc>
          <w:tcPr>
            <w:tcW w:w="2260" w:type="dxa"/>
            <w:vAlign w:val="bottom"/>
            <w:vMerge w:val="restart"/>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20"/>
                <w:szCs w:val="20"/>
                <w:color w:val="auto"/>
              </w:rPr>
              <w:t>Geoff Race</w:t>
            </w:r>
          </w:p>
        </w:tc>
        <w:tc>
          <w:tcPr>
            <w:tcW w:w="2260" w:type="dxa"/>
            <w:vAlign w:val="bottom"/>
            <w:vMerge w:val="continue"/>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3820" w:type="dxa"/>
            <w:vAlign w:val="bottom"/>
          </w:tcPr>
          <w:p>
            <w:pPr>
              <w:spacing w:after="0"/>
              <w:rPr>
                <w:sz w:val="20"/>
                <w:szCs w:val="20"/>
                <w:color w:val="auto"/>
              </w:rPr>
            </w:pPr>
            <w:r>
              <w:rPr>
                <w:rFonts w:ascii="Arial" w:cs="Arial" w:eastAsia="Arial" w:hAnsi="Arial"/>
                <w:sz w:val="20"/>
                <w:szCs w:val="20"/>
                <w:color w:val="auto"/>
              </w:rPr>
              <w:t>2</w:t>
            </w:r>
          </w:p>
        </w:tc>
        <w:tc>
          <w:tcPr>
            <w:tcW w:w="2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34" w:name="page35"/>
    <w:bookmarkEnd w:id="34"/>
    <w:p>
      <w:pPr>
        <w:ind w:left="10000"/>
        <w:spacing w:after="0"/>
        <w:rPr>
          <w:sz w:val="20"/>
          <w:szCs w:val="20"/>
          <w:color w:val="auto"/>
        </w:rPr>
      </w:pPr>
      <w:r>
        <w:rPr>
          <w:rFonts w:ascii="Arial" w:cs="Arial" w:eastAsia="Arial" w:hAnsi="Arial"/>
          <w:sz w:val="20"/>
          <w:szCs w:val="20"/>
          <w:b w:val="1"/>
          <w:bCs w:val="1"/>
          <w:color w:val="auto"/>
        </w:rPr>
        <w:t>EXHIBIT 10.3</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10.3</w:t>
      </w:r>
      <w:r>
        <w:rPr>
          <w:sz w:val="20"/>
          <w:szCs w:val="20"/>
          <w:color w:val="auto"/>
        </w:rPr>
        <w:tab/>
      </w:r>
      <w:r>
        <w:rPr>
          <w:rFonts w:ascii="Arial" w:cs="Arial" w:eastAsia="Arial" w:hAnsi="Arial"/>
          <w:sz w:val="16"/>
          <w:szCs w:val="16"/>
          <w:color w:val="auto"/>
        </w:rPr>
        <w:t>Jay Saoud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Jay B. Saoud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Jay:</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$225,600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120%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$56,400 to you as an additional bonus [•••] if the Company, on or before March 31, 2021 [•••]. This [•••] Bonus is approximately equal to 30%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43" w:lineRule="auto"/>
        <w:tabs>
          <w:tab w:leader="none" w:pos="796"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2021 Bonus</w:t>
      </w:r>
      <w:r>
        <w:rPr>
          <w:rFonts w:ascii="Arial" w:cs="Arial" w:eastAsia="Arial" w:hAnsi="Arial"/>
          <w:sz w:val="20"/>
          <w:szCs w:val="20"/>
          <w:color w:val="auto"/>
        </w:rPr>
        <w:t>. If you remain employed by the Company on July 31, 2021, the Company will pay 50% of your target bonus for 2021 on that date. Although your target bonus for 2021 has not yet been determined, it will be no less than your target bonus for 2020. The remainder of your bonus for 2021, if any, will be paid at the sole discretion of the Company based on a variety of factors including, but not limited to, achievement of objectives established for the Company and specific annual objectives for your position set by the Company. Any such payment will be credited against any bonus that may otherwise be due in the future, including any bonus that may be due to you pursuant to severance benefits.</w:t>
      </w:r>
    </w:p>
    <w:p>
      <w:pPr>
        <w:spacing w:after="0" w:line="209" w:lineRule="exact"/>
        <w:rPr>
          <w:rFonts w:ascii="Arial" w:cs="Arial" w:eastAsia="Arial" w:hAnsi="Arial"/>
          <w:sz w:val="20"/>
          <w:szCs w:val="20"/>
          <w:color w:val="auto"/>
        </w:rPr>
      </w:pPr>
    </w:p>
    <w:p>
      <w:pPr>
        <w:ind w:firstLine="8"/>
        <w:spacing w:after="0" w:line="260" w:lineRule="auto"/>
        <w:tabs>
          <w:tab w:leader="none" w:pos="796"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Additional Option Grant</w:t>
      </w:r>
      <w:r>
        <w:rPr>
          <w:rFonts w:ascii="Arial" w:cs="Arial" w:eastAsia="Arial" w:hAnsi="Arial"/>
          <w:sz w:val="20"/>
          <w:szCs w:val="20"/>
          <w:color w:val="auto"/>
        </w:rPr>
        <w:t>. You will be granted an option (the “Option”) to purchase 100,000 shares of common stock of the Company, with an exercise price equal to the fair market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jc w:val="both"/>
        <w:spacing w:after="0" w:line="250" w:lineRule="auto"/>
        <w:rPr>
          <w:sz w:val="20"/>
          <w:szCs w:val="20"/>
          <w:color w:val="auto"/>
        </w:rPr>
      </w:pPr>
      <w:r>
        <w:rPr>
          <w:rFonts w:ascii="Arial" w:cs="Arial" w:eastAsia="Arial" w:hAnsi="Arial"/>
          <w:sz w:val="20"/>
          <w:szCs w:val="20"/>
          <w:color w:val="auto"/>
        </w:rPr>
        <w:t>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99"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40" w:lineRule="exact"/>
        <w:rPr>
          <w:rFonts w:ascii="Arial" w:cs="Arial" w:eastAsia="Arial" w:hAnsi="Arial"/>
          <w:sz w:val="19"/>
          <w:szCs w:val="19"/>
          <w:color w:val="auto"/>
        </w:rPr>
      </w:pPr>
    </w:p>
    <w:p>
      <w:pPr>
        <w:ind w:firstLine="8"/>
        <w:spacing w:after="0" w:line="316" w:lineRule="auto"/>
        <w:tabs>
          <w:tab w:leader="none" w:pos="79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020" w:type="dxa"/>
            <w:vAlign w:val="bottom"/>
          </w:tcPr>
          <w:p>
            <w:pPr>
              <w:spacing w:after="0"/>
              <w:rPr>
                <w:sz w:val="19"/>
                <w:szCs w:val="19"/>
                <w:color w:val="auto"/>
              </w:rPr>
            </w:pPr>
          </w:p>
        </w:tc>
        <w:tc>
          <w:tcPr>
            <w:tcW w:w="316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Chairman and CEO</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20"/>
                <w:szCs w:val="20"/>
                <w:color w:val="auto"/>
              </w:rPr>
              <w:t>ACCEPTED AND AGREED: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Borders>
              <w:bottom w:val="single" w:sz="8" w:color="auto"/>
            </w:tcBorders>
          </w:tcPr>
          <w:p>
            <w:pPr>
              <w:spacing w:after="0"/>
              <w:rPr>
                <w:sz w:val="24"/>
                <w:szCs w:val="24"/>
                <w:color w:val="auto"/>
              </w:rPr>
            </w:pPr>
          </w:p>
        </w:tc>
        <w:tc>
          <w:tcPr>
            <w:tcW w:w="20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20"/>
                <w:szCs w:val="20"/>
                <w:color w:val="auto"/>
              </w:rPr>
              <w:t>Jay Saoud</w:t>
            </w:r>
          </w:p>
        </w:tc>
        <w:tc>
          <w:tcPr>
            <w:tcW w:w="20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4040" w:type="dxa"/>
            <w:vAlign w:val="bottom"/>
          </w:tcPr>
          <w:p>
            <w:pPr>
              <w:spacing w:after="0"/>
              <w:rPr>
                <w:sz w:val="20"/>
                <w:szCs w:val="20"/>
                <w:color w:val="auto"/>
              </w:rPr>
            </w:pPr>
            <w:r>
              <w:rPr>
                <w:rFonts w:ascii="Arial" w:cs="Arial" w:eastAsia="Arial" w:hAnsi="Arial"/>
                <w:sz w:val="20"/>
                <w:szCs w:val="20"/>
                <w:color w:val="auto"/>
              </w:rPr>
              <w:t>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36" w:name="page37"/>
    <w:bookmarkEnd w:id="36"/>
    <w:p>
      <w:pPr>
        <w:ind w:left="10000"/>
        <w:spacing w:after="0"/>
        <w:rPr>
          <w:sz w:val="20"/>
          <w:szCs w:val="20"/>
          <w:color w:val="auto"/>
        </w:rPr>
      </w:pPr>
      <w:r>
        <w:rPr>
          <w:rFonts w:ascii="Arial" w:cs="Arial" w:eastAsia="Arial" w:hAnsi="Arial"/>
          <w:sz w:val="20"/>
          <w:szCs w:val="20"/>
          <w:b w:val="1"/>
          <w:bCs w:val="1"/>
          <w:color w:val="auto"/>
        </w:rPr>
        <w:t>EXHIBIT 10.4</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10.4</w:t>
      </w:r>
      <w:r>
        <w:rPr>
          <w:sz w:val="20"/>
          <w:szCs w:val="20"/>
          <w:color w:val="auto"/>
        </w:rPr>
        <w:tab/>
      </w:r>
      <w:r>
        <w:rPr>
          <w:rFonts w:ascii="Arial" w:cs="Arial" w:eastAsia="Arial" w:hAnsi="Arial"/>
          <w:sz w:val="18"/>
          <w:szCs w:val="18"/>
          <w:color w:val="auto"/>
        </w:rPr>
        <w:t>Devin Smith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Devin Smith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Devin:</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$203,440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120%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1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$50,860 to you as an additional bonus [•••] if the Company, on or before March 31, 2021 [•••]. This [•••] Bonus is approximately equal to 30%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43" w:lineRule="auto"/>
        <w:tabs>
          <w:tab w:leader="none" w:pos="79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2021 Bonus</w:t>
      </w:r>
      <w:r>
        <w:rPr>
          <w:rFonts w:ascii="Arial" w:cs="Arial" w:eastAsia="Arial" w:hAnsi="Arial"/>
          <w:sz w:val="20"/>
          <w:szCs w:val="20"/>
          <w:color w:val="auto"/>
        </w:rPr>
        <w:t>. If you remain employed by the Company on July 31, 2021, the Company will pay 50% of your target bonus for 2021 on that date. Although your target bonus for 2021 has not yet been determined, it will be no less than your target bonus for 2020. The remainder of your bonus for 2021, if any, will be paid at the sole discretion of the Company based on a variety of factors including, but not limited to, achievement of objectives established for the Company and specific annual objectives for your position set by the Company. Any such payment will be credited against any bonus that may otherwise be due in the future, including any bonus that may be due to you pursuant to severance benefits.</w:t>
      </w:r>
    </w:p>
    <w:p>
      <w:pPr>
        <w:spacing w:after="0" w:line="209" w:lineRule="exact"/>
        <w:rPr>
          <w:rFonts w:ascii="Arial" w:cs="Arial" w:eastAsia="Arial" w:hAnsi="Arial"/>
          <w:sz w:val="20"/>
          <w:szCs w:val="20"/>
          <w:color w:val="auto"/>
        </w:rPr>
      </w:pPr>
    </w:p>
    <w:p>
      <w:pPr>
        <w:ind w:right="20" w:firstLine="8"/>
        <w:spacing w:after="0" w:line="260" w:lineRule="auto"/>
        <w:tabs>
          <w:tab w:leader="none" w:pos="79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Additional Option Grant</w:t>
      </w:r>
      <w:r>
        <w:rPr>
          <w:rFonts w:ascii="Arial" w:cs="Arial" w:eastAsia="Arial" w:hAnsi="Arial"/>
          <w:sz w:val="20"/>
          <w:szCs w:val="20"/>
          <w:color w:val="auto"/>
        </w:rPr>
        <w:t>. You will be granted an option (the “Option”) to purchase 85,000 shares of common stock of the Company, with an exercise price equal to the fair market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jc w:val="both"/>
        <w:spacing w:after="0" w:line="250" w:lineRule="auto"/>
        <w:rPr>
          <w:sz w:val="20"/>
          <w:szCs w:val="20"/>
          <w:color w:val="auto"/>
        </w:rPr>
      </w:pPr>
      <w:r>
        <w:rPr>
          <w:rFonts w:ascii="Arial" w:cs="Arial" w:eastAsia="Arial" w:hAnsi="Arial"/>
          <w:sz w:val="20"/>
          <w:szCs w:val="20"/>
          <w:color w:val="auto"/>
        </w:rPr>
        <w:t>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99"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40" w:lineRule="exact"/>
        <w:rPr>
          <w:rFonts w:ascii="Arial" w:cs="Arial" w:eastAsia="Arial" w:hAnsi="Arial"/>
          <w:sz w:val="19"/>
          <w:szCs w:val="19"/>
          <w:color w:val="auto"/>
        </w:rPr>
      </w:pPr>
    </w:p>
    <w:p>
      <w:pPr>
        <w:ind w:firstLine="8"/>
        <w:spacing w:after="0" w:line="316" w:lineRule="auto"/>
        <w:tabs>
          <w:tab w:leader="none" w:pos="79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020" w:type="dxa"/>
            <w:vAlign w:val="bottom"/>
          </w:tcPr>
          <w:p>
            <w:pPr>
              <w:spacing w:after="0"/>
              <w:rPr>
                <w:sz w:val="19"/>
                <w:szCs w:val="19"/>
                <w:color w:val="auto"/>
              </w:rPr>
            </w:pPr>
          </w:p>
        </w:tc>
        <w:tc>
          <w:tcPr>
            <w:tcW w:w="316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Chairman and CEO</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20"/>
                <w:szCs w:val="20"/>
                <w:color w:val="auto"/>
              </w:rPr>
              <w:t>ACCEPTED AND AGREED: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Borders>
              <w:bottom w:val="single" w:sz="8" w:color="auto"/>
            </w:tcBorders>
          </w:tcPr>
          <w:p>
            <w:pPr>
              <w:spacing w:after="0"/>
              <w:rPr>
                <w:sz w:val="24"/>
                <w:szCs w:val="24"/>
                <w:color w:val="auto"/>
              </w:rPr>
            </w:pPr>
          </w:p>
        </w:tc>
        <w:tc>
          <w:tcPr>
            <w:tcW w:w="20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20"/>
                <w:szCs w:val="20"/>
                <w:color w:val="auto"/>
              </w:rPr>
              <w:t>Devin Smith</w:t>
            </w:r>
          </w:p>
        </w:tc>
        <w:tc>
          <w:tcPr>
            <w:tcW w:w="20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4040" w:type="dxa"/>
            <w:vAlign w:val="bottom"/>
          </w:tcPr>
          <w:p>
            <w:pPr>
              <w:spacing w:after="0"/>
              <w:rPr>
                <w:sz w:val="20"/>
                <w:szCs w:val="20"/>
                <w:color w:val="auto"/>
              </w:rPr>
            </w:pPr>
            <w:r>
              <w:rPr>
                <w:rFonts w:ascii="Arial" w:cs="Arial" w:eastAsia="Arial" w:hAnsi="Arial"/>
                <w:sz w:val="20"/>
                <w:szCs w:val="20"/>
                <w:color w:val="auto"/>
              </w:rPr>
              <w:t>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38" w:name="page39"/>
    <w:bookmarkEnd w:id="38"/>
    <w:p>
      <w:pPr>
        <w:ind w:left="10000"/>
        <w:spacing w:after="0"/>
        <w:rPr>
          <w:sz w:val="20"/>
          <w:szCs w:val="20"/>
          <w:color w:val="auto"/>
        </w:rPr>
      </w:pPr>
      <w:r>
        <w:rPr>
          <w:rFonts w:ascii="Arial" w:cs="Arial" w:eastAsia="Arial" w:hAnsi="Arial"/>
          <w:sz w:val="20"/>
          <w:szCs w:val="20"/>
          <w:b w:val="1"/>
          <w:bCs w:val="1"/>
          <w:color w:val="auto"/>
        </w:rPr>
        <w:t>EXHIBIT 10.5</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Certain identified information identified with brackets (“[•••]”) has been excluded from this exhibit because it both (i) is not material and (ii)</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would be competitively harmful if publicly disclosed.</w:t>
      </w:r>
    </w:p>
    <w:p>
      <w:pPr>
        <w:spacing w:after="0" w:line="213"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10.5</w:t>
      </w:r>
      <w:r>
        <w:rPr>
          <w:sz w:val="20"/>
          <w:szCs w:val="20"/>
          <w:color w:val="auto"/>
        </w:rPr>
        <w:tab/>
      </w:r>
      <w:r>
        <w:rPr>
          <w:rFonts w:ascii="Arial" w:cs="Arial" w:eastAsia="Arial" w:hAnsi="Arial"/>
          <w:sz w:val="18"/>
          <w:szCs w:val="18"/>
          <w:color w:val="auto"/>
        </w:rPr>
        <w:t>Frederick Ahlholm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Frederick Ahlholm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Fred:</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xml:space="preserve"> The Company will pay $183,546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120%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xml:space="preserve"> The Company will pay $45,887 to you as an additional bonus [•••] if the Company, on or before March 31, 2021 [•••]. This [•••] Bonus is approximately equal to 30%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43" w:lineRule="auto"/>
        <w:tabs>
          <w:tab w:leader="none" w:pos="79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2021 Bonus.</w:t>
      </w:r>
      <w:r>
        <w:rPr>
          <w:rFonts w:ascii="Arial" w:cs="Arial" w:eastAsia="Arial" w:hAnsi="Arial"/>
          <w:sz w:val="20"/>
          <w:szCs w:val="20"/>
          <w:color w:val="auto"/>
        </w:rPr>
        <w:t xml:space="preserve"> If you remain employed by the Company on July 31, 2021, the Company will pay 50% of your target bonus for 2021 on that date. Although your target bonus for 2021 has not yet been determined, it will be no less than your target bonus for 2020. The remainder of your bonus for 2021, if any, will be paid at the sole discretion of the Company based on a variety of factors including, but not limited to, achievement of objectives established for the Company and specific annual objectives for your position set by the Company. Any such payment will be credited against any bonus that may otherwise be due in the future, including any bonus that may be due to you pursuant to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9" w:name="page40"/>
    <w:bookmarkEnd w:id="39"/>
    <w:p>
      <w:pPr>
        <w:jc w:val="both"/>
        <w:ind w:firstLine="8"/>
        <w:spacing w:after="0" w:line="263" w:lineRule="auto"/>
        <w:tabs>
          <w:tab w:leader="none" w:pos="79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Additional Option Grant.</w:t>
      </w:r>
      <w:r>
        <w:rPr>
          <w:rFonts w:ascii="Arial" w:cs="Arial" w:eastAsia="Arial" w:hAnsi="Arial"/>
          <w:sz w:val="19"/>
          <w:szCs w:val="19"/>
          <w:color w:val="auto"/>
        </w:rPr>
        <w:t xml:space="preserve"> You will be granted an option (the “Option”) to purchase 85,000 shares of common stock of the Company, with an exercise price equal to the fair market value of the common 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89" w:lineRule="exact"/>
        <w:rPr>
          <w:rFonts w:ascii="Arial" w:cs="Arial" w:eastAsia="Arial" w:hAnsi="Arial"/>
          <w:sz w:val="19"/>
          <w:szCs w:val="19"/>
          <w:color w:val="auto"/>
        </w:rPr>
      </w:pPr>
    </w:p>
    <w:p>
      <w:pPr>
        <w:ind w:left="800" w:hanging="792"/>
        <w:spacing w:after="0"/>
        <w:tabs>
          <w:tab w:leader="none" w:pos="80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Employment At-Will. Of course,</w:t>
      </w:r>
      <w:r>
        <w:rPr>
          <w:rFonts w:ascii="Arial" w:cs="Arial" w:eastAsia="Arial" w:hAnsi="Arial"/>
          <w:sz w:val="19"/>
          <w:szCs w:val="19"/>
          <w:color w:val="auto"/>
        </w:rPr>
        <w:t xml:space="preserve"> as with all employees, your employment relationship with the Company remains at-will.</w:t>
      </w:r>
    </w:p>
    <w:p>
      <w:pPr>
        <w:spacing w:after="0" w:line="240" w:lineRule="exact"/>
        <w:rPr>
          <w:rFonts w:ascii="Arial" w:cs="Arial" w:eastAsia="Arial" w:hAnsi="Arial"/>
          <w:sz w:val="19"/>
          <w:szCs w:val="19"/>
          <w:color w:val="auto"/>
        </w:rPr>
      </w:pPr>
    </w:p>
    <w:p>
      <w:pPr>
        <w:ind w:right="20" w:firstLine="8"/>
        <w:spacing w:after="0" w:line="316" w:lineRule="auto"/>
        <w:tabs>
          <w:tab w:leader="none" w:pos="79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xml:space="preserve">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260" w:type="dxa"/>
            <w:vAlign w:val="bottom"/>
          </w:tcPr>
          <w:p>
            <w:pPr>
              <w:spacing w:after="0"/>
              <w:rPr>
                <w:sz w:val="19"/>
                <w:szCs w:val="19"/>
                <w:color w:val="auto"/>
              </w:rPr>
            </w:pPr>
          </w:p>
        </w:tc>
        <w:tc>
          <w:tcPr>
            <w:tcW w:w="360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Date</w:t>
            </w:r>
          </w:p>
        </w:tc>
      </w:tr>
      <w:tr>
        <w:trPr>
          <w:trHeight w:val="250"/>
        </w:trPr>
        <w:tc>
          <w:tcPr>
            <w:tcW w:w="3820" w:type="dxa"/>
            <w:vAlign w:val="bottom"/>
          </w:tcPr>
          <w:p>
            <w:pPr>
              <w:spacing w:after="0"/>
              <w:rPr>
                <w:sz w:val="20"/>
                <w:szCs w:val="20"/>
                <w:color w:val="auto"/>
              </w:rPr>
            </w:pPr>
            <w:r>
              <w:rPr>
                <w:rFonts w:ascii="Arial" w:cs="Arial" w:eastAsia="Arial" w:hAnsi="Arial"/>
                <w:sz w:val="20"/>
                <w:szCs w:val="20"/>
                <w:color w:val="auto"/>
              </w:rPr>
              <w:t>Chairman and CEO</w:t>
            </w:r>
          </w:p>
        </w:tc>
        <w:tc>
          <w:tcPr>
            <w:tcW w:w="226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459"/>
        </w:trPr>
        <w:tc>
          <w:tcPr>
            <w:tcW w:w="3820" w:type="dxa"/>
            <w:vAlign w:val="bottom"/>
          </w:tcPr>
          <w:p>
            <w:pPr>
              <w:spacing w:after="0"/>
              <w:rPr>
                <w:sz w:val="20"/>
                <w:szCs w:val="20"/>
                <w:color w:val="auto"/>
              </w:rPr>
            </w:pPr>
            <w:r>
              <w:rPr>
                <w:rFonts w:ascii="Arial" w:cs="Arial" w:eastAsia="Arial" w:hAnsi="Arial"/>
                <w:sz w:val="20"/>
                <w:szCs w:val="20"/>
                <w:color w:val="auto"/>
              </w:rPr>
              <w:t>ACCEPTED AND AGREED:</w:t>
            </w:r>
          </w:p>
        </w:tc>
        <w:tc>
          <w:tcPr>
            <w:tcW w:w="22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5"/>
        </w:trPr>
        <w:tc>
          <w:tcPr>
            <w:tcW w:w="382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44"/>
        </w:trPr>
        <w:tc>
          <w:tcPr>
            <w:tcW w:w="3820" w:type="dxa"/>
            <w:vAlign w:val="bottom"/>
          </w:tcPr>
          <w:p>
            <w:pPr>
              <w:spacing w:after="0"/>
              <w:rPr>
                <w:sz w:val="20"/>
                <w:szCs w:val="20"/>
                <w:color w:val="auto"/>
              </w:rPr>
            </w:pPr>
            <w:r>
              <w:rPr>
                <w:rFonts w:ascii="Arial" w:cs="Arial" w:eastAsia="Arial" w:hAnsi="Arial"/>
                <w:sz w:val="20"/>
                <w:szCs w:val="20"/>
                <w:color w:val="auto"/>
              </w:rPr>
              <w:t>Frederick Ahlholm</w:t>
            </w:r>
          </w:p>
        </w:tc>
        <w:tc>
          <w:tcPr>
            <w:tcW w:w="226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20"/>
                <w:szCs w:val="20"/>
                <w:color w:val="auto"/>
              </w:rPr>
              <w:t>Date</w:t>
            </w:r>
          </w:p>
        </w:tc>
      </w:tr>
      <w:tr>
        <w:trPr>
          <w:trHeight w:val="641"/>
        </w:trPr>
        <w:tc>
          <w:tcPr>
            <w:tcW w:w="3820" w:type="dxa"/>
            <w:vAlign w:val="bottom"/>
          </w:tcPr>
          <w:p>
            <w:pPr>
              <w:spacing w:after="0"/>
              <w:rPr>
                <w:sz w:val="24"/>
                <w:szCs w:val="24"/>
                <w:color w:val="auto"/>
              </w:rPr>
            </w:pPr>
          </w:p>
        </w:tc>
        <w:tc>
          <w:tcPr>
            <w:tcW w:w="226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3600" w:type="dxa"/>
            <w:vAlign w:val="bottom"/>
          </w:tcPr>
          <w:p>
            <w:pPr>
              <w:spacing w:after="0"/>
              <w:rPr>
                <w:sz w:val="24"/>
                <w:szCs w:val="24"/>
                <w:color w:val="auto"/>
              </w:rPr>
            </w:pPr>
          </w:p>
        </w:tc>
      </w:tr>
    </w:tbl>
    <w:p>
      <w:pPr>
        <w:sectPr>
          <w:pgSz w:w="11900" w:h="16838" w:orient="portrait"/>
          <w:cols w:equalWidth="0" w:num="1">
            <w:col w:w="11240"/>
          </w:cols>
          <w:pgMar w:left="320" w:top="352" w:right="339" w:bottom="1440" w:gutter="0" w:footer="0" w:header="0"/>
        </w:sectPr>
      </w:pPr>
    </w:p>
    <w:bookmarkStart w:id="40" w:name="page41"/>
    <w:bookmarkEnd w:id="40"/>
    <w:p>
      <w:pPr>
        <w:ind w:left="10000"/>
        <w:spacing w:after="0"/>
        <w:rPr>
          <w:sz w:val="20"/>
          <w:szCs w:val="20"/>
          <w:color w:val="auto"/>
        </w:rPr>
      </w:pPr>
      <w:r>
        <w:rPr>
          <w:rFonts w:ascii="Arial" w:cs="Arial" w:eastAsia="Arial" w:hAnsi="Arial"/>
          <w:sz w:val="20"/>
          <w:szCs w:val="20"/>
          <w:b w:val="1"/>
          <w:bCs w:val="1"/>
          <w:color w:val="auto"/>
        </w:rPr>
        <w:t>EXHIBIT 10.6</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10.6</w:t>
      </w:r>
      <w:r>
        <w:rPr>
          <w:sz w:val="20"/>
          <w:szCs w:val="20"/>
          <w:color w:val="auto"/>
        </w:rPr>
        <w:tab/>
      </w:r>
      <w:r>
        <w:rPr>
          <w:rFonts w:ascii="Arial" w:cs="Arial" w:eastAsia="Arial" w:hAnsi="Arial"/>
          <w:sz w:val="16"/>
          <w:szCs w:val="16"/>
          <w:color w:val="auto"/>
        </w:rPr>
        <w:t>Joseph Reilly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October 13, 2020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Joseph Reilly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Joe: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$201,009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120%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1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$50,252 to you as an additional bonus [•••] if the Company, on or before March 31, 2021 [•••]. This [•••] Bonus is approximately equal to 30%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43" w:lineRule="auto"/>
        <w:tabs>
          <w:tab w:leader="none" w:pos="79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2021 Bonus</w:t>
      </w:r>
      <w:r>
        <w:rPr>
          <w:rFonts w:ascii="Arial" w:cs="Arial" w:eastAsia="Arial" w:hAnsi="Arial"/>
          <w:sz w:val="20"/>
          <w:szCs w:val="20"/>
          <w:color w:val="auto"/>
        </w:rPr>
        <w:t>. If you remain employed by the Company on July 31, 2021, the Company will pay 50% of your target bonus for 2021 on that date. Although your target bonus for 2021 has not yet been determined, it will be no less than your target bonus for 2020. The remainder of your bonus for 2021, if any, will be paid at the sole discretion of the Company based on a variety of factors including, but not limited to, achievement of objectives established for the Company and specific annual objectives for your position set by the Company. Any such payment will be credited against any bonus that may otherwise be due in the future, including any bonus that may be due to you pursuant to severance benefits.</w:t>
      </w:r>
    </w:p>
    <w:p>
      <w:pPr>
        <w:spacing w:after="0" w:line="209" w:lineRule="exact"/>
        <w:rPr>
          <w:rFonts w:ascii="Arial" w:cs="Arial" w:eastAsia="Arial" w:hAnsi="Arial"/>
          <w:sz w:val="20"/>
          <w:szCs w:val="20"/>
          <w:color w:val="auto"/>
        </w:rPr>
      </w:pPr>
    </w:p>
    <w:p>
      <w:pPr>
        <w:ind w:right="20" w:firstLine="8"/>
        <w:spacing w:after="0" w:line="260" w:lineRule="auto"/>
        <w:tabs>
          <w:tab w:leader="none" w:pos="79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Additional Option Grant</w:t>
      </w:r>
      <w:r>
        <w:rPr>
          <w:rFonts w:ascii="Arial" w:cs="Arial" w:eastAsia="Arial" w:hAnsi="Arial"/>
          <w:sz w:val="20"/>
          <w:szCs w:val="20"/>
          <w:color w:val="auto"/>
        </w:rPr>
        <w:t>. You will be granted an option (the “Option”) to purchase 85,000 shares of common stock of the Company, with an exercise price equal to the fair market value of the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both"/>
        <w:spacing w:after="0" w:line="250" w:lineRule="auto"/>
        <w:rPr>
          <w:sz w:val="20"/>
          <w:szCs w:val="20"/>
          <w:color w:val="auto"/>
        </w:rPr>
      </w:pPr>
      <w:r>
        <w:rPr>
          <w:rFonts w:ascii="Arial" w:cs="Arial" w:eastAsia="Arial" w:hAnsi="Arial"/>
          <w:sz w:val="20"/>
          <w:szCs w:val="20"/>
          <w:color w:val="auto"/>
        </w:rPr>
        <w:t>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199" w:lineRule="exact"/>
        <w:rPr>
          <w:sz w:val="20"/>
          <w:szCs w:val="20"/>
          <w:color w:val="auto"/>
        </w:rPr>
      </w:pPr>
    </w:p>
    <w:p>
      <w:pPr>
        <w:ind w:left="800" w:hanging="792"/>
        <w:spacing w:after="0"/>
        <w:tabs>
          <w:tab w:leader="none" w:pos="80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40" w:lineRule="exact"/>
        <w:rPr>
          <w:rFonts w:ascii="Arial" w:cs="Arial" w:eastAsia="Arial" w:hAnsi="Arial"/>
          <w:sz w:val="19"/>
          <w:szCs w:val="19"/>
          <w:color w:val="auto"/>
        </w:rPr>
      </w:pPr>
    </w:p>
    <w:p>
      <w:pPr>
        <w:ind w:firstLine="8"/>
        <w:spacing w:after="0" w:line="316" w:lineRule="auto"/>
        <w:tabs>
          <w:tab w:leader="none" w:pos="79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020" w:type="dxa"/>
            <w:vAlign w:val="bottom"/>
          </w:tcPr>
          <w:p>
            <w:pPr>
              <w:spacing w:after="0"/>
              <w:rPr>
                <w:sz w:val="19"/>
                <w:szCs w:val="19"/>
                <w:color w:val="auto"/>
              </w:rPr>
            </w:pPr>
          </w:p>
        </w:tc>
        <w:tc>
          <w:tcPr>
            <w:tcW w:w="316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Chairman and CEO</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20"/>
                <w:szCs w:val="20"/>
                <w:color w:val="auto"/>
              </w:rPr>
              <w:t>ACCEPTED AND AGREED: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Borders>
              <w:bottom w:val="single" w:sz="8" w:color="auto"/>
            </w:tcBorders>
          </w:tcPr>
          <w:p>
            <w:pPr>
              <w:spacing w:after="0"/>
              <w:rPr>
                <w:sz w:val="24"/>
                <w:szCs w:val="24"/>
                <w:color w:val="auto"/>
              </w:rPr>
            </w:pPr>
          </w:p>
        </w:tc>
        <w:tc>
          <w:tcPr>
            <w:tcW w:w="20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20"/>
                <w:szCs w:val="20"/>
                <w:color w:val="auto"/>
              </w:rPr>
              <w:t>Joseph Reilly</w:t>
            </w:r>
          </w:p>
        </w:tc>
        <w:tc>
          <w:tcPr>
            <w:tcW w:w="20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4040" w:type="dxa"/>
            <w:vAlign w:val="bottom"/>
          </w:tcPr>
          <w:p>
            <w:pPr>
              <w:spacing w:after="0"/>
              <w:rPr>
                <w:sz w:val="20"/>
                <w:szCs w:val="20"/>
                <w:color w:val="auto"/>
              </w:rPr>
            </w:pPr>
            <w:r>
              <w:rPr>
                <w:rFonts w:ascii="Arial" w:cs="Arial" w:eastAsia="Arial" w:hAnsi="Arial"/>
                <w:sz w:val="20"/>
                <w:szCs w:val="20"/>
                <w:color w:val="auto"/>
              </w:rPr>
              <w:t>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42" w:name="page43"/>
    <w:bookmarkEnd w:id="42"/>
    <w:p>
      <w:pPr>
        <w:ind w:left="10000"/>
        <w:spacing w:after="0"/>
        <w:rPr>
          <w:sz w:val="20"/>
          <w:szCs w:val="20"/>
          <w:color w:val="auto"/>
        </w:rPr>
      </w:pPr>
      <w:r>
        <w:rPr>
          <w:rFonts w:ascii="Arial" w:cs="Arial" w:eastAsia="Arial" w:hAnsi="Arial"/>
          <w:sz w:val="20"/>
          <w:szCs w:val="20"/>
          <w:b w:val="1"/>
          <w:bCs w:val="1"/>
          <w:color w:val="auto"/>
        </w:rPr>
        <w:t>EXHIBIT 10.7</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10.7</w:t>
      </w:r>
      <w:r>
        <w:rPr>
          <w:sz w:val="20"/>
          <w:szCs w:val="20"/>
          <w:color w:val="auto"/>
        </w:rPr>
        <w:tab/>
      </w:r>
      <w:r>
        <w:rPr>
          <w:rFonts w:ascii="Arial" w:cs="Arial" w:eastAsia="Arial" w:hAnsi="Arial"/>
          <w:sz w:val="18"/>
          <w:szCs w:val="18"/>
          <w:color w:val="auto"/>
        </w:rPr>
        <w:t>Michael Davidson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Michael Davidson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Retention Benefits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Michael:</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of the importance of your services to Minerva Neurosciences, Inc. (the “Company”), I am pleased to inform you that you have been selected to participate in a retention program designed to retain employees like you, who are critical to achieving the Company’s business objectives and maximizing the Company’s value to stockholders. This retention program provides the following benefits, and is subject to the following terms and conditions:</w:t>
      </w:r>
    </w:p>
    <w:p>
      <w:pPr>
        <w:spacing w:after="0" w:line="205"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2020 Bonus</w:t>
      </w:r>
      <w:r>
        <w:rPr>
          <w:rFonts w:ascii="Arial" w:cs="Arial" w:eastAsia="Arial" w:hAnsi="Arial"/>
          <w:sz w:val="18"/>
          <w:szCs w:val="18"/>
          <w:color w:val="auto"/>
        </w:rPr>
        <w:t>. The Company will pay $231,706 to you as a bonus for 2020 if you remain employed by the Company on the earlier of</w:t>
      </w:r>
    </w:p>
    <w:p>
      <w:pPr>
        <w:spacing w:after="0" w:line="38" w:lineRule="exact"/>
        <w:rPr>
          <w:rFonts w:ascii="Arial" w:cs="Arial" w:eastAsia="Arial" w:hAnsi="Arial"/>
          <w:sz w:val="18"/>
          <w:szCs w:val="18"/>
          <w:color w:val="auto"/>
        </w:rPr>
      </w:pPr>
    </w:p>
    <w:p>
      <w:pPr>
        <w:jc w:val="both"/>
        <w:spacing w:after="0" w:line="281" w:lineRule="auto"/>
        <w:rPr>
          <w:rFonts w:ascii="Arial" w:cs="Arial" w:eastAsia="Arial" w:hAnsi="Arial"/>
          <w:sz w:val="18"/>
          <w:szCs w:val="18"/>
          <w:color w:val="auto"/>
        </w:rPr>
      </w:pPr>
      <w:r>
        <w:rPr>
          <w:rFonts w:ascii="Arial" w:cs="Arial" w:eastAsia="Arial" w:hAnsi="Arial"/>
          <w:sz w:val="18"/>
          <w:szCs w:val="18"/>
          <w:color w:val="auto"/>
        </w:rPr>
        <w:t>(i) the date when the Company generally pays bonuses for 2020 or (ii) January 2, 2021. This amount is approximately equal to 120% of your target annual bonus for 2020. If this amount becomes due, the Company will pay this amount at the same time as it pays bonuses for 2020 to other employees of the Company, but no later than March 31, 2021, and you agree to accept it in lieu of any discretionary bonus for 2020.</w:t>
      </w:r>
    </w:p>
    <w:p>
      <w:pPr>
        <w:spacing w:after="0" w:line="174" w:lineRule="exact"/>
        <w:rPr>
          <w:rFonts w:ascii="Arial" w:cs="Arial" w:eastAsia="Arial" w:hAnsi="Arial"/>
          <w:sz w:val="18"/>
          <w:szCs w:val="18"/>
          <w:color w:val="auto"/>
        </w:rPr>
      </w:pPr>
    </w:p>
    <w:p>
      <w:pPr>
        <w:jc w:val="both"/>
        <w:ind w:firstLine="8"/>
        <w:spacing w:after="0" w:line="250" w:lineRule="auto"/>
        <w:tabs>
          <w:tab w:leader="none" w:pos="796" w:val="left"/>
        </w:tabs>
        <w:numPr>
          <w:ilvl w:val="0"/>
          <w:numId w:val="1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Bonus</w:t>
      </w:r>
      <w:r>
        <w:rPr>
          <w:rFonts w:ascii="Arial" w:cs="Arial" w:eastAsia="Arial" w:hAnsi="Arial"/>
          <w:sz w:val="20"/>
          <w:szCs w:val="20"/>
          <w:color w:val="auto"/>
        </w:rPr>
        <w:t>. The Company will pay $57,926 to you as an additional bonus [•••] if the Company, on or before March 31, 2021 [•••]. This [•••] Bonus is approximately equal to 30% of your target annual bonus for 2020. The [•••] Bonus will be (i) due only if you are employed by the Company at the time [•••] , and (ii) paid only once.</w:t>
      </w:r>
    </w:p>
    <w:p>
      <w:pPr>
        <w:spacing w:after="0" w:line="199" w:lineRule="exact"/>
        <w:rPr>
          <w:rFonts w:ascii="Arial" w:cs="Arial" w:eastAsia="Arial" w:hAnsi="Arial"/>
          <w:sz w:val="20"/>
          <w:szCs w:val="20"/>
          <w:color w:val="auto"/>
        </w:rPr>
      </w:pPr>
    </w:p>
    <w:p>
      <w:pPr>
        <w:jc w:val="both"/>
        <w:ind w:firstLine="8"/>
        <w:spacing w:after="0" w:line="243" w:lineRule="auto"/>
        <w:tabs>
          <w:tab w:leader="none" w:pos="7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2021 Bonus</w:t>
      </w:r>
      <w:r>
        <w:rPr>
          <w:rFonts w:ascii="Arial" w:cs="Arial" w:eastAsia="Arial" w:hAnsi="Arial"/>
          <w:sz w:val="20"/>
          <w:szCs w:val="20"/>
          <w:color w:val="auto"/>
        </w:rPr>
        <w:t>. If you remain employed by the Company on July 31, 2021, the Company will pay 50% of your target bonus for 2021 on that date. Although your target bonus for 2021 has not yet been determined, it will be no less than your target bonus for 2020. The remainder of your bonus for 2021, if any, will be paid at the sole discretion of the Company based on a variety of factors including, but not limited to, achievement of objectives established for the Company and specific annual objectives for your position set by the Company. Any such payment will be credited against any bonus that may otherwise be due in the future, including any bonus that may be due to you pursuant to severance benefits.</w:t>
      </w:r>
    </w:p>
    <w:p>
      <w:pPr>
        <w:spacing w:after="0" w:line="209" w:lineRule="exact"/>
        <w:rPr>
          <w:rFonts w:ascii="Arial" w:cs="Arial" w:eastAsia="Arial" w:hAnsi="Arial"/>
          <w:sz w:val="20"/>
          <w:szCs w:val="20"/>
          <w:color w:val="auto"/>
        </w:rPr>
      </w:pPr>
    </w:p>
    <w:p>
      <w:pPr>
        <w:jc w:val="both"/>
        <w:ind w:firstLine="8"/>
        <w:spacing w:after="0" w:line="263" w:lineRule="auto"/>
        <w:tabs>
          <w:tab w:leader="none" w:pos="79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Additional Option Grant</w:t>
      </w:r>
      <w:r>
        <w:rPr>
          <w:rFonts w:ascii="Arial" w:cs="Arial" w:eastAsia="Arial" w:hAnsi="Arial"/>
          <w:sz w:val="19"/>
          <w:szCs w:val="19"/>
          <w:color w:val="auto"/>
        </w:rPr>
        <w:t>. You will be granted an option (the “Option”) to purchase 85,000 shares of common stock of the Company, with an exercise price equal to the fair market value of the common stock on the grant date, and with one-third of the Option vesting on December 31, 2021, and the other two-thirds vesting on December 31, 2022. The Option will be evidenced by a standard stock option agreement, and will be subject to the terms and conditions of that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left="800" w:hanging="792"/>
        <w:spacing w:after="0"/>
        <w:tabs>
          <w:tab w:leader="none" w:pos="80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40" w:lineRule="exact"/>
        <w:rPr>
          <w:rFonts w:ascii="Arial" w:cs="Arial" w:eastAsia="Arial" w:hAnsi="Arial"/>
          <w:sz w:val="19"/>
          <w:szCs w:val="19"/>
          <w:color w:val="auto"/>
        </w:rPr>
      </w:pPr>
    </w:p>
    <w:p>
      <w:pPr>
        <w:ind w:firstLine="8"/>
        <w:spacing w:after="0" w:line="316" w:lineRule="auto"/>
        <w:tabs>
          <w:tab w:leader="none" w:pos="79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 of this Letter</w:t>
      </w:r>
      <w:r>
        <w:rPr>
          <w:rFonts w:ascii="Arial" w:cs="Arial" w:eastAsia="Arial" w:hAnsi="Arial"/>
          <w:sz w:val="18"/>
          <w:szCs w:val="18"/>
          <w:color w:val="auto"/>
        </w:rPr>
        <w:t>. This letter will take effect once signed by you and on behalf of the Company. As amended by this letter, the terms of your Employment Agreement remain in effect, including, without limitation, the terms regarding termination of your employment.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4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Remy Luthringer, PhD</w:t>
            </w:r>
          </w:p>
        </w:tc>
        <w:tc>
          <w:tcPr>
            <w:tcW w:w="2020" w:type="dxa"/>
            <w:vAlign w:val="bottom"/>
          </w:tcPr>
          <w:p>
            <w:pPr>
              <w:spacing w:after="0"/>
              <w:rPr>
                <w:sz w:val="19"/>
                <w:szCs w:val="19"/>
                <w:color w:val="auto"/>
              </w:rPr>
            </w:pPr>
          </w:p>
        </w:tc>
        <w:tc>
          <w:tcPr>
            <w:tcW w:w="316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20"/>
                <w:szCs w:val="20"/>
                <w:color w:val="auto"/>
              </w:rPr>
              <w:t>Chairman and CEO</w:t>
            </w: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Arial" w:cs="Arial" w:eastAsia="Arial" w:hAnsi="Arial"/>
                <w:sz w:val="20"/>
                <w:szCs w:val="20"/>
                <w:color w:val="auto"/>
              </w:rPr>
              <w:t>ACCEPTED AND AGREED:</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40" w:type="dxa"/>
            <w:vAlign w:val="bottom"/>
            <w:tcBorders>
              <w:bottom w:val="single" w:sz="8" w:color="auto"/>
            </w:tcBorders>
          </w:tcPr>
          <w:p>
            <w:pPr>
              <w:spacing w:after="0"/>
              <w:rPr>
                <w:sz w:val="24"/>
                <w:szCs w:val="24"/>
                <w:color w:val="auto"/>
              </w:rPr>
            </w:pPr>
          </w:p>
        </w:tc>
        <w:tc>
          <w:tcPr>
            <w:tcW w:w="20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40" w:type="dxa"/>
            <w:vAlign w:val="bottom"/>
          </w:tcPr>
          <w:p>
            <w:pPr>
              <w:spacing w:after="0"/>
              <w:rPr>
                <w:sz w:val="20"/>
                <w:szCs w:val="20"/>
                <w:color w:val="auto"/>
              </w:rPr>
            </w:pPr>
            <w:r>
              <w:rPr>
                <w:rFonts w:ascii="Arial" w:cs="Arial" w:eastAsia="Arial" w:hAnsi="Arial"/>
                <w:sz w:val="20"/>
                <w:szCs w:val="20"/>
                <w:color w:val="auto"/>
              </w:rPr>
              <w:t>Michael Davidson</w:t>
            </w:r>
          </w:p>
        </w:tc>
        <w:tc>
          <w:tcPr>
            <w:tcW w:w="20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314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4040" w:type="dxa"/>
            <w:vAlign w:val="bottom"/>
          </w:tcPr>
          <w:p>
            <w:pPr>
              <w:spacing w:after="0"/>
              <w:rPr>
                <w:sz w:val="20"/>
                <w:szCs w:val="20"/>
                <w:color w:val="auto"/>
              </w:rPr>
            </w:pPr>
            <w:r>
              <w:rPr>
                <w:rFonts w:ascii="Arial" w:cs="Arial" w:eastAsia="Arial" w:hAnsi="Arial"/>
                <w:sz w:val="20"/>
                <w:szCs w:val="20"/>
                <w:color w:val="auto"/>
              </w:rPr>
              <w:t>2</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31750</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2020,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November 2, 2020</w:t>
      </w:r>
      <w:r>
        <w:rPr>
          <w:sz w:val="20"/>
          <w:szCs w:val="20"/>
          <w:color w:val="auto"/>
        </w:rPr>
        <w:tab/>
      </w:r>
      <w:r>
        <w:rPr>
          <w:rFonts w:ascii="Arial" w:cs="Arial" w:eastAsia="Arial" w:hAnsi="Arial"/>
          <w:sz w:val="16"/>
          <w:szCs w:val="16"/>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2"/>
      <w:numFmt w:val="decimal"/>
      <w:start w:val="104"/>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5"/>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5"/>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5"/>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48" Type="http://schemas.openxmlformats.org/officeDocument/2006/relationships/hyperlink" Target="http://www.sec.gov/Archives/edgar/data/0001598646/000104746914005459/a2219972zex-3_1.htm" TargetMode="External"/><Relationship Id="rId49" Type="http://schemas.openxmlformats.org/officeDocument/2006/relationships/hyperlink" Target="http://www.sec.gov/Archives/edgar/data/0001598646/000156459019039496/nerv-ex32_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2020-11-02T06:13:09Z</dcterms:created>
  <dcterms:modified xsi:type="dcterms:W3CDTF">2020-11-02T06:13:09Z</dcterms:modified>
</cp:coreProperties>
</file>