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93" w:lineRule="exact"/>
        <w:rPr>
          <w:rFonts w:ascii="MS PGothic" w:cs="MS PGothic" w:eastAsia="MS PGothic" w:hAnsi="MS PGothic"/>
          <w:sz w:val="16"/>
          <w:szCs w:val="16"/>
          <w:color w:val="auto"/>
        </w:rPr>
      </w:pPr>
    </w:p>
    <w:p>
      <w:pPr>
        <w:ind w:left="366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0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3674745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0" w:lineRule="exact"/>
        <w:rPr>
          <w:sz w:val="24"/>
          <w:szCs w:val="24"/>
          <w:color w:val="auto"/>
        </w:rPr>
      </w:pPr>
    </w:p>
    <w:tbl>
      <w:tblPr>
        <w:tblLayout w:type="fixed"/>
        <w:tblInd w:w="1540" w:type="dxa"/>
        <w:tblCellMar>
          <w:top w:w="0" w:type="dxa"/>
          <w:left w:w="0" w:type="dxa"/>
          <w:bottom w:w="0" w:type="dxa"/>
          <w:right w:w="0" w:type="dxa"/>
        </w:tblCellMar>
      </w:tblPr>
      <w:tr>
        <w:trPr>
          <w:trHeight w:val="207"/>
        </w:trPr>
        <w:tc>
          <w:tcPr>
            <w:tcW w:w="43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26-0784194</w:t>
            </w:r>
          </w:p>
        </w:tc>
        <w:tc>
          <w:tcPr>
            <w:tcW w:w="0" w:type="dxa"/>
            <w:vAlign w:val="bottom"/>
          </w:tcPr>
          <w:p>
            <w:pPr>
              <w:spacing w:after="0"/>
              <w:rPr>
                <w:sz w:val="1"/>
                <w:szCs w:val="1"/>
                <w:color w:val="auto"/>
              </w:rPr>
            </w:pPr>
          </w:p>
        </w:tc>
      </w:tr>
      <w:tr>
        <w:trPr>
          <w:trHeight w:val="149"/>
        </w:trPr>
        <w:tc>
          <w:tcPr>
            <w:tcW w:w="438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80" w:type="dxa"/>
            <w:vAlign w:val="bottom"/>
          </w:tcPr>
          <w:p>
            <w:pPr>
              <w:jc w:val="center"/>
              <w:ind w:left="18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38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4"/>
        </w:trPr>
        <w:tc>
          <w:tcPr>
            <w:tcW w:w="43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308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01803</w:t>
            </w:r>
          </w:p>
        </w:tc>
        <w:tc>
          <w:tcPr>
            <w:tcW w:w="0" w:type="dxa"/>
            <w:vAlign w:val="bottom"/>
          </w:tcPr>
          <w:p>
            <w:pPr>
              <w:spacing w:after="0"/>
              <w:rPr>
                <w:sz w:val="1"/>
                <w:szCs w:val="1"/>
                <w:color w:val="auto"/>
              </w:rPr>
            </w:pPr>
          </w:p>
        </w:tc>
      </w:tr>
      <w:tr>
        <w:trPr>
          <w:trHeight w:val="205"/>
        </w:trPr>
        <w:tc>
          <w:tcPr>
            <w:tcW w:w="4380" w:type="dxa"/>
            <w:vAlign w:val="bottom"/>
          </w:tcPr>
          <w:p>
            <w:pPr>
              <w:jc w:val="center"/>
              <w:ind w:right="1859"/>
              <w:spacing w:after="0" w:line="205" w:lineRule="exact"/>
              <w:rPr>
                <w:sz w:val="20"/>
                <w:szCs w:val="20"/>
                <w:color w:val="auto"/>
              </w:rPr>
            </w:pPr>
            <w:r>
              <w:rPr>
                <w:rFonts w:ascii="Times New Roman" w:cs="Times New Roman" w:eastAsia="Times New Roman" w:hAnsi="Times New Roman"/>
                <w:sz w:val="18"/>
                <w:szCs w:val="18"/>
                <w:b w:val="1"/>
                <w:bCs w:val="1"/>
                <w:color w:val="auto"/>
              </w:rPr>
              <w:t>Burlington, MA</w:t>
            </w: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600-7373</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4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r>
      <w:tr>
        <w:trPr>
          <w:trHeight w:val="21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NERV</w:t>
            </w:r>
          </w:p>
        </w:tc>
        <w:tc>
          <w:tcPr>
            <w:tcW w:w="4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299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65"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Accelerated filer</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1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68"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tabs>
          <w:tab w:leader="none" w:pos="6060" w:val="left"/>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$0.0001 par value per share, outstanding as of November 4, 2022 was 5,340,193.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gridSpan w:val="12"/>
            <w:vMerge w:val="restart"/>
          </w:tcPr>
          <w:p>
            <w:pPr>
              <w:jc w:val="center"/>
              <w:ind w:right="254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00" w:type="dxa"/>
            <w:vAlign w:val="bottom"/>
            <w:gridSpan w:val="12"/>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100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35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2022 and December 31, 2021</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5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2022 and 2021</w:t>
            </w:r>
          </w:p>
        </w:tc>
        <w:tc>
          <w:tcPr>
            <w:tcW w:w="100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Equity for the nine months ended September 30, 2022 and 2021</w:t>
            </w:r>
          </w:p>
        </w:tc>
        <w:tc>
          <w:tcPr>
            <w:tcW w:w="3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2022 and 2021</w:t>
            </w:r>
          </w:p>
        </w:tc>
        <w:tc>
          <w:tcPr>
            <w:tcW w:w="166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80" w:type="dxa"/>
            <w:vAlign w:val="bottom"/>
            <w:tcBorders>
              <w:top w:val="single" w:sz="8" w:color="0000EE"/>
            </w:tcBorders>
            <w:gridSpan w:val="4"/>
          </w:tcPr>
          <w:p>
            <w:pPr>
              <w:spacing w:after="0"/>
              <w:rPr>
                <w:sz w:val="17"/>
                <w:szCs w:val="17"/>
                <w:color w:val="auto"/>
              </w:rPr>
            </w:pPr>
          </w:p>
        </w:tc>
        <w:tc>
          <w:tcPr>
            <w:tcW w:w="304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64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EE"/>
            </w:tcBorders>
            <w:gridSpan w:val="2"/>
          </w:tcPr>
          <w:p>
            <w:pPr>
              <w:spacing w:after="0"/>
              <w:rPr>
                <w:sz w:val="17"/>
                <w:szCs w:val="17"/>
                <w:color w:val="auto"/>
              </w:rPr>
            </w:pPr>
          </w:p>
        </w:tc>
        <w:tc>
          <w:tcPr>
            <w:tcW w:w="820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180" w:type="dxa"/>
            <w:vAlign w:val="bottom"/>
            <w:gridSpan w:val="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20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76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22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940" w:type="dxa"/>
            <w:vAlign w:val="bottom"/>
            <w:gridSpan w:val="1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20" w:type="dxa"/>
            <w:vAlign w:val="bottom"/>
            <w:gridSpan w:val="13"/>
          </w:tcPr>
          <w:p>
            <w:pPr>
              <w:jc w:val="right"/>
              <w:ind w:right="12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4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2021 under Part I, Item IA, “Risk Factors.”</w:t>
      </w:r>
    </w:p>
    <w:p>
      <w:pPr>
        <w:spacing w:after="0" w:line="20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9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0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540" w:type="dxa"/>
            <w:vAlign w:val="bottom"/>
            <w:shd w:val="clear" w:color="auto" w:fill="CFF0FC"/>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40,220,008</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60,755,080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Refundable regulatory fee</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3,117,218</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1,403,532</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1,346,359</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44,840,758</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62,201,439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48,952</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51,080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59,759,109</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77,121,918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532,888</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1,853,215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1,663,971</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965,739</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2,196,859</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2,818,954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71,808,096</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66,327,321</w:t>
            </w:r>
          </w:p>
        </w:tc>
        <w:tc>
          <w:tcPr>
            <w:tcW w:w="10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74,004,955</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69,146,275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754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100,000,000 shares authorized; none issued or outstanding as of</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2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54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125,000,000 shares authorized; 5,340,193 and 5,340,196 shares</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September 30, 2022 and December 31, 2021, respectively</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0"/>
                <w:szCs w:val="20"/>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345,837,638</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342,676,508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(360,084,018 )</w:t>
            </w: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(334,701,399 )</w:t>
            </w:r>
          </w:p>
        </w:tc>
      </w:tr>
      <w:tr>
        <w:trPr>
          <w:trHeight w:val="210"/>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(14,245,846</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7,975,643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59,759,109</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77,121,918</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-2665095</wp:posOffset>
            </wp:positionV>
            <wp:extent cx="13030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02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-1525270</wp:posOffset>
            </wp:positionV>
            <wp:extent cx="7747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7747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520" w:type="dxa"/>
            <w:vAlign w:val="bottom"/>
            <w:gridSpan w:val="5"/>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2,367,364</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4,512,853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11,459,205</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13,292,488</w:t>
            </w:r>
          </w:p>
        </w:tc>
        <w:tc>
          <w:tcPr>
            <w:tcW w:w="100" w:type="dxa"/>
            <w:vAlign w:val="bottom"/>
          </w:tcPr>
          <w:p>
            <w:pPr>
              <w:spacing w:after="0"/>
              <w:rPr>
                <w:sz w:val="19"/>
                <w:szCs w:val="19"/>
                <w:color w:val="auto"/>
              </w:rPr>
            </w:pPr>
          </w:p>
        </w:tc>
      </w:tr>
      <w:tr>
        <w:trPr>
          <w:trHeight w:val="216"/>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2,839,784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3,004,765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8,702,390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10,695,944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5,207,148</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7,517,618</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20,161,595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23,988,432</w:t>
            </w:r>
          </w:p>
        </w:tc>
        <w:tc>
          <w:tcPr>
            <w:tcW w:w="100" w:type="dxa"/>
            <w:vAlign w:val="bottom"/>
          </w:tcPr>
          <w:p>
            <w:pPr>
              <w:spacing w:after="0"/>
              <w:rPr>
                <w:sz w:val="18"/>
                <w:szCs w:val="18"/>
                <w:color w:val="auto"/>
              </w:rPr>
            </w:pPr>
          </w:p>
        </w:tc>
      </w:tr>
      <w:tr>
        <w:trPr>
          <w:trHeight w:val="223"/>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(5,207,148</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(7,517,618</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(20,161,595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(23,988,432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5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r>
      <w:tr>
        <w:trPr>
          <w:trHeight w:val="23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(4,855 )</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(135 )</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(28,708 )</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100" w:type="dxa"/>
            <w:vAlign w:val="bottom"/>
          </w:tcPr>
          <w:p>
            <w:pPr>
              <w:spacing w:after="0"/>
              <w:rPr>
                <w:sz w:val="19"/>
                <w:szCs w:val="19"/>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(1,875,482 )</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(1,687,090 )</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(5,480,775 )</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(4,594,985 )</w:t>
            </w:r>
          </w:p>
        </w:tc>
      </w:tr>
      <w:tr>
        <w:trPr>
          <w:trHeight w:val="20"/>
        </w:trPr>
        <w:tc>
          <w:tcPr>
            <w:tcW w:w="5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(6,900,476 )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(9,205,407 )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(25,382,619 )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(28,599,303 )</w:t>
            </w:r>
          </w:p>
        </w:tc>
      </w:tr>
      <w:tr>
        <w:trPr>
          <w:trHeight w:val="20"/>
        </w:trPr>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(4.75 )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(5.36 )</w:t>
            </w:r>
          </w:p>
        </w:tc>
      </w:tr>
      <w:tr>
        <w:trPr>
          <w:trHeight w:val="20"/>
        </w:trPr>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5,340,193</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5,340,196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5,340,195</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5,340,196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-1516380</wp:posOffset>
            </wp:positionV>
            <wp:extent cx="7747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-1516380</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-1516380</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-642620</wp:posOffset>
            </wp:positionV>
            <wp:extent cx="7747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-642620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-642620</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Equity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42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20" w:type="dxa"/>
            <w:vAlign w:val="bottom"/>
          </w:tcPr>
          <w:p>
            <w:pPr>
              <w:spacing w:after="0"/>
              <w:rPr>
                <w:sz w:val="14"/>
                <w:szCs w:val="14"/>
                <w:color w:val="auto"/>
              </w:rPr>
            </w:pPr>
          </w:p>
        </w:tc>
        <w:tc>
          <w:tcPr>
            <w:tcW w:w="13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398"/>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2021</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8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337,457,514</w:t>
            </w:r>
          </w:p>
        </w:tc>
        <w:tc>
          <w:tcPr>
            <w:tcW w:w="26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(284,795,447 )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52,662,601</w:t>
            </w:r>
          </w:p>
        </w:tc>
        <w:tc>
          <w:tcPr>
            <w:tcW w:w="100" w:type="dxa"/>
            <w:vAlign w:val="bottom"/>
            <w:shd w:val="clear" w:color="auto" w:fill="CFF0FC"/>
          </w:tcPr>
          <w:p>
            <w:pPr>
              <w:spacing w:after="0"/>
              <w:rPr>
                <w:sz w:val="24"/>
                <w:szCs w:val="24"/>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1,516,064</w:t>
            </w:r>
          </w:p>
        </w:tc>
        <w:tc>
          <w:tcPr>
            <w:tcW w:w="100" w:type="dxa"/>
            <w:vAlign w:val="bottom"/>
          </w:tcPr>
          <w:p>
            <w:pPr>
              <w:spacing w:after="0"/>
              <w:rPr>
                <w:sz w:val="18"/>
                <w:szCs w:val="18"/>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(8,804,733 )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(8,804,733 )</w:t>
            </w:r>
          </w:p>
        </w:tc>
      </w:tr>
      <w:tr>
        <w:trPr>
          <w:trHeight w:val="20"/>
        </w:trPr>
        <w:tc>
          <w:tcPr>
            <w:tcW w:w="3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338,973,578</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(293,600,180 )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45,373,932</w:t>
            </w:r>
          </w:p>
        </w:tc>
        <w:tc>
          <w:tcPr>
            <w:tcW w:w="10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1,384,060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1,384,060</w:t>
            </w:r>
          </w:p>
        </w:tc>
        <w:tc>
          <w:tcPr>
            <w:tcW w:w="100" w:type="dxa"/>
            <w:vAlign w:val="bottom"/>
            <w:shd w:val="clear" w:color="auto" w:fill="CFF0FC"/>
          </w:tcPr>
          <w:p>
            <w:pPr>
              <w:spacing w:after="0"/>
              <w:rPr>
                <w:sz w:val="17"/>
                <w:szCs w:val="17"/>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(10,589,163 )</w:t>
            </w: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(10,589,163 )</w:t>
            </w:r>
          </w:p>
        </w:tc>
      </w:tr>
      <w:tr>
        <w:trPr>
          <w:trHeight w:val="249"/>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2021</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340,357,638</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(304,189,343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36,168,829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3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1,114,526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1,114,526</w:t>
            </w:r>
          </w:p>
        </w:tc>
        <w:tc>
          <w:tcPr>
            <w:tcW w:w="100" w:type="dxa"/>
            <w:vAlign w:val="bottom"/>
          </w:tcPr>
          <w:p>
            <w:pPr>
              <w:spacing w:after="0"/>
              <w:rPr>
                <w:sz w:val="17"/>
                <w:szCs w:val="17"/>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(9,205,407 )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(9,205,407 )</w:t>
            </w:r>
          </w:p>
        </w:tc>
      </w:tr>
      <w:tr>
        <w:trPr>
          <w:trHeight w:val="20"/>
        </w:trPr>
        <w:tc>
          <w:tcPr>
            <w:tcW w:w="3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341,472,164</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(313,394,750 )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28,077,948</w:t>
            </w:r>
          </w:p>
        </w:tc>
        <w:tc>
          <w:tcPr>
            <w:tcW w:w="10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405"/>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8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342,676,508</w:t>
            </w:r>
          </w:p>
        </w:tc>
        <w:tc>
          <w:tcPr>
            <w:tcW w:w="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(334,701,399 )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7,975,643</w:t>
            </w:r>
          </w:p>
        </w:tc>
        <w:tc>
          <w:tcPr>
            <w:tcW w:w="100" w:type="dxa"/>
            <w:vAlign w:val="bottom"/>
          </w:tcPr>
          <w:p>
            <w:pPr>
              <w:spacing w:after="0"/>
              <w:rPr>
                <w:sz w:val="24"/>
                <w:szCs w:val="24"/>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1,052,656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1,052,656</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(9,764,429 )</w:t>
            </w: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(9,764,429 )</w:t>
            </w:r>
          </w:p>
        </w:tc>
      </w:tr>
      <w:tr>
        <w:trPr>
          <w:trHeight w:val="250"/>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343,729,164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(344,465,828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(736,130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3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1,071,605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1,071,605</w:t>
            </w:r>
          </w:p>
        </w:tc>
        <w:tc>
          <w:tcPr>
            <w:tcW w:w="100" w:type="dxa"/>
            <w:vAlign w:val="bottom"/>
          </w:tcPr>
          <w:p>
            <w:pPr>
              <w:spacing w:after="0"/>
              <w:rPr>
                <w:sz w:val="17"/>
                <w:szCs w:val="17"/>
                <w:color w:val="auto"/>
              </w:rPr>
            </w:pPr>
          </w:p>
        </w:tc>
      </w:tr>
      <w:tr>
        <w:trPr>
          <w:trHeight w:val="171"/>
        </w:trPr>
        <w:tc>
          <w:tcPr>
            <w:tcW w:w="33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w w:val="99"/>
              </w:rPr>
              <w:t>Adjustments due to the rounding impact from</w:t>
            </w: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reverse stock split for fractional shares</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(3 )</w:t>
            </w: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(8,717,714 )</w:t>
            </w: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(8,717,714 )</w:t>
            </w:r>
          </w:p>
        </w:tc>
      </w:tr>
      <w:tr>
        <w:trPr>
          <w:trHeight w:val="249"/>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344,800,764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(353,183,542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(8,382,244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3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1,036,874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1,036,874</w:t>
            </w:r>
          </w:p>
        </w:tc>
        <w:tc>
          <w:tcPr>
            <w:tcW w:w="100" w:type="dxa"/>
            <w:vAlign w:val="bottom"/>
          </w:tcPr>
          <w:p>
            <w:pPr>
              <w:spacing w:after="0"/>
              <w:rPr>
                <w:sz w:val="17"/>
                <w:szCs w:val="17"/>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(6,900,476 )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(6,900,476 )</w:t>
            </w:r>
          </w:p>
        </w:tc>
      </w:tr>
      <w:tr>
        <w:trPr>
          <w:trHeight w:val="20"/>
        </w:trPr>
        <w:tc>
          <w:tcPr>
            <w:tcW w:w="3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2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345,837,638</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(360,084,018 )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(14,245,846 )</w:t>
            </w:r>
          </w:p>
        </w:tc>
      </w:tr>
      <w:tr>
        <w:trPr>
          <w:trHeight w:val="20"/>
        </w:trPr>
        <w:tc>
          <w:tcPr>
            <w:tcW w:w="3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-3051175</wp:posOffset>
            </wp:positionV>
            <wp:extent cx="7683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-3051175</wp:posOffset>
            </wp:positionV>
            <wp:extent cx="7683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-3051175</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-3051175</wp:posOffset>
            </wp:positionV>
            <wp:extent cx="685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-2459355</wp:posOffset>
            </wp:positionV>
            <wp:extent cx="418338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83380" cy="16319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-2159635</wp:posOffset>
            </wp:positionV>
            <wp:extent cx="7683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-2159635</wp:posOffset>
            </wp:positionV>
            <wp:extent cx="7683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-2159635</wp:posOffset>
            </wp:positionV>
            <wp:extent cx="685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-2159635</wp:posOffset>
            </wp:positionV>
            <wp:extent cx="685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-1173480</wp:posOffset>
            </wp:positionV>
            <wp:extent cx="418338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83380" cy="16319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-471170</wp:posOffset>
            </wp:positionV>
            <wp:extent cx="41833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83380" cy="16319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-170815</wp:posOffset>
            </wp:positionV>
            <wp:extent cx="7683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-170815</wp:posOffset>
            </wp:positionV>
            <wp:extent cx="7683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6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(25,382,619 )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(28,599,303 )</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80" w:type="dxa"/>
            <w:vAlign w:val="bottom"/>
          </w:tcPr>
          <w:p>
            <w:pPr>
              <w:spacing w:after="0"/>
              <w:rPr>
                <w:sz w:val="18"/>
                <w:szCs w:val="18"/>
                <w:color w:val="auto"/>
              </w:rPr>
            </w:pPr>
          </w:p>
        </w:tc>
        <w:tc>
          <w:tcPr>
            <w:tcW w:w="15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101,786</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3,161,135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4,014,650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5,480,775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4,594,985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Refundable regulatory fee</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(3,117,218 )</w:t>
            </w: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(57,173 )</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232,813</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(51,080 )</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Pr>
          <w:p>
            <w:pPr>
              <w:spacing w:after="0"/>
              <w:rPr>
                <w:sz w:val="18"/>
                <w:szCs w:val="18"/>
                <w:color w:val="auto"/>
              </w:rPr>
            </w:pPr>
          </w:p>
        </w:tc>
        <w:tc>
          <w:tcPr>
            <w:tcW w:w="15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(1,320,327 )</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204,895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698,232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(171,158 )</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(111,229 )</w:t>
            </w:r>
          </w:p>
        </w:tc>
      </w:tr>
      <w:tr>
        <w:trPr>
          <w:trHeight w:val="20"/>
        </w:trPr>
        <w:tc>
          <w:tcPr>
            <w:tcW w:w="76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(20,535,067 )</w:t>
            </w:r>
          </w:p>
        </w:tc>
        <w:tc>
          <w:tcPr>
            <w:tcW w:w="3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(19,768,833 )</w:t>
            </w:r>
          </w:p>
        </w:tc>
      </w:tr>
      <w:tr>
        <w:trPr>
          <w:trHeight w:val="209"/>
        </w:trPr>
        <w:tc>
          <w:tcPr>
            <w:tcW w:w="76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paid in connection with the reverse stock split fractional shares</w:t>
            </w:r>
          </w:p>
        </w:tc>
        <w:tc>
          <w:tcPr>
            <w:tcW w:w="38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sale of future royalties</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(20,535,072</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40,231,167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60,855,080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25,456,952</w:t>
            </w:r>
          </w:p>
        </w:tc>
        <w:tc>
          <w:tcPr>
            <w:tcW w:w="100" w:type="dxa"/>
            <w:vAlign w:val="bottom"/>
          </w:tcPr>
          <w:p>
            <w:pPr>
              <w:spacing w:after="0"/>
              <w:rPr>
                <w:sz w:val="18"/>
                <w:szCs w:val="18"/>
                <w:color w:val="auto"/>
              </w:rPr>
            </w:pPr>
          </w:p>
        </w:tc>
      </w:tr>
      <w:tr>
        <w:trPr>
          <w:trHeight w:val="250"/>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40,320,008</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65,688,119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47"/>
        </w:trPr>
        <w:tc>
          <w:tcPr>
            <w:tcW w:w="7660" w:type="dxa"/>
            <w:vAlign w:val="bottom"/>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Reconciliation of the Condensed Consolidated Statements of Cash Flows to the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38"/>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40,220,008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65,588,119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50"/>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40,320,008</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65,688,119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-2708275</wp:posOffset>
            </wp:positionV>
            <wp:extent cx="6858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-2133600</wp:posOffset>
            </wp:positionV>
            <wp:extent cx="6858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-1576705</wp:posOffset>
            </wp:positionV>
            <wp:extent cx="685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-728345</wp:posOffset>
            </wp:positionV>
            <wp:extent cx="1260475" cy="282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60475" cy="28257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160"/>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39"/>
        <w:spacing w:after="0" w:line="234" w:lineRule="auto"/>
        <w:rPr>
          <w:sz w:val="20"/>
          <w:szCs w:val="20"/>
          <w:color w:val="auto"/>
        </w:rPr>
      </w:pPr>
      <w:r>
        <w:rPr>
          <w:rFonts w:ascii="Times New Roman" w:cs="Times New Roman" w:eastAsia="Times New Roman" w:hAnsi="Times New Roman"/>
          <w:sz w:val="18"/>
          <w:szCs w:val="18"/>
          <w:b w:val="1"/>
          <w:bCs w:val="1"/>
          <w:color w:val="auto"/>
        </w:rPr>
        <w:t>As of September 30, 2022 and for the Nine Months Ended September 30, 2022 and 2021</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product candidates to treat patients suffering from central nervous system (“CNS”) diseases. The Company’s lead product candidate is roluperidone (f/k/a MIN-101), a compound the Company is developing for the treatment of negative symptoms in patients with schizophrenia. The Company holds the license to roluperidone from Mitsubishi Tanabe Pharma Corporation (“MTPC”) with the rights to develop, sell and import roluperidone globally, excluding most of Asia. The Company also has exclusive rights to develop and commercialize MIN-301, a compound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further discussion of the joint development agreement with Janssen and the sale of future royalties, please refer to Note 5, Sale of Future Royalties.</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September 30, 2022, the Company had an accumulated deficit of approximately $360.1 million and net cash used in operating activities was approximately $20.5 million during the nine months ended September 30, 2022.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7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As of September 30, 2022, the Company had cash, cash equivalents, and restricted cash of $40.3 million. The Company believes that its existing cash, cash equivalents, and restricted cash will be sufficient to meet its cash commitments for at least the next 12 months after the date that the interim condensed consolidated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20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The Company will need to raise additional capital in order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Further, if the Company does not satisfy The Nasdaq Capital Market continued listing requirements, its common stock may be subject to delisting, which could impact the Company’s ability to complete additional equity financings on terms acceptable to the Company. If the Company is unable to obtain such additional financing, future operations would need to be scaled back or discontinued.</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1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The Company’s business could be adversely affected by the effects of the ongoing COVID-19 pandemic. Beginning in late 2019 and continuing into 2022, the outbreak of COVID-19 has resulted in the declaration of a global pandemic and adversely affected economic activity across virtually all sectors and industries on a local, national, and global scale. While global vaccination efforts are underway and certain jurisdictions, including Massachusetts, have reopened businesses and governmental agencies, we are unable to accurately predict the full impact that COVID-19 will have due to numerous uncertainties, including the duration of the outbreak, the result of vaccination efforts, resurgence of the virus, actions that may be taken by governmental authorities, the impact on our business including our clinical programs and timelines, and the impact to the business of our service providers and partners.</w:t>
      </w:r>
    </w:p>
    <w:p>
      <w:pPr>
        <w:spacing w:after="0" w:line="1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While the COVID-19 pandemic has not had a material adverse impact on the Company’s operations to date, this disruption, if sustained or recurrent, together with rising interest rates, could have a material adverse effect on the Company’s operating results, its ability to raise capital needed to develop and commercialize products and the Company’s overall financial condition. In addition, a recession or market correction resulting from the spread of the coronavirus could materially affect the value of the Company’s common stock. The impact of the COVID-19 pandemic may also exacerbate other risks discussed in this Quarterly Report on Form 10-Q. Refer to Item 1A. “Risk Factors” in this Quarterly Report on Form 10-Q for a complete description of the material risks that the Company currently faces.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September 30, 2022, the results of operations for the three and nine months ended September 30, 2022 and 2021 and cash flows for the nine months ended September 30, 2022 and 2021. The results of operations for the three and nine months ended September 30, 2022 are not necessarily indicative of the results to be expected for the full year. The consolidated balance sheet as of December 31, 2021 was derived from the audited annual financial statements. The accompanying unaudited condensed consolidated financial statements and notes thereto should be read in conjunction with the audited consolidated financial statements for the year ended December 31, 2021 included in the Company’s Annual Report on Form 10-K filed with the SEC on March 1, 2022.</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June 17, 2022, the Company filed a Certificate of Amendment to its Amended and Restated Certificate of Incorporation (the “Amendment”) with the Secretary of State of the State of Delaware to effect a one-for-eight (1-for-8) reverse stock split of its outstanding common stock. The Amendment became effective at 5:00 p.m. Eastern Time on June 17, 2022. A series of alternate amendments to effect a reverse stock split was approved by the Company’s stockholders at the Company’s 2022 Annual Meeting of Stockholders held on June 10, 2022, and the specific one-for-eight (1-for-8) reverse stock split was subsequently approved by the Company’s board of directors on June 10, 2022.</w:t>
      </w:r>
    </w:p>
    <w:p>
      <w:pPr>
        <w:spacing w:after="0" w:line="18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Amendment provided that, at the effective time of the Amendment, every eight (8) shares of the Company’s issued and outstanding common stock automatically combined into one issued and outstanding share of common stock, without any change in par value per share. The reverse stock split affected all shares of the Company’s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the Company and outstanding immediately prior to the effective time of the Amendment, which resulted in a proportionate decrease in the number of shares of the Company’s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the Company’s equity compensation plans immediately prior to the effective time of the Amendment was reduced proportionately. The reverse stock split did not affect the number of shares of common stock authorized for issuance under the Company’s Amended and Restated Certificate of Incorporation, which remained at 125,000,000 shares.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 w:name="page10"/>
    <w:bookmarkEnd w:id="9"/>
    <w:p>
      <w:pPr>
        <w:ind w:right="20"/>
        <w:spacing w:after="0" w:line="250"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results in any stockholder owning only a fractional share). As a result of the reverse stock split, the number of the Company’s outstanding shares of common stock as of June 17, 2022 decreased from 42,721,566 (pre-split) shares to 5,340,193 (post-split) shares.</w:t>
      </w:r>
    </w:p>
    <w:p>
      <w:pPr>
        <w:spacing w:after="0" w:line="17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The Company’s common stock began trading on The Nasdaq Global Market on a split-adjusted basis when the market opened on June 21, 2022. Effective September 12, 2022, the Company transferred the listing of its common stock from The Nasdaq Global Market to The Nasdaq Capital Market.</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1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7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1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1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each of September 30, 2022 and December 31, 2021.</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Refundable regulatory fee</w:t>
      </w:r>
    </w:p>
    <w:p>
      <w:pPr>
        <w:spacing w:after="0" w:line="216"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On August 12, 2022, the Company paid $3,117,218 to the U.S. Food and Drug Administration (“FDA”) for the New Drug Application (“NDA”) user fee related to roluperidone. The Company met the conditions of the Federal Food, Drug, and Cosmetic Act, as amended, for the small business waiver of the user fees and its request for a waiver of an application user fee was granted by the FDA on November 2, 2022.</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are adopted by the Company as of the specified effective date. The Company believes that the impact of recently issued, but not yet adopted, accounting pronouncements will not have a material impact on the condensed consolidated financial statements or do not apply to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ACCRUED EXPENSES AND OTHER LIABILITIES</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24"/>
                <w:szCs w:val="24"/>
                <w:color w:val="auto"/>
              </w:rPr>
            </w:pPr>
          </w:p>
        </w:tc>
      </w:tr>
      <w:tr>
        <w:trPr>
          <w:trHeight w:val="209"/>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116,338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902,803</w:t>
            </w:r>
          </w:p>
        </w:tc>
        <w:tc>
          <w:tcPr>
            <w:tcW w:w="80" w:type="dxa"/>
            <w:vAlign w:val="bottom"/>
            <w:shd w:val="clear" w:color="auto" w:fill="CFF0FC"/>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1,143,199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338,129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62,936</w:t>
            </w:r>
          </w:p>
        </w:tc>
        <w:tc>
          <w:tcPr>
            <w:tcW w:w="80" w:type="dxa"/>
            <w:vAlign w:val="bottom"/>
            <w:shd w:val="clear" w:color="auto" w:fill="CFF0FC"/>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Vacation pay</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66,305</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1,663,971</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965,739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413"/>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NET LOSS PER SHARE OF COMMON STOCK</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-299720</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-282575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-299720</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-282575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and shares underlying RSUs, but only to the extent that their inclusion is dilutive. The following table sets forth the computation of basic and diluted loss per share for common stockholders:</w:t>
      </w:r>
    </w:p>
    <w:p>
      <w:pPr>
        <w:spacing w:after="0" w:line="171"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5"/>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600" w:type="dxa"/>
            <w:vAlign w:val="bottom"/>
            <w:gridSpan w:val="5"/>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3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(6,900,476</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(9,205,407</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(25,382,619</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(28,599,303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1"/>
        </w:trPr>
        <w:tc>
          <w:tcPr>
            <w:tcW w:w="33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5,340,196</w:t>
            </w:r>
          </w:p>
        </w:tc>
        <w:tc>
          <w:tcPr>
            <w:tcW w:w="80" w:type="dxa"/>
            <w:vAlign w:val="bottom"/>
          </w:tcPr>
          <w:p>
            <w:pPr>
              <w:spacing w:after="0"/>
              <w:rPr>
                <w:sz w:val="20"/>
                <w:szCs w:val="20"/>
                <w:color w:val="auto"/>
              </w:rPr>
            </w:pPr>
          </w:p>
        </w:tc>
      </w:tr>
      <w:tr>
        <w:trPr>
          <w:trHeight w:val="171"/>
        </w:trPr>
        <w:tc>
          <w:tcPr>
            <w:tcW w:w="33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Net loss per share of common stock – basic</w:t>
            </w: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4"/>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(1.29 )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(1.72 )</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(5.36 )</w:t>
            </w: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September 30, 2022 and 2021 have been excluded from the calculation of weighted average shares outstanding as their effect on the calculation of loss per share is antidilutive:</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8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r>
      <w:tr>
        <w:trPr>
          <w:trHeight w:val="187"/>
        </w:trPr>
        <w:tc>
          <w:tcPr>
            <w:tcW w:w="506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8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467,429</w:t>
            </w:r>
          </w:p>
        </w:tc>
        <w:tc>
          <w:tcPr>
            <w:tcW w:w="18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224,308</w:t>
            </w:r>
          </w:p>
        </w:tc>
        <w:tc>
          <w:tcPr>
            <w:tcW w:w="1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467,429</w:t>
            </w:r>
          </w:p>
        </w:tc>
        <w:tc>
          <w:tcPr>
            <w:tcW w:w="1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224,308</w:t>
            </w:r>
          </w:p>
        </w:tc>
        <w:tc>
          <w:tcPr>
            <w:tcW w:w="8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456,422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456,422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456,422</w:t>
            </w:r>
          </w:p>
        </w:tc>
        <w:tc>
          <w:tcPr>
            <w:tcW w:w="8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FF0FC"/>
          </w:tcPr>
          <w:p>
            <w:pPr>
              <w:spacing w:after="0"/>
              <w:rPr>
                <w:sz w:val="18"/>
                <w:szCs w:val="18"/>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joint development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1" w:name="page12"/>
    <w:bookmarkEnd w:id="11"/>
    <w:p>
      <w:pPr>
        <w:spacing w:after="0" w:line="243" w:lineRule="auto"/>
        <w:rPr>
          <w:sz w:val="20"/>
          <w:szCs w:val="20"/>
          <w:color w:val="auto"/>
        </w:rPr>
      </w:pPr>
      <w:r>
        <w:rPr>
          <w:rFonts w:ascii="Times New Roman" w:cs="Times New Roman" w:eastAsia="Times New Roman" w:hAnsi="Times New Roman"/>
          <w:sz w:val="18"/>
          <w:szCs w:val="18"/>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as Royalty Pharma has recourse against the Company relating to the payments due from Janssen. As such, the Company applied the debt recognition guidance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recorded the upfront payment of $60 million as a liability related to the sale of future royalties (“Royalty Obligation”), which will be amortized under the interest method over the estimated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 In addition, in accordance with ASC 470, Debt, the Company will account for any royalties received in the future as non-cash royalty revenue.</w:t>
      </w:r>
    </w:p>
    <w:p>
      <w:pPr>
        <w:spacing w:after="0" w:line="19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potential milestone payments will also be recorded as a liability related to the sale of future royalties and amortized as interest expense over the estimated remaining life of the agreement. At execution, the Company’s estimate of this total interest expense resulted in an effective annual interest rate of approximately 10.5%. As of September 30, 2022, the Company estimated the effective annual interest rate to be approximately 10.7%. This estimate contains significant assumptions, which are considered Level 3 fair value inputs, regarding the timing and amount of expected royalty and milestone payments that impact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governmental health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of the Royalty Obligation since the transaction inception through September 30, 2022:</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16"/>
                <w:szCs w:val="16"/>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payment from the sale of future royalties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8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11,808,096</w:t>
            </w:r>
          </w:p>
        </w:tc>
        <w:tc>
          <w:tcPr>
            <w:tcW w:w="80" w:type="dxa"/>
            <w:vAlign w:val="bottom"/>
          </w:tcPr>
          <w:p>
            <w:pPr>
              <w:spacing w:after="0"/>
              <w:rPr>
                <w:sz w:val="18"/>
                <w:szCs w:val="18"/>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71,808,096</w:t>
            </w:r>
          </w:p>
        </w:tc>
        <w:tc>
          <w:tcPr>
            <w:tcW w:w="80" w:type="dxa"/>
            <w:vAlign w:val="bottom"/>
            <w:shd w:val="clear" w:color="auto" w:fill="CFF0FC"/>
          </w:tcPr>
          <w:p>
            <w:pPr>
              <w:spacing w:after="0"/>
              <w:rPr>
                <w:sz w:val="18"/>
                <w:szCs w:val="18"/>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1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nine months ended September 30, 2022, no shares of the Company’s common stock were issued or sold under the Sales Agreement. As of September 30, 2022, an aggregate of $22.6 million was eligible for sale pursuant to the Sales Agreement under the Company’s effective registration statement on Form S-3 (File No. 333-267424).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previous sales agreement with Jefferies entered into in August 2018 terminated pursuant to its terms in August 2021.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2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September 30,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AWARD PLAN AND STOCK-BASED COMPENSATION</w:t>
      </w:r>
    </w:p>
    <w:p>
      <w:pPr>
        <w:spacing w:after="0" w:line="21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Option Exchange Program</w:t>
      </w:r>
    </w:p>
    <w:p>
      <w:pPr>
        <w:spacing w:after="0" w:line="2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June 11, 2021, the Company’s stockholders, upon recommendation of the board of directors of the Company, approved a one-time stock option exchange program (the “Exchange Program”) for certain employee option holders (including its named executive officers) (the “Eligible Participants”) who remained employed by the Company through the completion of the Exchange Program. The Exchange Program permitted Eligible Participants to surrender stock options issued and outstanding under the Plan granted before July 1, 2020, with a per-share exercise price of $35.76 or greater (the “Eligible Options”), in exchange for a grant of performance-based restricted stock units (“PRSUs”) that will settle in shares of the Company’s common stock upon vesting. 50% of the new PRSUs will vest upon the FDA acceptance of a new drug application for roluperidone, provided that such acceptance is not “over protest” and occurs within three years after the grant date. The remaining new PRSUs will vest upon roluperidone receiving FDA marketing approval provided that such approval occurs within five years after the grant date.</w:t>
      </w:r>
    </w:p>
    <w:p>
      <w:pPr>
        <w:spacing w:after="0" w:line="17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July 6, 2021, the Company filed with the SEC a Tender Offer Statement on Schedule TO disclosing the terms and conditions of the Exchange Program. The Exchange Program closed on August 3, 2021. On August 6, 2021, options to purchase 953,980 shares of the Company’s common stock were exchanged for 476,640 PRSUs. Options surrendered in the Exchange Program were cancelled and shares subject to the cancelled options again became available for issuance under the Plan.</w:t>
      </w:r>
    </w:p>
    <w:p>
      <w:pPr>
        <w:spacing w:after="0" w:line="1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non-cash incremental stock-based compensation cost associated with the Exchange Program was $0.5 million. This incremental cost was measured as the excess of the fair value of each new PRSU, measured as of the date the new PRSUs were granted, over the fair value of the stock options surrendered in exchange for the new PRSU, measured immediately prior to the cancellation. This incremental compensation cost will be recognized when it is deemed probable that the two vesting conditions of the PRSUs will be achieved.</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nine months ended September 30, 2022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1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264,929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467,429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September 30, 2022</w:t>
            </w:r>
          </w:p>
        </w:tc>
        <w:tc>
          <w:tcPr>
            <w:tcW w:w="14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174,471</w:t>
            </w:r>
          </w:p>
        </w:tc>
        <w:tc>
          <w:tcPr>
            <w:tcW w:w="3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39.42</w:t>
            </w:r>
          </w:p>
        </w:tc>
        <w:tc>
          <w:tcPr>
            <w:tcW w:w="1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3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Available for future grant</w:t>
            </w:r>
          </w:p>
        </w:tc>
        <w:tc>
          <w:tcPr>
            <w:tcW w:w="14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352,166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-967740</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-659130</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p>
      <w:pPr>
        <w:spacing w:after="0" w:line="250"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September 30, 2022 was $14.94 per share. Total unrecognized compensation costs related to non-vested stock options at September 30, 2022 were approximately $1.4 million and are expected to be recognized within future operating results over a weighted-average period of 2.2 years. The total intrinsic value of the options exercised during the nine months ended September 30, 2022 and 2021 was zero.</w:t>
      </w:r>
    </w:p>
    <w:p>
      <w:pPr>
        <w:spacing w:after="0" w:line="19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For stock options granted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the Company utilized the following assumptions: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640" w:type="dxa"/>
            <w:vAlign w:val="bottom"/>
          </w:tcPr>
          <w:p>
            <w:pPr>
              <w:spacing w:after="0"/>
              <w:rPr>
                <w:sz w:val="16"/>
                <w:szCs w:val="16"/>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- 3.25%</w:t>
            </w:r>
          </w:p>
        </w:tc>
        <w:tc>
          <w:tcPr>
            <w:tcW w:w="1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0.86%</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- 97%</w:t>
            </w:r>
          </w:p>
        </w:tc>
        <w:tc>
          <w:tcPr>
            <w:tcW w:w="17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6"/>
              </w:rPr>
              <w:t>75%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gridSpan w:val="2"/>
          </w:tcPr>
          <w:p>
            <w:pPr>
              <w:jc w:val="right"/>
              <w:ind w:right="615"/>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common stock</w:t>
            </w:r>
          </w:p>
        </w:tc>
        <w:tc>
          <w:tcPr>
            <w:tcW w:w="1600" w:type="dxa"/>
            <w:vAlign w:val="bottom"/>
            <w:gridSpan w:val="2"/>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rPr>
              <w:t>$4.78</w:t>
            </w:r>
          </w:p>
        </w:tc>
        <w:tc>
          <w:tcPr>
            <w:tcW w:w="1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$14.64</w:t>
            </w:r>
          </w:p>
        </w:tc>
      </w:tr>
    </w:tbl>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On August 6, 2021, the Company granted 476,640 PRSUs through the Exchange Program. The Exchange Program was treated as a Type II modification (Probable-to improbable) under ASC 718. The total PRSUs outstanding at September 30, 2022 was 456,422. The Company will recognize the unrecognized grant-date fair value of the pre-modification stock options as well as any incremental non-cash compensation cost of the PRSUs granted in the Exchange Program, if the vesting conditions of the PRSUs are achieved or if they become probable. The Company is using the pre-modification stock options for determining the compensation cost related to the PRSUs as the vesting conditions remain uncertain for the new PRSUs. The total unrecognized compensation costs related to non-vested stock options at September 30, 2022 were approximately $1.6 million and are expected to be recognized within future operating results over a weighted-average period of 1.0 year. As of September 30, 2022, no PRSUs have vested and 20,218 have been cancelled.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219" w:lineRule="exact"/>
        <w:rPr>
          <w:sz w:val="20"/>
          <w:szCs w:val="20"/>
          <w:color w:val="auto"/>
        </w:rPr>
      </w:pPr>
    </w:p>
    <w:tbl>
      <w:tblPr>
        <w:tblLayout w:type="fixed"/>
        <w:tblInd w:w="120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6"/>
                <w:szCs w:val="16"/>
                <w:color w:val="auto"/>
              </w:rPr>
            </w:pPr>
          </w:p>
        </w:tc>
      </w:tr>
      <w:tr>
        <w:trPr>
          <w:trHeight w:val="169"/>
        </w:trPr>
        <w:tc>
          <w:tcPr>
            <w:tcW w:w="3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518,920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541,332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1,534,899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1,826,881</w:t>
            </w:r>
          </w:p>
        </w:tc>
        <w:tc>
          <w:tcPr>
            <w:tcW w:w="8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517,954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573,194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9"/>
              </w:rPr>
              <w:t>1,626,236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2,187,769</w:t>
            </w:r>
          </w:p>
        </w:tc>
        <w:tc>
          <w:tcPr>
            <w:tcW w:w="80" w:type="dxa"/>
            <w:vAlign w:val="bottom"/>
          </w:tcPr>
          <w:p>
            <w:pPr>
              <w:spacing w:after="0"/>
              <w:rPr>
                <w:sz w:val="18"/>
                <w:szCs w:val="18"/>
                <w:color w:val="auto"/>
              </w:rPr>
            </w:pPr>
          </w:p>
        </w:tc>
      </w:tr>
      <w:tr>
        <w:trPr>
          <w:trHeight w:val="210"/>
        </w:trPr>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1,036,874</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1,114,526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3,161,135</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4,014,650</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-7620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16"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7"/>
          <w:szCs w:val="17"/>
          <w:color w:val="auto"/>
        </w:rPr>
        <w:t>From time to time, the Company may be subject to various legal proceedings and claims that arise in the ordinary course of the Company’s business activities. At this time, the Company is not aware of any such legal proceedings or claims. The Company is not aware of any claim or litigation, the outcome of which, if determined adversely to the Company, would have a material effect on the Company’s financial position or results of operations.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9 for the Company’s current lease commitments.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May 5, 2021, the Company entered into an office lease agreement with BP Reservoir Place to lease approximately 5,923 rentable square feet of office space located at 1601 Trapelo Road, Waltham, MA 02451. The term of the lease agreement began on August 1, 2021 and expired on July 31, 2022, with an annual rate of $239,881.50 payable in equal monthly installments. The Company has elected to not recognize the lease agreement on the balance sheet as the term of the agreement is 12 months or less. The total operating lease costs during the nine months ended September 30, 2022 were $139,931.</w:t>
      </w:r>
    </w:p>
    <w:p>
      <w:pPr>
        <w:spacing w:after="0" w:line="17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On May 26, 2022, the Company entered into an office lease agreement with Regus to lease office space located at 1500 District Avenue, Burlington, MA 01803. The term of the lease agreement began on July 15, 2022 and will expire on January 31, 2023, with a monthly rate of $7,533. The Company has elected to not recognize the lease agreement on the balance sheet as the term of the agreement is 12 months or less. The total operating lease costs during the nine months ended September 30, 2022 were $19,197.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 as of September 30,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Future Operating Lease Payments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16"/>
                <w:szCs w:val="16"/>
                <w:color w:val="auto"/>
              </w:rPr>
            </w:pPr>
          </w:p>
        </w:tc>
      </w:tr>
      <w:tr>
        <w:trPr>
          <w:trHeight w:val="210"/>
        </w:trPr>
        <w:tc>
          <w:tcPr>
            <w:tcW w:w="1140" w:type="dxa"/>
            <w:vAlign w:val="bottom"/>
          </w:tcPr>
          <w:p>
            <w:pPr>
              <w:spacing w:after="0"/>
              <w:rPr>
                <w:sz w:val="18"/>
                <w:szCs w:val="18"/>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22,599</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28"/>
        </w:trPr>
        <w:tc>
          <w:tcPr>
            <w:tcW w:w="114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 at September 30,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30,132</w:t>
            </w:r>
          </w:p>
        </w:tc>
        <w:tc>
          <w:tcPr>
            <w:tcW w:w="80" w:type="dxa"/>
            <w:vAlign w:val="bottom"/>
          </w:tcPr>
          <w:p>
            <w:pPr>
              <w:spacing w:after="0"/>
              <w:rPr>
                <w:sz w:val="19"/>
                <w:szCs w:val="19"/>
                <w:color w:val="auto"/>
              </w:rPr>
            </w:pPr>
          </w:p>
        </w:tc>
      </w:tr>
      <w:tr>
        <w:trPr>
          <w:trHeight w:val="41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-419735</wp:posOffset>
            </wp:positionV>
            <wp:extent cx="51435"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145415"/>
                    </a:xfrm>
                    <a:prstGeom prst="rect">
                      <a:avLst/>
                    </a:prstGeom>
                    <a:noFill/>
                  </pic:spPr>
                </pic:pic>
              </a:graphicData>
            </a:graphic>
          </wp:anchor>
        </w:drawing>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October 11, 2022, the Company entered into an office lease agreement with Regus to lease office space located at 1500 District Avenue, Burlington, MA 01803. The term of the lease agreement will begin on February 1, 2023 and will be month-to-month, with a monthly rate of $8,290.</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2021 as filed with the Securities and Exchange Commission on March 1, 2022.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 Such factors may be amplified by the potential impact on our business of the global economic slowdown, the overall disruption of global healthcare systems and the other risks and uncertainties associated with the COVID-19 pandemic.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We are developing roluperidone for the treatment of negative symptoms in patients with schizophrenia and have exclusive rights to develop and commercialize MIN-301 for the treatment of Parkinson’s disease. In addition, we previously co-developed seltorexant with Janssen Pharmaceutica NV (“Janssen”) for the treatment of insomnia disorder and adjunctive treatment of Major Depressive Disorder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 In January 2021, we sold our rights to these potential royalties to Royalty Pharma plc (“Royalty Pharma”).</w:t>
      </w:r>
    </w:p>
    <w:p>
      <w:pPr>
        <w:spacing w:after="0" w:line="1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not received regulatory approvals to commercialize any of our product candidates, and we have not generated any revenue from the sales or license of our product candidates. We have incurred significant operating losses every year since inception. We expect to incur net losses and negative cash flow from operating activities for the foreseeable future in connection with the clinical development and the potential regulatory approval, infrastructure development and potential commercialization of our product candidates.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Regulatory Updates</w:t>
      </w:r>
    </w:p>
    <w:p>
      <w:pPr>
        <w:spacing w:after="0" w:line="21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October 17, 2022, we announced that we received a Refusal to File (“RTF”) letter from the U.S. Food and Drug Administration (“FDA”) regarding our New Drug Application (“NDA”) for roluperidone for the treatment of negative symptoms in patients with schizophrenia. The FDA indicated that we may request a Type A meeting to discuss the content of the RTF letter. We have requested a Type A meeting with the FDA and anticipate it to occur before the end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of our product candidates.</w:t>
      </w:r>
    </w:p>
    <w:p>
      <w:pPr>
        <w:spacing w:after="0" w:line="17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costs are expensed as they are incurred and consist principally of costs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development of our product candidates including: fees paid to consultants and clinical research organizations (“CROs”), investigator grants, patient screening, lab work, database management, material management, statistical analysis, license fees, regulatory compliance, and costs related to salaries, benefits, bonuses and stock-based compensation granted to employees in research and development functions.</w:t>
      </w:r>
    </w:p>
    <w:p>
      <w:pPr>
        <w:spacing w:after="0" w:line="17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16" w:name="page17"/>
    <w:bookmarkEnd w:id="16"/>
    <w:p>
      <w:pPr>
        <w:ind w:right="2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costs are expensed as they are incurred and consist principally of costs for facility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systems, professional fees for auditing, consulting and legal services and costs related to salaries, benefits, bonuses and stock-based compensation granted to employees in administrative functions. General and administrative expenses also include costs for maintaining a publicly listed company including increased audit and legal fees, compliance with securities laws, corporate governance and investor relations.</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Foreign Exchange Gains (Losses). </w:t>
      </w:r>
      <w:r>
        <w:rPr>
          <w:rFonts w:ascii="Times New Roman" w:cs="Times New Roman" w:eastAsia="Times New Roman" w:hAnsi="Times New Roman"/>
          <w:sz w:val="18"/>
          <w:szCs w:val="18"/>
          <w:color w:val="auto"/>
        </w:rPr>
        <w:t>Foreign exchange gains (losses) are comprised primarily of gains and losses on foreign currency transactions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gain or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1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Non-cash interest expense for the sale of future royalties. </w:t>
      </w:r>
      <w:r>
        <w:rPr>
          <w:rFonts w:ascii="Times New Roman" w:cs="Times New Roman" w:eastAsia="Times New Roman" w:hAnsi="Times New Roman"/>
          <w:sz w:val="18"/>
          <w:szCs w:val="18"/>
          <w:color w:val="auto"/>
        </w:rPr>
        <w:t>Non-cash interest expense for the sale of future royalties consists of the non-cash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Royalty Pharma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2022 versus September 30,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were $2.4 million and $4.5 million for the three months ended September 30, 2022 and 2021, respectively, a decrease of approximately $2.1 million. The decrease in research and development expenses was primarily due to lower costs for the Phase 3 clinical trial of roluperidone due to the completion of the 40-week open-label extension in 2021, partially offset by higher consulting fees in support of the NDA submission in August 2022. Non-cash stock compensation expense included in research and development expenses was $0.5 million for both the three months ended September 30, 2022 and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$2.8 million and $3.0 million for the three months ended September 30, 2022 and 2021, respectively, a decrease of approximately $0.2 million. The decrease in general and administrative expenses was primarily due to lower legal and insurance costs. Non-cash stock compensation expense included in general and administrative expenses was $0.5 million and $0.6 million for the three months ended September 30,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Gains (Losses)</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Foreign exchange gains were $2,000 and foreign exchange losses were $5,000 for the three months ended September 30, 2022 and 2021, respectively, an increase of $7,000. The increase in foreign exchange gains was primarily due to positive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Investment income was $180,000 and $4,000 for the three months ended September 30, 2022 and 2021, respectively, an increase of $176,000 primarily due to higher interest rates.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$1.9 million and $1.7 million for the three months ended September 30, 2022 and 2021, respectively, an increase of $0.2 million. The increase was due to an increase in the carrying value of the liability related to the sale of future royalties for seltorexant to Royalty Pharma in accordance with ASC 470, Debt.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2022 versus September 30,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Research and development expenses were $11.5 million and $13.3 million for the nine months ended September 30, 2022 and 2021, respectively, a decrease of approximately $1.8 million. The decrease in research and development expenses was primarily due to lower costs for the Phase 3 clinical trial of roluperidone due to the completion of the 40-week open-label extension in 2021, partially offset by higher consulting fees in support of the NDA submission in August 2022. Non-cash stock compensation expense included in research and development expenses was $1.5 million and $1.8 million for the nine months ended September 30,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$8.7 million and $10.7 million for the nine months ended September 30, 2022 and 2021, respectively, a decrease of approximately $2.0 million. The decrease in general and administrative expenses was primarily due to lower legal and insurance costs. Non-cash stock compensation expense included in general and administrative expenses was $1.6 million and $2.2 million for the nine months ended September 30,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Foreign exchange losses were zero and $29,000 for the nine months ended September 30, 2022 and 2021, respectively, a decrease of $29,000. The decrease in foreign exchange losses was primarily due to positive currency movements.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00" w:lineRule="exact"/>
        <w:rPr>
          <w:sz w:val="20"/>
          <w:szCs w:val="20"/>
          <w:color w:val="auto"/>
        </w:rPr>
      </w:pPr>
    </w:p>
    <w:p>
      <w:pPr>
        <w:ind w:right="620"/>
        <w:spacing w:after="0" w:line="250" w:lineRule="auto"/>
        <w:rPr>
          <w:sz w:val="20"/>
          <w:szCs w:val="20"/>
          <w:color w:val="auto"/>
        </w:rPr>
      </w:pPr>
      <w:r>
        <w:rPr>
          <w:rFonts w:ascii="Times New Roman" w:cs="Times New Roman" w:eastAsia="Times New Roman" w:hAnsi="Times New Roman"/>
          <w:sz w:val="18"/>
          <w:szCs w:val="18"/>
          <w:color w:val="auto"/>
        </w:rPr>
        <w:t>Investment income was $260,000 and $13,000 for the nine months ended September 30, 2022 and 2021, respectively, an increase of $247,000. The increase was primarily due to higher interest rates.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1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$5.5 million and $4.6 million for the nine months ended September 30, 2022 and 2021, respectively, an increase of $0.9 million. The increase was due to a higher effective interest rate during 2022 and an increase in the carrying value of the liability related to the sale of future royalties for seltorexant to Royalty Pharma in accordance with ASC 470, Debt.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As of September 30, 2022, we had an accumulated deficit of approximately $360.1 million. We anticipate that we will continue to incur net losses for the foreseeable future as we continue the development and potential commercialization of our product candidates and to support our operations as a public company. At September 30, 2022, we had approximately $40.3 million in cash, cash equivalents, and restricted cash. In January 2021, Royalty Pharma acquired our royalty interest in seltorexant for an upfront payment of $60 million and up to an additional $95 million in potential milestone payments. The potential future milestone payments to us will be contingent on the achievement of certain clinical, regulatory and commercialization milestones for seltorexant by Janssen. Seltorexant is currently in Phase 3 development for the treatment of MDD with insomnia symptoms by Janssen. We believe that our existing cash, cash equivalents and restricted cash will be sufficient to meet our cash commitments for at least the next 12 months after the date that the financial statements are issued. Our material cash requirements primarily relate to expenditures for the continued development of roluperidone and activities in support of the NDA submission.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Funds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1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 During the nine months ended September 30, 2022, no shares of our common stock were issued or sold under the Sales Agreement. As of September 30, 2022, an aggregate of $22.6 million was eligible for sale pursuant to the Sales Agreement under our effective registration statement on Form S-3 (File No. 333-267424).</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Our previous sales agreement with Jefferies entered into in August 2018 terminated pursuant to its terms in August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1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7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January 19, 2021, we entered into an agreement under which Royalty Pharma acquired our royalty interest in seltorexant for an upfront payment of $60 million and up to an additional $95 million in potential milestone payments, contingent upon the achievement of certain clinical, regulatory and commercial milestones for seltorexant by Janssen.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1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20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the uncertainty and volatility in the capital markets caused by the continuing COVID-19 pandemic may negatively impact the availability and cost of capital.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interim condensed consolidated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660" w:type="dxa"/>
            <w:vAlign w:val="bottom"/>
            <w:gridSpan w:val="2"/>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(20.5 )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(19.8 )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8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4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4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-513715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-496570</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of approximately $20.5 million during the nine months ended September 30, 2022 was primarily due to our net loss of $25.4 million, a $3.1 million increase in refundable regulatory fees, a $1.3 million decrease in accounts payable, and a $0.1 million increase in prepaid expense, partially offset by non-cash interest expense for the sale of future royalties of $5.5 million, stock-based compensation expense of $3.2 million, and an increase in accrued expenses of $0.7 million.</w:t>
      </w:r>
    </w:p>
    <w:p>
      <w:pPr>
        <w:spacing w:after="0" w:line="16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of approximately $19.8 million during the nine months ended September 30, 2021 was primarily due to our net loss of $28.6 million, a $0.1 million increase in capitalized software, and approximately a $0.1 million decrease in accrued expenses, partially offset by stock-based compensation expense of $4.0 million, non-cash interest expense for the sale of future royalties of $4.6 million, a $0.2 million decrease in prepaid expense, and a $0.2 million increase in accounts payable.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nine months ended September 30, 2022 and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nine months ended September 30, 2022.</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$60 million during the nine months ended September 30, 2021 was due to the proceeds from the sale of future royalties of $60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June 17, 2022, we filed a Certificate of Amendment to our Amended and Restated Certificate of Incorporation (the “Amendment”) with the Secretary of State of the State of Delaware to effect a one-for-eight (1-for-8) reverse stock split of our outstanding common stock. The Amendment became effective at 5:00 p.m. Eastern Time on June 17, 2022. A series of alternate amendments to effect a reverse stock split was approved by our stockholders at our 2022 Annual Meeting of Stockholders held on June 10, 2022, and the specific one-for-eight (1-for-8) reverse stock split was subsequently approved by our board of directors on June 10, 2022.</w:t>
      </w:r>
    </w:p>
    <w:p>
      <w:pPr>
        <w:spacing w:after="0" w:line="18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Amendment provided that, at the effective time of the Amendment, every eight (8) shares of our issued and outstanding common stock automatically combined into one issued and outstanding share of common stock, without any change in par value per share. The reverse stock split affected all shares of our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us and outstanding immediately prior to the effective time of the Amendment, which resulted in a proportionate decrease in the number of shares of our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our equity compensation plans immediately prior to the effective time of the Amendment was reduced proportionately. The reverse stock split did not affect the number of shares of common stock authorized for issuance under our Amended and Restated Certificate of Incorporation, which remained at 125,000,000 shares.</w:t>
      </w:r>
    </w:p>
    <w:p>
      <w:pPr>
        <w:spacing w:after="0" w:line="18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our common stock (except to the extent that the reverse stock split results in any stockholder owning only a fractional share). As a result of the reverse stock split, the number of our outstanding shares of common stock as of June 17, 2022 decreased from 42,721,566 (pre-split) shares to 5,340,193 (post-split) shares.</w:t>
      </w:r>
    </w:p>
    <w:p>
      <w:pPr>
        <w:spacing w:after="0" w:line="17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Our common stock began trading on The Nasdaq Global Market on a split-adjusted basis when the market opened on June 21, 2022. Effective September 12, 2022, we transferred the listing of our common stock from The Nasdaq Global Market to The Nasdaq Capital Market.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our Annual Report on Form 10-K for the fiscal year ended December 31, 2021, our most critical accounting policies and estimates upon which our financial status depends were identified as those relating to research and development costs; in-process research and development; goodwill; income taxes; and the liability related to the sale of future royalties. We reviewed our policies and determined that those policies were our most critical accounting policies for the nine months ended September 30,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us as of the specified effective date. See Note 2 of our Annual Report on Form 10-K for the fiscal year ended December 31, 2021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September 30, 2022. Based on the evaluation of our disclosure controls and procedures as of September 30, 2022, our Chief Executive Officer and Chief Financial Officer concluded that, as of such date, our disclosure controls and procedures were effective at a reasonable assurance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our latest fiscal quarter that would have materially affected, or are reasonably likely to materially affect, our internal control over financial reporting.</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21" w:name="page22"/>
    <w:bookmarkEnd w:id="2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1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1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2021, as filed with the Securities and Exchange Commission (“SEC”) on March 1, 2022. The risk factors set forth below are risk factors containing changes, which may be material, from the risk factors previously disclosed in Item 1A of our Annual Report on Form 10-K for the fiscal year ended December 31, 2021, as filed with the SEC.</w:t>
      </w:r>
    </w:p>
    <w:p>
      <w:pPr>
        <w:spacing w:after="0" w:line="193"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 Our recent collaborative revenue was due to the recognition of deferred revenue as a result of opting out of an agreement, and is not a recurring source of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had an accumulated deficit of $360.1 million.</w:t>
      </w:r>
    </w:p>
    <w:p>
      <w:pPr>
        <w:spacing w:after="0" w:line="2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(deficit) equity and working capital.</w:t>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0" w:right="439" w:bottom="1440" w:gutter="0" w:footer="0" w:header="0"/>
        </w:sectPr>
      </w:pPr>
    </w:p>
    <w:bookmarkStart w:id="22" w:name="page23"/>
    <w:bookmarkEnd w:id="22"/>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5"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September 30, 2022, we had cash, cash equivalents, and restricted cash of $40.3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both short and long-term, will depend on many factors, including:</w:t>
      </w:r>
    </w:p>
    <w:p>
      <w:pPr>
        <w:spacing w:after="0" w:line="104" w:lineRule="exact"/>
        <w:rPr>
          <w:sz w:val="20"/>
          <w:szCs w:val="20"/>
          <w:color w:val="auto"/>
        </w:rPr>
      </w:pPr>
    </w:p>
    <w:p>
      <w:pPr>
        <w:ind w:left="1020" w:right="5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40"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67" w:lineRule="exact"/>
        <w:rPr>
          <w:rFonts w:ascii="Times New Roman" w:cs="Times New Roman" w:eastAsia="Times New Roman" w:hAnsi="Times New Roman"/>
          <w:sz w:val="18"/>
          <w:szCs w:val="18"/>
          <w:color w:val="auto"/>
        </w:rPr>
      </w:pPr>
    </w:p>
    <w:p>
      <w:pPr>
        <w:ind w:left="1020" w:right="3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6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as a result of the ongoing COVID-19 pandemic, and could be subject to risks from further health pandemics or epidemics, as well as uncertainty regarding returning to work.</w:t>
      </w:r>
    </w:p>
    <w:p>
      <w:pPr>
        <w:spacing w:after="0" w:line="17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including the ongoing COVID-19 pandemic. Beginning in late 2019 and continuing into 2022, the outbreak of COVID-19 has resulted in the declaration of a global pandemic and adversely affected economic activity across virtually all sectors and industries on a local, national, and global scale. While global vaccination efforts are underway and certain jurisdictions, including Massachusetts, where our headquarters are located, have reopened businesses and governmental agencies, we are unable to accurately predict the full impact that COVID-19 will have due to numerous uncertainties, including the duration of the outbreak, the result of vaccination efforts, resurgence of the virus including any new variants, actions that may be taken by governmental authorities, the impact on our business including our clinical programs and timelines, and the impact to the business of our service providers and partners. The magnitude of the negative effects of COVID-19 will depend, in part, on the length and severity of the restrictions and other limitations on our ability to conduct our business in the ordinary course, and our ability to respond with minimal disruptions to the evolving restrictions, reopenings, and any future curtailment. These and similar, and perhaps more severe, disruptions in our operations in response to the ongoing COVID-19 pandemic and any future health pandemics or epidemics could negatively impact our business, operating results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3" w:name="page24"/>
    <w:bookmarkEnd w:id="23"/>
    <w:p>
      <w:pPr>
        <w:ind w:right="40"/>
        <w:spacing w:after="0" w:line="245" w:lineRule="auto"/>
        <w:rPr>
          <w:sz w:val="20"/>
          <w:szCs w:val="20"/>
          <w:color w:val="auto"/>
        </w:rPr>
      </w:pPr>
      <w:r>
        <w:rPr>
          <w:rFonts w:ascii="Times New Roman" w:cs="Times New Roman" w:eastAsia="Times New Roman" w:hAnsi="Times New Roman"/>
          <w:sz w:val="18"/>
          <w:szCs w:val="18"/>
          <w:color w:val="auto"/>
        </w:rPr>
        <w:t>In addition, our clinical trials may be affected by the COVID-19 pandemic. We may face difficulties enrolling or retaining patients in future clinical trials if patients are affected by the COVID-19 virus or are unable to travel to the clinical trial sites or obtain study medication. Our clinical trials may further be delayed due to prioritization of hospital resources toward the COVID-19 pandemic, and some patients may not be able to comply with clinical trial protocols if quarantines impede patient movement or interrupt healthcare services. Similarly, our ability to recruit and retain principal investigators and site staff who, as healthcare providers, may have heightened exposure to the COVID-19 virus, could be delayed or disrupted, which would adversely impact our clinical trial operations. As a result, we could experience delays in the completion of our trials, which could result in a material adverse impact on our clinical trial plans and timelines.</w:t>
      </w:r>
    </w:p>
    <w:p>
      <w:pPr>
        <w:spacing w:after="0" w:line="19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Furthermore, the COVID-19 pandemic has caused a broad negative impact globally on capital markets and economies worldwide, which could have a negative impact on us economically. While the potential economic impact brought by, and the duration of, the COVID-19 pandemic, may be difficult to assess or predict, it is currently resulting in significant disruption of global financial markets. This disruption, if sustained or recurrent, together with rising interest rates, could have a material adverse effect on our operating results, our ability to raise capital needed to develop and commercialize products and our overall financial condition. In addition, a recession or market correction resulting from the spread of the coronavirus could materially affect the value of our common stock.</w:t>
      </w:r>
    </w:p>
    <w:p>
      <w:pPr>
        <w:spacing w:after="0" w:line="18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extent of the impact of the COVID-19 pandemic on our business is uncertain and difficult to predict, as the pandemic continues to rapidly evolve. The ultimate impact of the COVID-19 pandemic or a similar health pandemic or epidemic is highly uncertain and subject to change. While we are experiencing limited financial impacts at this time, given the global economic slowdown, the overall disruption of global healthcare systems and the other risks and uncertainties associated with the COVID-19 pandemic, our business, financial condition, and results of operations could be materially adversely affected.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1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own one Swiss subsidiary, expect to engage in significant cross-border activities, and we will be subject to risks related to international operations, including:</w:t>
      </w:r>
    </w:p>
    <w:p>
      <w:pPr>
        <w:spacing w:after="0" w:line="68"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maintaining approval of drugs in foreign countries;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contractual and intellectual property rights in certain countries;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in particular foreign economies and markets, such as the instability caused by Russia’s invasion of Ukraine, or public health issues or pandemics, such as the coronavirus;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laws of various jurisdictions, including with respect to intercompany transfer pricing arrangements and taxable nexus;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privacy and the collection and use of patient data; and</w:t>
      </w:r>
    </w:p>
    <w:p>
      <w:pPr>
        <w:spacing w:after="0" w:line="103" w:lineRule="exact"/>
        <w:rPr>
          <w:rFonts w:ascii="Times New Roman" w:cs="Times New Roman" w:eastAsia="Times New Roman" w:hAnsi="Times New Roman"/>
          <w:sz w:val="18"/>
          <w:szCs w:val="18"/>
          <w:color w:val="auto"/>
        </w:rPr>
      </w:pPr>
    </w:p>
    <w:p>
      <w:pPr>
        <w:ind w:left="900" w:right="44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political instability, hostilities, war and terrorism, such as the military conflict involving Russia and Ukraine, or natural disasters including pandemics, earthquakes, typhoons, floods and fires.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issues were to occur, our business could be materially harmed.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6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3"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6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processing)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In addition, the California Consumer Privacy Act of 2018 (“CCPA”)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maintained about California residents. In addition, the California Privacy Rights Act of 2020 (“CPRA”), effective January 1, 2023, will expand the CCPA’s requirements and establish a new regulatory agency to implement and enforce the law. Other states, such as Virginia, Colorado and Utah, have also passed comprehensive privacy laws, and similar laws are being considered in several other states. These developments may further complicate compliance efforts, and may increase legal risk and compliance costs for us, the third parties upon whom we rely. In addition, data privacy and security laws have been proposed at the federal, state, and local levels in recent years, which could further complicate compliance efforts.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5" w:name="page26"/>
    <w:bookmarkEnd w:id="25"/>
    <w:p>
      <w:pPr>
        <w:ind w:right="40"/>
        <w:spacing w:after="0" w:line="247"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apply to data privacy and security. For example, the European Union’s General Data Protection Regulation (“EU GDPR”), and the United Kingdom’s GDPR (“UK GDPR”) impose strict requirements for processing personal data, and violators of these laws face significant penalties. For example, under the EU GDPR, government regulators may impose temporary or definitive bans on data processing, as well as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8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Certain jurisdictions, such as the EU, Switzerland and the UK, have enacted cross-border personal data transfer laws regulating personal data flows to third countries. In addition to personal data transfer restrictions, other countries (such as Russia and China) have adopted or proposed laws prohibiting certain businesses from transferring data outside those countries, which may increase the cost and complexity of doing business or require us not to conduct business in certain countries. Existing mechanisms that facilitate cross-border personal data transfers may change or be invalidated and may pose additional compliance burdens. For example, absent appropriate safeguards or other circumstances, the EU GDPR generally restricts the transfer of personal data to countries outside of the European Economic Area (“EEA”) that the European Commission does not consider to provide an adequate level of data privacy and security, such as the United States. The European Commission released a set of “Standard Contractual Clauses” (“SCCs”) that are designed to be a valid mechanism to facilitate personal data transfers out of the EEA to these jurisdictions. Currently, these SCCs are a valid mechanism to transfer personal data outside of the EEA. Additionally, the SCCs impose additional compliance burdens, such as conducting transfer impact assessments to determine whether additional security measures are necessary to protect the at-issue personal data. If we cannot implement a valid personal data transfer mechanism, we may face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countries at significant expense.</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w:t>
      </w:r>
    </w:p>
    <w:p>
      <w:pPr>
        <w:spacing w:after="0" w:line="16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practices and to those of any third parties that process personal data on our behalf.</w:t>
      </w:r>
    </w:p>
    <w:p>
      <w:pPr>
        <w:spacing w:after="0" w:line="17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7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p>
      <w:pPr>
        <w:ind w:right="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the ordinary course of our business, we or the third parties upon which we rely, may process proprietary, confidential, and sensitive data, including personal data (such as health-related data), intellectual property, and trade secrets (collectively, sensitive information).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Our ability to monitor these third parties’ information security practices is limited, and these third parties may not have adequate information security measures in place. We may share or receive sensitive information with or from third parties.</w:t>
      </w:r>
    </w:p>
    <w:p>
      <w:pPr>
        <w:spacing w:after="0" w:line="18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In particular,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 Future or past business transactions (such as acquisitions or integrations) could expose us to additional cybersecurity risks and vulnerabilities, as our systems could be negatively affected by vulnerabilities present in acquired or integrated entities’ systems and technologies. The COVID-19 pandemic and our remote workforce also poses increased risks to our information technology systems and data, as more of our employees work from home, utilizing network connections outside our premises.</w:t>
      </w:r>
    </w:p>
    <w:p>
      <w:pPr>
        <w:spacing w:after="0" w:line="18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services.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8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or those of a third party upon whom we rely, will be effective. For example, an external contractor experienced a cyberattack in 2019, which resulted in a disruption to patient recruitment in our Phase 3 clinical trial of roluperidone.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address vulnerabilities, if any, in our information technology systems, our efforts may not be successful. Further, we may experience delays in developing and deploying remedial measures designed to address any such identified vulnerabilities.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7" w:name="page28"/>
    <w:bookmarkEnd w:id="27"/>
    <w:p>
      <w:pPr>
        <w:ind w:right="40"/>
        <w:spacing w:after="0" w:line="245"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negatively impact our ability to grow and operate our business.</w:t>
      </w:r>
    </w:p>
    <w:p>
      <w:pPr>
        <w:spacing w:after="0" w:line="195"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5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If The Nasdaq Stock Market LLC (“Nasdaq”) delists our securities from trading on its exchange for failure to meet the listing standards, we and our stockholders could face significant negative consequences including:</w:t>
      </w:r>
    </w:p>
    <w:p>
      <w:pPr>
        <w:spacing w:after="0" w:line="69"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10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if any;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Delisting from The Nasdaq Capital Market could also result in other negative consequences, including the potential loss of confidence by suppliers, customers and employees, the loss of institutional investor interest and fewer business development opportunities.</w:t>
      </w:r>
    </w:p>
    <w:p>
      <w:pPr>
        <w:spacing w:after="0" w:line="16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As previously reported, on January 12, 2022, we received a deficiency letter from Nasdaq notifying us that, for the previous 30 consecutive business days, the closing bid price of our shares of common stock had not been maintained at the minimum required closing bid price of at least $1.00 per share, as required for continued listing on The Nasdaq Global Market, where our securities were listed for trading at the time. In accordance with the listing rules of Nasdaq, we were given 180 calendar days, or until July 11, 2022, to regain compliance with the minimum bid price requirement. On June 17, 2022, we implemented a one-for-eight (1-for-8) reverse stock split of our outstanding commons stock in an effort to regain compliance with Nasdaq’s minimum bid price requirement of $1.00 per share. On July 6, 2022, we received a letter from Nasdaq notifying us that the closing bid price of our common stock had been at $1.00 per share or greater for the last 10 consecutive business days and we had regained compliance with Nasdaq Stock Market Rule 5450(a)(1) and this matter was closed.</w:t>
      </w:r>
    </w:p>
    <w:p>
      <w:pPr>
        <w:spacing w:after="0" w:line="20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March 8, 2022, we received a second deficiency letter from Nasdaq that our stockholders’ equity as reported in our Annual Report on Form 10-K for the year ended December 31, 2021 did not satisfy The Nasdaq Global Market continued listing requirement of $10 million as set forth in Nasdaq Stock Market Rule 5450(b)(1). We had 45 calendar days from the date of this letter to submit to Nasdaq a plan to regain compliance with such requirement. Nasdaq later extended the deadline for such submission, and we subsequently submitted our plans to regain compliance on May 2, 2022, May 24, 2022 and May 25, 2022. On June 3, 2022, we received a letter from Nasdaq notifying us that it has determined to grant us an extension until September 5, 2022 to regain compliance with Nasdaq Stock Market Rule 5450(b)(1). In September 2022, we submitted an application to Nasdaq to transfer our common stock from The Nasdaq Global Market to The Nasdaq Capital Market, as allowed under Nasdaq Stock Market Rule 5810(c)(3)(A). Based on our meeting the listing requirements of The Nasdaq Capital Market, our application was approved by Nasdaq. Effective September 12, 2022, we transferred the listing of our common stock from The Nasdaq Global Market to The Nasdaq Capital Market.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8" w:name="page29"/>
    <w:bookmarkEnd w:id="28"/>
    <w:p>
      <w:pPr>
        <w:ind w:right="20"/>
        <w:spacing w:after="0" w:line="250" w:lineRule="auto"/>
        <w:rPr>
          <w:sz w:val="20"/>
          <w:szCs w:val="20"/>
          <w:color w:val="auto"/>
        </w:rPr>
      </w:pPr>
      <w:r>
        <w:rPr>
          <w:rFonts w:ascii="Times New Roman" w:cs="Times New Roman" w:eastAsia="Times New Roman" w:hAnsi="Times New Roman"/>
          <w:sz w:val="18"/>
          <w:szCs w:val="18"/>
          <w:color w:val="auto"/>
        </w:rPr>
        <w:t>Notwithstanding the reverse stock split and our compliance with The Nasdaq Capital Market requirements, there can be no assurance that we will be able maintain compliance and remain in compliance in the future. In particular, our share price may continue to decline for a number of reasons, including many that are beyond our control. See the risk factor captioned “</w:t>
      </w:r>
      <w:r>
        <w:rPr>
          <w:rFonts w:ascii="Times New Roman" w:cs="Times New Roman" w:eastAsia="Times New Roman" w:hAnsi="Times New Roman"/>
          <w:sz w:val="18"/>
          <w:szCs w:val="18"/>
          <w:i w:val="1"/>
          <w:iCs w:val="1"/>
          <w:color w:val="auto"/>
        </w:rPr>
        <w:t>The market price of our stock may be volatile, and you could lose all or part of your investment</w:t>
      </w:r>
      <w:r>
        <w:rPr>
          <w:rFonts w:ascii="Times New Roman" w:cs="Times New Roman" w:eastAsia="Times New Roman" w:hAnsi="Times New Roman"/>
          <w:sz w:val="18"/>
          <w:szCs w:val="18"/>
          <w:color w:val="auto"/>
        </w:rPr>
        <w:t>” described in our Annual Report on Form 10-K for the year ended December 31, 2021.</w:t>
      </w:r>
    </w:p>
    <w:p>
      <w:pPr>
        <w:spacing w:after="0" w:line="1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6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“Penny stock” rules may make buying or selling our securities difficult which may make our stock less liquid and make it harder for investors to buy and sell our securities.</w:t>
      </w:r>
    </w:p>
    <w:p>
      <w:pPr>
        <w:spacing w:after="0" w:line="14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Trading in our securities is subject to the SEC’s “penny stock” rules and it is anticipated that trading in our securities will continue to be subject to the penny stock rules for the foreseeable future. The SEC has adopted regulations that generally define a penny stock to be any equity security that has a market price of less than $5.00 per share, subject to certain exceptions. These rules require that any broker-dealer who recommends our securities to persons other than prior customers and accredited investors must, prior to the sale, make a special written suitability determination for the purchaser and receive the purchaser’s written agreement to execute the transaction. Unless an exception is available, the regulations require the delivery, prior to any transaction involving a penny stock, of a disclosure schedule explaining the penny stock market and the risks associated with trading in the penny stock market. In addition, broker-dealers must disclose commissions payable to both the broker-dealer and the registered representative and current quotations for the securities they offer. The additional burdens imposed upon broker-dealers by these requirements may discourage broker-dealers from recommending transactions in our securities, which could severely limit the liquidity of our securities and consequently adversely affect the market price for our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7"/>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6660" w:type="dxa"/>
            <w:vAlign w:val="bottom"/>
            <w:tcBorders>
              <w:bottom w:val="single" w:sz="8" w:color="auto"/>
            </w:tcBorders>
            <w:gridSpan w:val="14"/>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9980" w:type="dxa"/>
            <w:vAlign w:val="bottom"/>
            <w:gridSpan w:val="1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Amended and Restated Certificate of Incorporation of the Registrant (incorporated by reference to Exhibit 3.1 to the Registrant’s</w:t>
              </w:r>
            </w:hyperlink>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32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registration statement on Form S-1/A (File No. 333-195169) filed with the SEC on June 10, 2014</w:t>
              </w:r>
              <w:r>
                <w:rPr>
                  <w:rFonts w:ascii="Times New Roman" w:cs="Times New Roman" w:eastAsia="Times New Roman" w:hAnsi="Times New Roman"/>
                  <w:sz w:val="18"/>
                  <w:szCs w:val="18"/>
                  <w:color w:val="000000"/>
                </w:rPr>
                <w:t>)</w:t>
              </w:r>
            </w:hyperlink>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9980" w:type="dxa"/>
            <w:vAlign w:val="bottom"/>
            <w:gridSpan w:val="16"/>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Amended and Restated Bylaws of the Registrant (incorporated by reference to Exhibit 3.2 to the Registrant’s quarterly report on Form 10-</w:t>
              </w:r>
            </w:hyperlink>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Q (File No. 001-36517) filed with the SEC on November 4,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516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4"/>
                <w:szCs w:val="24"/>
                <w:color w:val="auto"/>
              </w:rPr>
            </w:pPr>
          </w:p>
        </w:tc>
        <w:tc>
          <w:tcPr>
            <w:tcW w:w="9980" w:type="dxa"/>
            <w:vAlign w:val="bottom"/>
            <w:gridSpan w:val="1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Certificate of Amendment to Amended and Restated Certificate of Incorporation of Minerva Neurosciences, Inc., effective June 17, 2022</w:t>
              </w:r>
            </w:hyperlink>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(incorporated by reference to Exhibit 3.1 to the Registration’s current report on Form 8-K (File No. 001-36517) filed with the SEC on</w:t>
              </w:r>
            </w:hyperlink>
          </w:p>
        </w:tc>
        <w:tc>
          <w:tcPr>
            <w:tcW w:w="60" w:type="dxa"/>
            <w:vAlign w:val="bottom"/>
            <w:gridSpan w:val="2"/>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6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June 17, 2022).</w:t>
              </w:r>
            </w:hyperlink>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9980" w:type="dxa"/>
            <w:vAlign w:val="bottom"/>
            <w:gridSpan w:val="1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Open Market Sale Agreement, dated as of September 14, 2022, between the Registrant and Jefferies LLC (incorporated by reference to</w:t>
              </w:r>
            </w:hyperlink>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Exhibit 1.2 to the Registrant’s registration statement on Form S-3 (File No. 333-267424) filed with the SEC on September 14, 2022)</w:t>
              </w:r>
            </w:hyperlink>
          </w:p>
        </w:tc>
        <w:tc>
          <w:tcPr>
            <w:tcW w:w="8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60" w:type="dxa"/>
            <w:vAlign w:val="bottom"/>
          </w:tcPr>
          <w:p>
            <w:pPr>
              <w:spacing w:after="0"/>
              <w:rPr>
                <w:sz w:val="24"/>
                <w:szCs w:val="24"/>
                <w:color w:val="auto"/>
              </w:rPr>
            </w:pPr>
          </w:p>
        </w:tc>
        <w:tc>
          <w:tcPr>
            <w:tcW w:w="90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(Principal Executive Officer) pursuant to Section 302 of Sarbanes-Oxley Act of 2002</w:t>
            </w:r>
          </w:p>
        </w:tc>
        <w:tc>
          <w:tcPr>
            <w:tcW w:w="460" w:type="dxa"/>
            <w:vAlign w:val="bottom"/>
            <w:tcBorders>
              <w:top w:val="single" w:sz="8" w:color="0000FF"/>
            </w:tcBorders>
            <w:gridSpan w:val="2"/>
          </w:tcPr>
          <w:p>
            <w:pPr>
              <w:spacing w:after="0"/>
              <w:rPr>
                <w:sz w:val="24"/>
                <w:szCs w:val="24"/>
                <w:color w:val="auto"/>
              </w:rPr>
            </w:pPr>
          </w:p>
        </w:tc>
        <w:tc>
          <w:tcPr>
            <w:tcW w:w="460" w:type="dxa"/>
            <w:vAlign w:val="bottom"/>
            <w:gridSpan w:val="6"/>
          </w:tcPr>
          <w:p>
            <w:pPr>
              <w:spacing w:after="0"/>
              <w:rPr>
                <w:sz w:val="24"/>
                <w:szCs w:val="24"/>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60" w:type="dxa"/>
            <w:vAlign w:val="bottom"/>
          </w:tcPr>
          <w:p>
            <w:pPr>
              <w:spacing w:after="0"/>
              <w:rPr>
                <w:sz w:val="24"/>
                <w:szCs w:val="24"/>
                <w:color w:val="auto"/>
              </w:rPr>
            </w:pPr>
          </w:p>
        </w:tc>
        <w:tc>
          <w:tcPr>
            <w:tcW w:w="8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(Principal Financial Officer) pursuant to Section 302 of Sarbanes-Oxley Act of 2002</w:t>
            </w:r>
          </w:p>
        </w:tc>
        <w:tc>
          <w:tcPr>
            <w:tcW w:w="20" w:type="dxa"/>
            <w:vAlign w:val="bottom"/>
            <w:tcBorders>
              <w:bottom w:val="single" w:sz="8" w:color="0000EE"/>
            </w:tcBorders>
          </w:tcPr>
          <w:p>
            <w:pPr>
              <w:spacing w:after="0"/>
              <w:rPr>
                <w:sz w:val="24"/>
                <w:szCs w:val="24"/>
                <w:color w:val="auto"/>
              </w:rPr>
            </w:pPr>
          </w:p>
        </w:tc>
        <w:tc>
          <w:tcPr>
            <w:tcW w:w="1000" w:type="dxa"/>
            <w:vAlign w:val="bottom"/>
            <w:gridSpan w:val="9"/>
          </w:tcPr>
          <w:p>
            <w:pPr>
              <w:spacing w:after="0"/>
              <w:rPr>
                <w:sz w:val="24"/>
                <w:szCs w:val="24"/>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32.1</w:t>
            </w:r>
            <w:r>
              <w:rPr>
                <w:rFonts w:ascii="Times New Roman" w:cs="Times New Roman" w:eastAsia="Times New Roman" w:hAnsi="Times New Roman"/>
                <w:sz w:val="24"/>
                <w:szCs w:val="24"/>
                <w:color w:val="auto"/>
                <w:w w:val="93"/>
                <w:vertAlign w:val="superscript"/>
              </w:rPr>
              <w:t>+</w:t>
            </w:r>
          </w:p>
        </w:tc>
        <w:tc>
          <w:tcPr>
            <w:tcW w:w="160" w:type="dxa"/>
            <w:vAlign w:val="bottom"/>
          </w:tcPr>
          <w:p>
            <w:pPr>
              <w:spacing w:after="0"/>
              <w:rPr>
                <w:sz w:val="24"/>
                <w:szCs w:val="24"/>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 Executive Officer) and Chief Financial Officer (Principal Financial Officer) pursuant</w:t>
            </w:r>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4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to Section 906 of Sarbanes-Oxley Act of 2002</w:t>
            </w:r>
          </w:p>
        </w:tc>
        <w:tc>
          <w:tcPr>
            <w:tcW w:w="140" w:type="dxa"/>
            <w:vAlign w:val="bottom"/>
            <w:gridSpan w:val="3"/>
          </w:tcPr>
          <w:p>
            <w:pPr>
              <w:spacing w:after="0"/>
              <w:rPr>
                <w:sz w:val="14"/>
                <w:szCs w:val="14"/>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60" w:type="dxa"/>
            <w:vAlign w:val="bottom"/>
          </w:tcPr>
          <w:p>
            <w:pPr>
              <w:spacing w:after="0"/>
              <w:rPr>
                <w:sz w:val="24"/>
                <w:szCs w:val="24"/>
                <w:color w:val="auto"/>
              </w:rPr>
            </w:pPr>
          </w:p>
        </w:tc>
        <w:tc>
          <w:tcPr>
            <w:tcW w:w="3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660" w:type="dxa"/>
            <w:vAlign w:val="bottom"/>
            <w:gridSpan w:val="14"/>
          </w:tcPr>
          <w:p>
            <w:pPr>
              <w:spacing w:after="0"/>
              <w:rPr>
                <w:sz w:val="24"/>
                <w:szCs w:val="24"/>
                <w:color w:val="auto"/>
              </w:rPr>
            </w:pPr>
          </w:p>
        </w:tc>
      </w:tr>
      <w:tr>
        <w:trPr>
          <w:trHeight w:val="35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60" w:type="dxa"/>
            <w:vAlign w:val="bottom"/>
          </w:tcPr>
          <w:p>
            <w:pPr>
              <w:spacing w:after="0"/>
              <w:rPr>
                <w:sz w:val="24"/>
                <w:szCs w:val="24"/>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60" w:type="dxa"/>
            <w:vAlign w:val="bottom"/>
          </w:tcPr>
          <w:p>
            <w:pPr>
              <w:spacing w:after="0"/>
              <w:rPr>
                <w:sz w:val="24"/>
                <w:szCs w:val="24"/>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5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5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60" w:type="dxa"/>
            <w:vAlign w:val="bottom"/>
          </w:tcPr>
          <w:p>
            <w:pPr>
              <w:spacing w:after="0"/>
              <w:rPr>
                <w:sz w:val="24"/>
                <w:szCs w:val="24"/>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5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60" w:type="dxa"/>
            <w:vAlign w:val="bottom"/>
          </w:tcPr>
          <w:p>
            <w:pPr>
              <w:spacing w:after="0"/>
              <w:rPr>
                <w:sz w:val="24"/>
                <w:szCs w:val="24"/>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17" w:lineRule="exact"/>
        <w:rPr>
          <w:sz w:val="20"/>
          <w:szCs w:val="20"/>
          <w:color w:val="auto"/>
        </w:rPr>
      </w:pPr>
    </w:p>
    <w:p>
      <w:pPr>
        <w:ind w:left="1160" w:hanging="788"/>
        <w:spacing w:after="0"/>
        <w:tabs>
          <w:tab w:leader="none" w:pos="1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25" w:lineRule="exact"/>
        <w:rPr>
          <w:rFonts w:ascii="Times New Roman" w:cs="Times New Roman" w:eastAsia="Times New Roman" w:hAnsi="Times New Roman"/>
          <w:sz w:val="18"/>
          <w:szCs w:val="18"/>
          <w:color w:val="auto"/>
        </w:rPr>
      </w:pPr>
    </w:p>
    <w:p>
      <w:pPr>
        <w:ind w:right="120" w:firstLine="8"/>
        <w:spacing w:after="0" w:line="258" w:lineRule="auto"/>
        <w:tabs>
          <w:tab w:leader="none" w:pos="1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0" w:right="439" w:bottom="1440" w:gutter="0" w:footer="0" w:header="0"/>
        </w:sectPr>
      </w:pPr>
    </w:p>
    <w:bookmarkStart w:id="30" w:name="page31"/>
    <w:bookmarkEnd w:id="3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6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5715</wp:posOffset>
            </wp:positionV>
            <wp:extent cx="29229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826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ind w:left="7920"/>
        <w:spacing w:after="0" w:line="219" w:lineRule="auto"/>
        <w:rPr>
          <w:sz w:val="20"/>
          <w:szCs w:val="20"/>
          <w:color w:val="auto"/>
        </w:rPr>
      </w:pPr>
      <w:r>
        <w:rPr>
          <w:rFonts w:ascii="Times New Roman" w:cs="Times New Roman" w:eastAsia="Times New Roman" w:hAnsi="Times New Roman"/>
          <w:sz w:val="18"/>
          <w:szCs w:val="18"/>
          <w:color w:val="auto"/>
        </w:rPr>
        <w:t>(Principal Financial Officer)</w:t>
      </w:r>
    </w:p>
    <w:p>
      <w:pPr>
        <w:ind w:left="790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20" w:right="5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0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802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Executive Chairman and</w:t>
      </w:r>
    </w:p>
    <w:p>
      <w:pPr>
        <w:jc w:val="center"/>
        <w:ind w:left="674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jc w:val="cente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04"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818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Chief Financial Officer</w:t>
      </w:r>
    </w:p>
    <w:p>
      <w:pPr>
        <w:ind w:left="7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69" w:lineRule="exact"/>
        <w:rPr>
          <w:sz w:val="20"/>
          <w:szCs w:val="20"/>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2022, to which this Certification is attached as Exhibit 32.1 (the “Quarterly Report”) fully complies with the requirements of Section 13(a) or Section 15(d) of the Exchange Act; and</w:t>
      </w:r>
    </w:p>
    <w:p>
      <w:pPr>
        <w:spacing w:after="0" w:line="40"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8890</wp:posOffset>
            </wp:positionV>
            <wp:extent cx="28289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7"/>
          <w:szCs w:val="17"/>
          <w:color w:val="auto"/>
        </w:rPr>
        <w:t>Remy Luthringer, Ph.D.</w:t>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Chairman and</w:t>
      </w: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8890</wp:posOffset>
            </wp:positionV>
            <wp:extent cx="28289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7"/>
          <w:szCs w:val="17"/>
          <w:color w:val="auto"/>
        </w:rPr>
        <w:t>Frederick Ahlholm</w:t>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2"/>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16" Type="http://schemas.openxmlformats.org/officeDocument/2006/relationships/hyperlink" Target="https://www.sec.gov/Archives/edgar/data/0001598646/000104746914005459/a2219972zex-3_1.htm" TargetMode="External"/><Relationship Id="rId117" Type="http://schemas.openxmlformats.org/officeDocument/2006/relationships/hyperlink" Target="https://www.sec.gov/Archives/edgar/data/0001598646/000156459019039496/nerv-ex32_112.htm" TargetMode="External"/><Relationship Id="rId118" Type="http://schemas.openxmlformats.org/officeDocument/2006/relationships/hyperlink" Target="https://www.sec.gov/Archives/edgar/data/1598646/000119312522176540/d314076dex31.htm" TargetMode="External"/><Relationship Id="rId119" Type="http://schemas.openxmlformats.org/officeDocument/2006/relationships/hyperlink" Target="https://www.sec.gov/Archives/edgar/data/1598646/000119312522244838/d352192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2022-11-09T06:05:38Z</dcterms:created>
  <dcterms:modified xsi:type="dcterms:W3CDTF">2022-11-09T06:05:38Z</dcterms:modified>
</cp:coreProperties>
</file>