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93" w:lineRule="exact"/>
        <w:rPr>
          <w:rFonts w:ascii="MS PGothic" w:cs="MS PGothic" w:eastAsia="MS PGothic" w:hAnsi="MS PGothic"/>
          <w:sz w:val="16"/>
          <w:szCs w:val="16"/>
          <w:color w:val="auto"/>
        </w:rPr>
      </w:pPr>
    </w:p>
    <w:p>
      <w:pPr>
        <w:ind w:left="388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03" w:lineRule="exact"/>
        <w:rPr>
          <w:rFonts w:ascii="MS PGothic" w:cs="MS PGothic" w:eastAsia="MS PGothic" w:hAnsi="MS PGothic"/>
          <w:sz w:val="16"/>
          <w:szCs w:val="16"/>
          <w:color w:val="auto"/>
        </w:rPr>
      </w:pPr>
    </w:p>
    <w:p>
      <w:pPr>
        <w:ind w:left="546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OR</w:t>
      </w:r>
    </w:p>
    <w:p>
      <w:pPr>
        <w:spacing w:after="0" w:line="16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3674745</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Minerva Neurosciences,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90" w:lineRule="exact"/>
        <w:rPr>
          <w:sz w:val="24"/>
          <w:szCs w:val="24"/>
          <w:color w:val="auto"/>
        </w:rPr>
      </w:pPr>
    </w:p>
    <w:tbl>
      <w:tblPr>
        <w:tblLayout w:type="fixed"/>
        <w:tblInd w:w="1540" w:type="dxa"/>
        <w:tblCellMar>
          <w:top w:w="0" w:type="dxa"/>
          <w:left w:w="0" w:type="dxa"/>
          <w:bottom w:w="0" w:type="dxa"/>
          <w:right w:w="0" w:type="dxa"/>
        </w:tblCellMar>
      </w:tblPr>
      <w:tr>
        <w:trPr>
          <w:trHeight w:val="207"/>
        </w:trPr>
        <w:tc>
          <w:tcPr>
            <w:tcW w:w="438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26-0784194</w:t>
            </w:r>
          </w:p>
        </w:tc>
        <w:tc>
          <w:tcPr>
            <w:tcW w:w="0" w:type="dxa"/>
            <w:vAlign w:val="bottom"/>
          </w:tcPr>
          <w:p>
            <w:pPr>
              <w:spacing w:after="0"/>
              <w:rPr>
                <w:sz w:val="1"/>
                <w:szCs w:val="1"/>
                <w:color w:val="auto"/>
              </w:rPr>
            </w:pPr>
          </w:p>
        </w:tc>
      </w:tr>
      <w:tr>
        <w:trPr>
          <w:trHeight w:val="149"/>
        </w:trPr>
        <w:tc>
          <w:tcPr>
            <w:tcW w:w="438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80" w:type="dxa"/>
            <w:vAlign w:val="bottom"/>
          </w:tcPr>
          <w:p>
            <w:pPr>
              <w:jc w:val="center"/>
              <w:ind w:left="18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38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8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4"/>
        </w:trPr>
        <w:tc>
          <w:tcPr>
            <w:tcW w:w="438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9"/>
              </w:rPr>
              <w:t>1500 District Avenue</w:t>
            </w:r>
          </w:p>
        </w:tc>
        <w:tc>
          <w:tcPr>
            <w:tcW w:w="308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01803</w:t>
            </w:r>
          </w:p>
        </w:tc>
        <w:tc>
          <w:tcPr>
            <w:tcW w:w="0" w:type="dxa"/>
            <w:vAlign w:val="bottom"/>
          </w:tcPr>
          <w:p>
            <w:pPr>
              <w:spacing w:after="0"/>
              <w:rPr>
                <w:sz w:val="1"/>
                <w:szCs w:val="1"/>
                <w:color w:val="auto"/>
              </w:rPr>
            </w:pPr>
          </w:p>
        </w:tc>
      </w:tr>
      <w:tr>
        <w:trPr>
          <w:trHeight w:val="205"/>
        </w:trPr>
        <w:tc>
          <w:tcPr>
            <w:tcW w:w="4380" w:type="dxa"/>
            <w:vAlign w:val="bottom"/>
          </w:tcPr>
          <w:p>
            <w:pPr>
              <w:jc w:val="center"/>
              <w:ind w:right="1859"/>
              <w:spacing w:after="0" w:line="205" w:lineRule="exact"/>
              <w:rPr>
                <w:sz w:val="20"/>
                <w:szCs w:val="20"/>
                <w:color w:val="auto"/>
              </w:rPr>
            </w:pPr>
            <w:r>
              <w:rPr>
                <w:rFonts w:ascii="Times New Roman" w:cs="Times New Roman" w:eastAsia="Times New Roman" w:hAnsi="Times New Roman"/>
                <w:sz w:val="18"/>
                <w:szCs w:val="18"/>
                <w:b w:val="1"/>
                <w:bCs w:val="1"/>
                <w:color w:val="auto"/>
              </w:rPr>
              <w:t>Burlington, MA</w:t>
            </w:r>
          </w:p>
        </w:tc>
        <w:tc>
          <w:tcPr>
            <w:tcW w:w="3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8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8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600-7373</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2"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4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r>
      <w:tr>
        <w:trPr>
          <w:trHeight w:val="213"/>
        </w:trPr>
        <w:tc>
          <w:tcPr>
            <w:tcW w:w="43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Trading Symbol(s)</w:t>
            </w:r>
          </w:p>
        </w:tc>
        <w:tc>
          <w:tcPr>
            <w:tcW w:w="4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3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6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NERV</w:t>
            </w:r>
          </w:p>
        </w:tc>
        <w:tc>
          <w:tcPr>
            <w:tcW w:w="4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85"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18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Accelerated filer</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18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18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68"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tabs>
          <w:tab w:leader="none" w:pos="6060" w:val="left"/>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$0.0001 par value per share, outstanding as of August 4, 2022 was 5,340,193.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3500" w:type="dxa"/>
            <w:vAlign w:val="bottom"/>
            <w:gridSpan w:val="6"/>
            <w:vMerge w:val="restart"/>
          </w:tcPr>
          <w:p>
            <w:pPr>
              <w:spacing w:after="0"/>
              <w:rPr>
                <w:sz w:val="16"/>
                <w:szCs w:val="16"/>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60" w:type="dxa"/>
            <w:vAlign w:val="bottom"/>
            <w:tcBorders>
              <w:bottom w:val="single" w:sz="8" w:color="0000EE"/>
            </w:tcBorders>
            <w:gridSpan w:val="6"/>
            <w:vMerge w:val="continue"/>
          </w:tcPr>
          <w:p>
            <w:pPr>
              <w:spacing w:after="0"/>
              <w:rPr>
                <w:sz w:val="14"/>
                <w:szCs w:val="14"/>
                <w:color w:val="auto"/>
              </w:rPr>
            </w:pPr>
          </w:p>
        </w:tc>
        <w:tc>
          <w:tcPr>
            <w:tcW w:w="3500" w:type="dxa"/>
            <w:vAlign w:val="bottom"/>
            <w:gridSpan w:val="6"/>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02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June 30, 2022 and December 31, 2021</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2022 and 2021</w:t>
            </w:r>
          </w:p>
        </w:tc>
        <w:tc>
          <w:tcPr>
            <w:tcW w:w="146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Equity for the six months ended June 30, 2022 and 2021</w:t>
            </w:r>
          </w:p>
        </w:tc>
        <w:tc>
          <w:tcPr>
            <w:tcW w:w="7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3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2022 and 2021</w:t>
            </w:r>
          </w:p>
        </w:tc>
        <w:tc>
          <w:tcPr>
            <w:tcW w:w="212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EE"/>
            </w:tcBorders>
            <w:gridSpan w:val="5"/>
          </w:tcPr>
          <w:p>
            <w:pPr>
              <w:spacing w:after="0"/>
              <w:rPr>
                <w:sz w:val="17"/>
                <w:szCs w:val="17"/>
                <w:color w:val="auto"/>
              </w:rPr>
            </w:pPr>
          </w:p>
        </w:tc>
        <w:tc>
          <w:tcPr>
            <w:tcW w:w="300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360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EE"/>
            </w:tcBorders>
            <w:gridSpan w:val="2"/>
          </w:tcPr>
          <w:p>
            <w:pPr>
              <w:spacing w:after="0"/>
              <w:rPr>
                <w:sz w:val="17"/>
                <w:szCs w:val="17"/>
                <w:color w:val="auto"/>
              </w:rPr>
            </w:pPr>
          </w:p>
        </w:tc>
        <w:tc>
          <w:tcPr>
            <w:tcW w:w="812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10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712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768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14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6"/>
              </w:rPr>
              <w:t>SIGNATURES</w:t>
            </w:r>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5860" w:type="dxa"/>
            <w:vAlign w:val="bottom"/>
            <w:gridSpan w:val="13"/>
          </w:tcPr>
          <w:p>
            <w:pPr>
              <w:ind w:left="44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4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2021 under Part I, Item IA, “Risk Factors.”</w:t>
      </w:r>
    </w:p>
    <w:p>
      <w:pPr>
        <w:spacing w:after="0" w:line="20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9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0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540" w:type="dxa"/>
            <w:vAlign w:val="bottom"/>
            <w:shd w:val="clear" w:color="auto" w:fill="CFF0FC"/>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49,753,998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60,755,080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184,821</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1,346,359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50,038,819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62,201,439</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net</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51,080</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64,959,298</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77,121,918</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1,519,729</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1,853,215</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1,889,199</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965,739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3,408,928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2,818,954</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69,932,614</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66,327,321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73,341,542</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69,146,275</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54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100,000,000 shares authorized; none issued or outstanding as of</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June 30, 2022 and December 31, 2021, respectively</w:t>
            </w:r>
          </w:p>
        </w:tc>
        <w:tc>
          <w:tcPr>
            <w:tcW w:w="34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54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$0.0001 par value; 125,000,000 shares authorized; 5,340,193 and 5,340,196 shares</w:t>
            </w:r>
          </w:p>
        </w:tc>
        <w:tc>
          <w:tcPr>
            <w:tcW w:w="3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outstanding as of June 30, 2022 and December 31, 2021, respectively</w:t>
            </w: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FF0FC"/>
          </w:tcPr>
          <w:p>
            <w:pPr>
              <w:spacing w:after="0"/>
              <w:rPr>
                <w:sz w:val="20"/>
                <w:szCs w:val="20"/>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344,800,764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342,676,508</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(353,183,542 )</w:t>
            </w: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(334,701,399 )</w:t>
            </w:r>
          </w:p>
        </w:tc>
      </w:tr>
      <w:tr>
        <w:trPr>
          <w:trHeight w:val="20"/>
        </w:trPr>
        <w:tc>
          <w:tcPr>
            <w:tcW w:w="7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3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(8,382,244 )</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7,975,643</w:t>
            </w:r>
          </w:p>
        </w:tc>
        <w:tc>
          <w:tcPr>
            <w:tcW w:w="100" w:type="dxa"/>
            <w:vAlign w:val="bottom"/>
          </w:tcPr>
          <w:p>
            <w:pPr>
              <w:spacing w:after="0"/>
              <w:rPr>
                <w:sz w:val="18"/>
                <w:szCs w:val="18"/>
                <w:color w:val="auto"/>
              </w:rPr>
            </w:pPr>
          </w:p>
        </w:tc>
      </w:tr>
      <w:tr>
        <w:trPr>
          <w:trHeight w:val="249"/>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 equity</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64,959,298</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77,121,918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-3368040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-2811145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-1953895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-1671320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-316865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520" w:type="dxa"/>
            <w:vAlign w:val="bottom"/>
            <w:gridSpan w:val="5"/>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6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4,131,978</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5,520,928</w:t>
            </w:r>
          </w:p>
        </w:tc>
        <w:tc>
          <w:tcPr>
            <w:tcW w:w="2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9,091,841</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8,779,635</w:t>
            </w:r>
          </w:p>
        </w:tc>
        <w:tc>
          <w:tcPr>
            <w:tcW w:w="100" w:type="dxa"/>
            <w:vAlign w:val="bottom"/>
          </w:tcPr>
          <w:p>
            <w:pPr>
              <w:spacing w:after="0"/>
              <w:rPr>
                <w:sz w:val="19"/>
                <w:szCs w:val="19"/>
                <w:color w:val="auto"/>
              </w:rPr>
            </w:pPr>
          </w:p>
        </w:tc>
      </w:tr>
      <w:tr>
        <w:trPr>
          <w:trHeight w:val="216"/>
        </w:trPr>
        <w:tc>
          <w:tcPr>
            <w:tcW w:w="5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2,833,211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3,442,365</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5,862,606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7,691,179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6,965,189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8,963,293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14,954,447</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16,470,814</w:t>
            </w:r>
          </w:p>
        </w:tc>
        <w:tc>
          <w:tcPr>
            <w:tcW w:w="100" w:type="dxa"/>
            <w:vAlign w:val="bottom"/>
          </w:tcPr>
          <w:p>
            <w:pPr>
              <w:spacing w:after="0"/>
              <w:rPr>
                <w:sz w:val="18"/>
                <w:szCs w:val="18"/>
                <w:color w:val="auto"/>
              </w:rPr>
            </w:pPr>
          </w:p>
        </w:tc>
      </w:tr>
      <w:tr>
        <w:trPr>
          <w:trHeight w:val="22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(6,965,189</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(8,963,293</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(14,954,447</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(16,470,814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5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r>
      <w:tr>
        <w:trPr>
          <w:trHeight w:val="230"/>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(18,997 )</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(2,198 )</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(23,853 )</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tcPr>
          <w:p>
            <w:pPr>
              <w:spacing w:after="0"/>
              <w:rPr>
                <w:sz w:val="19"/>
                <w:szCs w:val="19"/>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(1,826,499 )</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(1,611,439 )</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(3,605,293 )</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(2,907,895 )</w:t>
            </w:r>
          </w:p>
        </w:tc>
      </w:tr>
      <w:tr>
        <w:trPr>
          <w:trHeight w:val="20"/>
        </w:trPr>
        <w:tc>
          <w:tcPr>
            <w:tcW w:w="56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(8,717,714 )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(10,589,163 )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(18,482,143 )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(19,393,896 )</w:t>
            </w:r>
          </w:p>
        </w:tc>
      </w:tr>
      <w:tr>
        <w:trPr>
          <w:trHeight w:val="20"/>
        </w:trPr>
        <w:tc>
          <w:tcPr>
            <w:tcW w:w="5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(1.98 )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(3.46 )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(3.63 )</w:t>
            </w:r>
          </w:p>
        </w:tc>
      </w:tr>
      <w:tr>
        <w:trPr>
          <w:trHeight w:val="20"/>
        </w:trPr>
        <w:tc>
          <w:tcPr>
            <w:tcW w:w="5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5,340,196</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5,340,196</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5,340,196</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5,340,196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-1516380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-1516380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-1516380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-642620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-642620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-642620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-25400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Equity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1400" w:type="dxa"/>
            <w:vAlign w:val="bottom"/>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320" w:type="dxa"/>
            <w:vAlign w:val="bottom"/>
          </w:tcPr>
          <w:p>
            <w:pPr>
              <w:spacing w:after="0"/>
              <w:rPr>
                <w:sz w:val="14"/>
                <w:szCs w:val="14"/>
                <w:color w:val="auto"/>
              </w:rPr>
            </w:pPr>
          </w:p>
        </w:tc>
        <w:tc>
          <w:tcPr>
            <w:tcW w:w="13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398"/>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1, 2021</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5,340,196</w:t>
            </w:r>
          </w:p>
        </w:tc>
        <w:tc>
          <w:tcPr>
            <w:tcW w:w="280" w:type="dxa"/>
            <w:vAlign w:val="bottom"/>
            <w:shd w:val="clear" w:color="auto" w:fill="CFF0FC"/>
          </w:tcPr>
          <w:p>
            <w:pPr>
              <w:spacing w:after="0"/>
              <w:rPr>
                <w:sz w:val="24"/>
                <w:szCs w:val="24"/>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337,457,514</w:t>
            </w:r>
          </w:p>
        </w:tc>
        <w:tc>
          <w:tcPr>
            <w:tcW w:w="24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(284,795,447 )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52,662,601</w:t>
            </w:r>
          </w:p>
        </w:tc>
        <w:tc>
          <w:tcPr>
            <w:tcW w:w="100" w:type="dxa"/>
            <w:vAlign w:val="bottom"/>
            <w:shd w:val="clear" w:color="auto" w:fill="CFF0FC"/>
          </w:tcPr>
          <w:p>
            <w:pPr>
              <w:spacing w:after="0"/>
              <w:rPr>
                <w:sz w:val="24"/>
                <w:szCs w:val="24"/>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1,516,064</w:t>
            </w:r>
          </w:p>
        </w:tc>
        <w:tc>
          <w:tcPr>
            <w:tcW w:w="100" w:type="dxa"/>
            <w:vAlign w:val="bottom"/>
          </w:tcPr>
          <w:p>
            <w:pPr>
              <w:spacing w:after="0"/>
              <w:rPr>
                <w:sz w:val="18"/>
                <w:szCs w:val="18"/>
                <w:color w:val="auto"/>
              </w:rPr>
            </w:pPr>
          </w:p>
        </w:tc>
      </w:tr>
      <w:tr>
        <w:trPr>
          <w:trHeight w:val="21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(8,804,733 )</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(8,804,733 )</w:t>
            </w:r>
          </w:p>
        </w:tc>
      </w:tr>
      <w:tr>
        <w:trPr>
          <w:trHeight w:val="20"/>
        </w:trPr>
        <w:tc>
          <w:tcPr>
            <w:tcW w:w="33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5,340,196</w:t>
            </w:r>
          </w:p>
        </w:tc>
        <w:tc>
          <w:tcPr>
            <w:tcW w:w="2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338,973,578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(293,600,180 )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45,373,932</w:t>
            </w:r>
          </w:p>
        </w:tc>
        <w:tc>
          <w:tcPr>
            <w:tcW w:w="10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1,384,060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1,384,060</w:t>
            </w:r>
          </w:p>
        </w:tc>
        <w:tc>
          <w:tcPr>
            <w:tcW w:w="100" w:type="dxa"/>
            <w:vAlign w:val="bottom"/>
            <w:shd w:val="clear" w:color="auto" w:fill="CFF0FC"/>
          </w:tcPr>
          <w:p>
            <w:pPr>
              <w:spacing w:after="0"/>
              <w:rPr>
                <w:sz w:val="17"/>
                <w:szCs w:val="17"/>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(10,589,163 )</w:t>
            </w: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(10,589,163 )</w:t>
            </w:r>
          </w:p>
        </w:tc>
      </w:tr>
      <w:tr>
        <w:trPr>
          <w:trHeight w:val="249"/>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2021</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5,340,196</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340,357,638</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(304,189,343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36,168,829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3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05"/>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1, 2022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5,340,196</w:t>
            </w:r>
          </w:p>
        </w:tc>
        <w:tc>
          <w:tcPr>
            <w:tcW w:w="280" w:type="dxa"/>
            <w:vAlign w:val="bottom"/>
            <w:shd w:val="clear" w:color="auto" w:fill="CFF0FC"/>
          </w:tcPr>
          <w:p>
            <w:pPr>
              <w:spacing w:after="0"/>
              <w:rPr>
                <w:sz w:val="24"/>
                <w:szCs w:val="24"/>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342,676,508</w:t>
            </w:r>
          </w:p>
        </w:tc>
        <w:tc>
          <w:tcPr>
            <w:tcW w:w="24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(334,701,399 )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7,975,643</w:t>
            </w:r>
          </w:p>
        </w:tc>
        <w:tc>
          <w:tcPr>
            <w:tcW w:w="100" w:type="dxa"/>
            <w:vAlign w:val="bottom"/>
            <w:shd w:val="clear" w:color="auto" w:fill="CFF0FC"/>
          </w:tcPr>
          <w:p>
            <w:pPr>
              <w:spacing w:after="0"/>
              <w:rPr>
                <w:sz w:val="24"/>
                <w:szCs w:val="24"/>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1,052,656</w:t>
            </w:r>
          </w:p>
        </w:tc>
        <w:tc>
          <w:tcPr>
            <w:tcW w:w="100" w:type="dxa"/>
            <w:vAlign w:val="bottom"/>
          </w:tcPr>
          <w:p>
            <w:pPr>
              <w:spacing w:after="0"/>
              <w:rPr>
                <w:sz w:val="18"/>
                <w:szCs w:val="18"/>
                <w:color w:val="auto"/>
              </w:rPr>
            </w:pPr>
          </w:p>
        </w:tc>
      </w:tr>
      <w:tr>
        <w:trPr>
          <w:trHeight w:val="21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(9,764,429 )</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(9,764,429 )</w:t>
            </w:r>
          </w:p>
        </w:tc>
      </w:tr>
      <w:tr>
        <w:trPr>
          <w:trHeight w:val="20"/>
        </w:trPr>
        <w:tc>
          <w:tcPr>
            <w:tcW w:w="33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5,340,196</w:t>
            </w:r>
          </w:p>
        </w:tc>
        <w:tc>
          <w:tcPr>
            <w:tcW w:w="2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343,729,164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(344,465,828 )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(736,130 )</w:t>
            </w:r>
          </w:p>
        </w:tc>
      </w:tr>
      <w:tr>
        <w:trPr>
          <w:trHeight w:val="20"/>
        </w:trPr>
        <w:tc>
          <w:tcPr>
            <w:tcW w:w="3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3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1,071,605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1,071,605</w:t>
            </w:r>
          </w:p>
        </w:tc>
        <w:tc>
          <w:tcPr>
            <w:tcW w:w="100" w:type="dxa"/>
            <w:vAlign w:val="bottom"/>
            <w:shd w:val="clear" w:color="auto" w:fill="CFF0FC"/>
          </w:tcPr>
          <w:p>
            <w:pPr>
              <w:spacing w:after="0"/>
              <w:rPr>
                <w:sz w:val="17"/>
                <w:szCs w:val="17"/>
                <w:color w:val="auto"/>
              </w:rPr>
            </w:pPr>
          </w:p>
        </w:tc>
      </w:tr>
      <w:tr>
        <w:trPr>
          <w:trHeight w:val="171"/>
        </w:trPr>
        <w:tc>
          <w:tcPr>
            <w:tcW w:w="332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Adjustments due to the rounding impact</w:t>
            </w: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33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from the reverse stock split for fractional</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(3 )</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20"/>
                <w:szCs w:val="20"/>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(8,717,714 )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(8,717,714 )</w:t>
            </w:r>
          </w:p>
        </w:tc>
      </w:tr>
      <w:tr>
        <w:trPr>
          <w:trHeight w:val="20"/>
        </w:trPr>
        <w:tc>
          <w:tcPr>
            <w:tcW w:w="33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5,340,193</w:t>
            </w:r>
          </w:p>
        </w:tc>
        <w:tc>
          <w:tcPr>
            <w:tcW w:w="2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344,800,764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(353,183,542 )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(8,382,244 )</w:t>
            </w:r>
          </w:p>
        </w:tc>
      </w:tr>
      <w:tr>
        <w:trPr>
          <w:trHeight w:val="20"/>
        </w:trPr>
        <w:tc>
          <w:tcPr>
            <w:tcW w:w="3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-2279650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-2279650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-2279650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-2279650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-1687830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-1671320</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-1687830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-1671320</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-1687830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-1671320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-1687830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-1671320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-993775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-993775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-993775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-993775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-170815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-170815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76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(18,482,143 )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(19,393,896 )</w:t>
            </w: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80" w:type="dxa"/>
            <w:vAlign w:val="bottom"/>
          </w:tcPr>
          <w:p>
            <w:pPr>
              <w:spacing w:after="0"/>
              <w:rPr>
                <w:sz w:val="18"/>
                <w:szCs w:val="18"/>
                <w:color w:val="auto"/>
              </w:rPr>
            </w:pPr>
          </w:p>
        </w:tc>
        <w:tc>
          <w:tcPr>
            <w:tcW w:w="1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86,847</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2,124,261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2,900,124</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3,605,293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2,907,895</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1,161,538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1,072,687</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(333,486 )</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598,083</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923,460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781,016</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(94,941 )</w:t>
            </w:r>
          </w:p>
        </w:tc>
      </w:tr>
      <w:tr>
        <w:trPr>
          <w:trHeight w:val="20"/>
        </w:trPr>
        <w:tc>
          <w:tcPr>
            <w:tcW w:w="76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spacing w:after="0"/>
              <w:rPr>
                <w:sz w:val="18"/>
                <w:szCs w:val="18"/>
                <w:color w:val="auto"/>
              </w:rPr>
            </w:pP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(11,001,077 )</w:t>
            </w:r>
          </w:p>
        </w:tc>
        <w:tc>
          <w:tcPr>
            <w:tcW w:w="3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(11,142,185 )</w:t>
            </w:r>
          </w:p>
        </w:tc>
      </w:tr>
      <w:tr>
        <w:trPr>
          <w:trHeight w:val="210"/>
        </w:trPr>
        <w:tc>
          <w:tcPr>
            <w:tcW w:w="76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paid in connection with the reverse stock split fractional shares</w:t>
            </w:r>
          </w:p>
        </w:tc>
        <w:tc>
          <w:tcPr>
            <w:tcW w:w="380" w:type="dxa"/>
            <w:vAlign w:val="bottom"/>
          </w:tcPr>
          <w:p>
            <w:pPr>
              <w:spacing w:after="0"/>
              <w:rPr>
                <w:sz w:val="18"/>
                <w:szCs w:val="18"/>
                <w:color w:val="auto"/>
              </w:rPr>
            </w:pP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(5 )</w:t>
            </w:r>
          </w:p>
        </w:tc>
        <w:tc>
          <w:tcPr>
            <w:tcW w:w="3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sale of future royalties</w:t>
            </w: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Pr>
          <w:p>
            <w:pPr>
              <w:spacing w:after="0"/>
              <w:rPr>
                <w:sz w:val="18"/>
                <w:szCs w:val="18"/>
                <w:color w:val="auto"/>
              </w:rPr>
            </w:pP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(5 )</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Pr>
          <w:p>
            <w:pPr>
              <w:spacing w:after="0"/>
              <w:rPr>
                <w:sz w:val="18"/>
                <w:szCs w:val="18"/>
                <w:color w:val="auto"/>
              </w:rPr>
            </w:pPr>
          </w:p>
        </w:tc>
      </w:tr>
      <w:tr>
        <w:trPr>
          <w:trHeight w:val="209"/>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(11,001,082</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48,857,815</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60,855,080</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25,456,952</w:t>
            </w:r>
          </w:p>
        </w:tc>
        <w:tc>
          <w:tcPr>
            <w:tcW w:w="100" w:type="dxa"/>
            <w:vAlign w:val="bottom"/>
          </w:tcPr>
          <w:p>
            <w:pPr>
              <w:spacing w:after="0"/>
              <w:rPr>
                <w:sz w:val="18"/>
                <w:szCs w:val="18"/>
                <w:color w:val="auto"/>
              </w:rPr>
            </w:pP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49,853,998</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74,314,767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47"/>
        </w:trPr>
        <w:tc>
          <w:tcPr>
            <w:tcW w:w="7640" w:type="dxa"/>
            <w:vAlign w:val="bottom"/>
          </w:tcPr>
          <w:p>
            <w:pPr>
              <w:ind w:left="20"/>
              <w:spacing w:after="0" w:line="147" w:lineRule="exact"/>
              <w:rPr>
                <w:sz w:val="20"/>
                <w:szCs w:val="20"/>
                <w:color w:val="auto"/>
              </w:rPr>
            </w:pPr>
            <w:r>
              <w:rPr>
                <w:rFonts w:ascii="Times New Roman" w:cs="Times New Roman" w:eastAsia="Times New Roman" w:hAnsi="Times New Roman"/>
                <w:sz w:val="17"/>
                <w:szCs w:val="17"/>
                <w:b w:val="1"/>
                <w:bCs w:val="1"/>
                <w:color w:val="auto"/>
              </w:rPr>
              <w:t>Reconciliation of the Condensed Consolidated Statements of Cash Flows to the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38"/>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49,753,998</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74,214,767</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49"/>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49,853,998</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74,314,767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-2708275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-2133600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-1576705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-727710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-710565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4160"/>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39"/>
        <w:spacing w:after="0" w:line="234" w:lineRule="auto"/>
        <w:rPr>
          <w:sz w:val="20"/>
          <w:szCs w:val="20"/>
          <w:color w:val="auto"/>
        </w:rPr>
      </w:pPr>
      <w:r>
        <w:rPr>
          <w:rFonts w:ascii="Times New Roman" w:cs="Times New Roman" w:eastAsia="Times New Roman" w:hAnsi="Times New Roman"/>
          <w:sz w:val="18"/>
          <w:szCs w:val="18"/>
          <w:b w:val="1"/>
          <w:bCs w:val="1"/>
          <w:color w:val="auto"/>
        </w:rPr>
        <w:t>As of June 30, 2022 and for the Six Months Ended June 30, 2022 and 2021</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LIQUIDITY</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Minerva Neurosciences, Inc. (“Minerva” or the “Company”) is a clinical-stage biopharmaceutical company focused on the development and commercialization of product candidates to treat patients suffering from central nervous system (“CNS”) diseases. The Company’s lead product candidate is roluperidone (f/k/a MIN-101), a compound the Company is developing for the treatment of negative symptoms in patients with schizophrenia. The Company holds the license to roluperidone from Mitsubishi Tanabe Pharma Corporation (“MTPC”) with the rights to develop, sell and import roluperidone globally, excluding most of Asia. The Company also has exclusive rights to develop and commercialize MIN-301, a compound for the treatment of Parkinson’s disease. In addition, Minerva previously co-developed seltorexant (f/k/a MIN-202 or JNJ-42847922)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further discussion of the joint development agreement with Janssen and the sale of future royalties, please refer to Note 5, Sale of Future Royalties.</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1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June 30, 2022, the Company had an accumulated deficit of approximately $353.2 million and net cash used in operating activities was approximately $11.0 million during the six months ended June 30, 2022.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5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As of June 30, 2022, the Company had cash, cash equivalents, and restricted cash of $49.9 million. The Company believes that its existing cash, cash equivalents, and restricted cash will be sufficient to meet its cash commitments for at least the next 12 months after the date that the interim condensed consolidated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w:t>
      </w:r>
    </w:p>
    <w:p>
      <w:pPr>
        <w:spacing w:after="0" w:line="18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 will need to raise additional capital in order to continue to fund operations and fully fund any potential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Further, as disclosed in Item 1A, Risk Factors, equity as reported in our Annual Report on Form 10-K for the year ended December 31, 2021 does not satisfy the Nasdaq Global Market continued listing requirement of $10 million as set forth in Nasdaq Stock Market Rule 5450(b)(1). If we fail to evidence compliance upon filing of our Quarterly Report on Form 10-Q for the period ending September 30, 2022, our common stock may be subject to delisting, which could impact our ability to complete additional equity financings on terms acceptable to the Company. If the Company is unable to obtain such additional financing, future operations would need to be scaled back or discontinued.</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21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The Company’s business could be adversely affected by the effects of the ongoing COVID-19 pandemic. Beginning in late 2019 and continuing into 2022, the outbreak of COVID-19 has resulted in the declaration of a global pandemic and adversely affected economic activity across virtually all sectors and industries on a local, national, and global scale. While global vaccination efforts are underway and certain jurisdictions, including Massachusetts, have reopened businesses and governmental agencies, we are unable to accurately predict the full impact that COVID-19 will have due to numerous uncertainties, including the duration of the outbreak, the result of vaccination efforts, resurgence of the virus, actions that may be taken by governmental authorities, the impact on our business including our clinical programs and timelines, and the impact to the business of our service providers and partners.</w:t>
      </w:r>
    </w:p>
    <w:p>
      <w:pPr>
        <w:spacing w:after="0" w:line="18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While the COVID-19 pandemic has not had a material adverse impact on the Company’s operations to date, this disruption, if sustained or recurrent, together with rising interest rates, could have a material adverse effect on the Company’s operating results, its ability to raise capital needed to develop and commercialize products and the Company’s overall financial condition. In addition, a recession or market correction resulting from the spread of the coronavirus could materially affect the value of the Company’s common stock. The impact of the COVID-19 pandemic may also exacerbate other risks discussed in this Quarterly Report on Form 10-Q. Refer to Item 1A. “Risk Factors” in this Quarterly Report on Form 10-Q for a complete description of the material risks that the Company currently faces.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June 30, 2022, the results of operations for the three and six months ended June 30, 2022 and 2021 and cash flows for the six months ended June 30, 2022 and 2021. The results of operations for the three and six months ended June 30, 2022 are not necessarily indicative of the results to be expected for the full year. The consolidated balance sheet as of December 31, 2021 was derived from the audited annual financial statements. The accompanying unaudited condensed consolidated financial statements and notes thereto should be read in conjunction with the audited consolidated financial statements for the year ended December 31, 2021 included in the Company’s Annual Report on Form 10-K filed with the SEC on March 1, 2022.</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On June 17, 2022, the Company filed a Certificate of Amendment to its Amended and Restated Certificate of Incorporation (the “Amendment”) with the Secretary of State of the State of Delaware to effect a one-for-eight (1-for-8) reverse stock split of its outstanding common stock. The Amendment became effective at 5:00 p.m. Eastern Time on June 17, 2022. A series of alternate amendments to effect a reverse stock split was approved by the Company’s stockholders at the Company’s 2022 Annual Meeting of Stockholders held on June 10, 2022, and the specific one-for-eight (1-for-8) reverse stock split was subsequently approved by the Company’s board of directors on June 10, 2022.</w:t>
      </w:r>
    </w:p>
    <w:p>
      <w:pPr>
        <w:spacing w:after="0" w:line="18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Amendment provided that, at the effective time of the Amendment, every eight (8) shares of the Company’s issued and outstanding common stock automatically combined into one issued and outstanding share of common stock, without any change in par value per share. The reverse stock split affected all shares of the Company’s common stock outstanding immediately prior to the effective time of the Amendment. As a result of the reverse stock split, proportionate adjustments were made to the per share exercise price and/or the number of shares issuable upon the exercise or vesting of all stock options, restricted stock units and restricted stock awards issued by the Company and outstanding immediately prior to the effective time of the Amendment, which resulted in a proportionate decrease in the number of shares of the Company’s common stock reserved for issuance upon exercise or vesting of such stock options, restricted stock units and restricted stock awards, and, in the case of stock options, a proportionate increase in the exercise price of all such stock options. In addition, the number of shares reserved for issuance under the Company’s equity compensation plans immediately prior to the effective time of the Amendment was reduced proportionately. The reverse stock split did not affect the number of shares of common stock authorized for issuance under the Company’s Amended and Restated Certificate of Incorporation, which remained at 125,000,000 shares.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 w:name="page10"/>
    <w:bookmarkEnd w:id="9"/>
    <w:p>
      <w:pPr>
        <w:spacing w:after="0" w:line="250"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otherwise have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results in any stockholder owning only a fractional share). As a result of the reverse stock split, the number of the Company’s outstanding shares of common stock as of June 17, 2022 decreased from 42,721,566 (pre-split) shares to 5,340,193 (post-split) shares.</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share and per share amounts in the accompanying financial statements, related footnotes, and management's discussion and analysis have been adjusted retroactively to reflect the reverse stock split as if it had occurred at the beginning of the earliest period presented. The Company’s common stock began trading on The Nasdaq Global Market on a split-adjusted basis when the market opened on June 21, 2022.</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1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1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9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dependent upon the continued services of its employees and consultants and obtaining and protecting intellectual property</w:t>
      </w:r>
      <w:r>
        <w:rPr>
          <w:rFonts w:ascii="Times New Roman" w:cs="Times New Roman" w:eastAsia="Times New Roman" w:hAnsi="Times New Roman"/>
          <w:sz w:val="21"/>
          <w:szCs w:val="21"/>
          <w:color w:val="auto"/>
        </w:rPr>
        <w:t>.</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16"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1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Cash accounts with any type of restriction are classified as restricted. The Company maintained restricted cash balances as collateral for corporate credit cards in the amount of $0.1 million at each of June 30, 2022 and December 31, 2021.</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are adopted by the Company as of the specified effective date. The Company believes that the impact of recently issued, but not yet adopted, accounting pronouncements will not have a material impact on the condensed consolidated financial statements or do not apply to the Company.</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ACCRUED EXPENSES AND OTHER LIABILITIES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24"/>
                <w:szCs w:val="24"/>
                <w:color w:val="auto"/>
              </w:rPr>
            </w:pPr>
          </w:p>
        </w:tc>
      </w:tr>
      <w:tr>
        <w:trPr>
          <w:trHeight w:val="209"/>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 and other accrued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876,058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902,803</w:t>
            </w:r>
          </w:p>
        </w:tc>
        <w:tc>
          <w:tcPr>
            <w:tcW w:w="80" w:type="dxa"/>
            <w:vAlign w:val="bottom"/>
            <w:shd w:val="clear" w:color="auto" w:fill="CFF0FC"/>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762,135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185,285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62,936</w:t>
            </w:r>
          </w:p>
        </w:tc>
        <w:tc>
          <w:tcPr>
            <w:tcW w:w="80" w:type="dxa"/>
            <w:vAlign w:val="bottom"/>
            <w:shd w:val="clear" w:color="auto" w:fill="CFF0FC"/>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Vacation pay</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65,721</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1,889,199</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965,739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399"/>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NET LOSS PER SHARE OF COMMON STOCK</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-290830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-273685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-290830</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-273685</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 average number of shares of common stock outstanding, plus potential outstanding common stock for the period. Potential outstanding common stock includes stock options and shares underlying RSUs, but only to the extent that their inclusion is dilutive. The following table sets forth the computation of basic and diluted loss per share for common stockholders:</w:t>
      </w:r>
    </w:p>
    <w:p>
      <w:pPr>
        <w:spacing w:after="0" w:line="171" w:lineRule="exact"/>
        <w:rPr>
          <w:sz w:val="20"/>
          <w:szCs w:val="20"/>
          <w:color w:val="auto"/>
        </w:rPr>
      </w:pPr>
    </w:p>
    <w:tbl>
      <w:tblPr>
        <w:tblLayout w:type="fixed"/>
        <w:tblInd w:w="108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540" w:type="dxa"/>
            <w:vAlign w:val="bottom"/>
            <w:gridSpan w:val="5"/>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33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(8,717,714</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(10,589,163</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(18,482,143</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(19,393,896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71"/>
        </w:trPr>
        <w:tc>
          <w:tcPr>
            <w:tcW w:w="33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5,340,196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5,340,196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5,340,196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5,340,196</w:t>
            </w:r>
          </w:p>
        </w:tc>
        <w:tc>
          <w:tcPr>
            <w:tcW w:w="80" w:type="dxa"/>
            <w:vAlign w:val="bottom"/>
          </w:tcPr>
          <w:p>
            <w:pPr>
              <w:spacing w:after="0"/>
              <w:rPr>
                <w:sz w:val="20"/>
                <w:szCs w:val="20"/>
                <w:color w:val="auto"/>
              </w:rPr>
            </w:pPr>
          </w:p>
        </w:tc>
      </w:tr>
      <w:tr>
        <w:trPr>
          <w:trHeight w:val="171"/>
        </w:trPr>
        <w:tc>
          <w:tcPr>
            <w:tcW w:w="33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Net loss per share of common stock – basic</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4"/>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(1.98 )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(3.46 )</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(3.63 )</w:t>
            </w:r>
          </w:p>
        </w:tc>
      </w:tr>
    </w:tbl>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securities outstanding at June 30, 2022 and 2021 have been excluded from the calculation of weighted average shares outstanding as their effect on the calculation of loss per share is antidilutive:</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96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r>
      <w:tr>
        <w:trPr>
          <w:trHeight w:val="169"/>
        </w:trPr>
        <w:tc>
          <w:tcPr>
            <w:tcW w:w="3960" w:type="dxa"/>
            <w:vAlign w:val="bottom"/>
          </w:tcPr>
          <w:p>
            <w:pPr>
              <w:spacing w:after="0"/>
              <w:rPr>
                <w:sz w:val="14"/>
                <w:szCs w:val="14"/>
                <w:color w:val="auto"/>
              </w:rPr>
            </w:pPr>
          </w:p>
        </w:tc>
        <w:tc>
          <w:tcPr>
            <w:tcW w:w="12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9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467,429</w:t>
            </w: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1,215,594</w:t>
            </w:r>
          </w:p>
        </w:tc>
        <w:tc>
          <w:tcPr>
            <w:tcW w:w="2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467,429</w:t>
            </w:r>
          </w:p>
        </w:tc>
        <w:tc>
          <w:tcPr>
            <w:tcW w:w="1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1,215,594</w:t>
            </w:r>
          </w:p>
        </w:tc>
        <w:tc>
          <w:tcPr>
            <w:tcW w:w="8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456,422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456,422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80" w:type="dxa"/>
            <w:vAlign w:val="bottom"/>
            <w:shd w:val="clear" w:color="auto" w:fill="CFF0FC"/>
          </w:tcPr>
          <w:p>
            <w:pPr>
              <w:spacing w:after="0"/>
              <w:rPr>
                <w:sz w:val="18"/>
                <w:szCs w:val="18"/>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SALE OF FUTURE ROYALTIES</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had previously co-developed seltorexant with Janssen for the treatment of insomnia disorder and adjunctive treatment of MDD. During 2020, the Company exercised its right to opt out of the joint development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9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 xml:space="preserve">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the Company has significant continuing involvement as Royalty Pharma has recourse against the Company relating to the payments due from Janssen. As such, the Company applied the debt recognition guidance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recorded the upfront payment of $60 million as a liability related to the sale of future royalties (“Royalty Obligation”), which will be amortized under the interest method over the estimated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 In addition, in accordance with ASC 470, Debt, the Company will account for any royalties received in the future as non-cash royalty revenue.</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1" w:name="page12"/>
    <w:bookmarkEnd w:id="11"/>
    <w:p>
      <w:pPr>
        <w:ind w:right="100"/>
        <w:spacing w:after="0" w:line="241" w:lineRule="auto"/>
        <w:rPr>
          <w:sz w:val="20"/>
          <w:szCs w:val="20"/>
          <w:color w:val="auto"/>
        </w:rPr>
      </w:pPr>
      <w:r>
        <w:rPr>
          <w:rFonts w:ascii="Times New Roman" w:cs="Times New Roman" w:eastAsia="Times New Roman" w:hAnsi="Times New Roman"/>
          <w:sz w:val="18"/>
          <w:szCs w:val="18"/>
          <w:color w:val="auto"/>
        </w:rPr>
        <w:t>As royalties are remitted from Janssen to Royalty Pharma, the balance of the Royalty Obligation will be effectively repaid over the life of the co-development and license agreement (the “Agreement”) with Janssen. In order to determine the amortization of the Royalty Obligation, the Company is required to estimate the total amount of future royalty payments to Royalty Pharma over the life of the Agreement. In addition to the $60 million upfront payment, up to an additional $95 million in potential milestone payments will also be recorded as a liability related to the sale of future royalties and amortized as interest expense over the estimated remaining life of the agreement. At execution, the Company’s estimate of this total interest expense resulted in an effective annual interest rate of approximately 10.5%. As of June 30, 2022, the Company estimated the effective annual interest rate to be approximately 10.7%. This estimate contains significant assumptions, which are considered Level 3 fair value inputs, regarding the timing and amount of expected royalty and milestone payments that impact the interest expense that will be recognized over the royalty period. The Company will periodically assess the estimated royalty payments to Royalty Payments from Janssen and to the extent the amount or timing of such payments is materially different than the original estimates, an adjustment will be recorded prospectively to increase or decrease interest expense. There are a number of factors that could materially affect the amount and timing of royalty payments to Royalty Pharma from Janssen, and correspondingly, the amount of interest expense recorded by the Company, most of which are not within the Company’s control. Such factors include, but are not limited to, delays or discontinuation of development of seltorexant, regulatory approval, changing standards of care, the introduction of competing products, manufacturing or other delays, generic competition, intellectual property matters, adverse events that result in governmental health authority imposed restrictions on the use of the drug products, significant changes in foreign exchange rates as the royalties remitted to Royalty Pharma are made in U.S. dollars (“USD”) while the underlying sales of seltorexant will be made in currencies other than USD, the ongoing COVID-19 pandemic, and other events or circumstances that are not currently foreseen. Changes to any of these factors could result in increases or decreases to both royalty revenues and interest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of the Royalty Obligation since the transaction inception through June 30, 2022:</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7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 w:type="dxa"/>
            <w:vAlign w:val="bottom"/>
          </w:tcPr>
          <w:p>
            <w:pPr>
              <w:spacing w:after="0"/>
              <w:rPr>
                <w:sz w:val="16"/>
                <w:szCs w:val="16"/>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payment from the sale of future royalties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8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9,932,614</w:t>
            </w:r>
          </w:p>
        </w:tc>
        <w:tc>
          <w:tcPr>
            <w:tcW w:w="80" w:type="dxa"/>
            <w:vAlign w:val="bottom"/>
          </w:tcPr>
          <w:p>
            <w:pPr>
              <w:spacing w:after="0"/>
              <w:rPr>
                <w:sz w:val="18"/>
                <w:szCs w:val="18"/>
                <w:color w:val="auto"/>
              </w:rPr>
            </w:pP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69,932,614</w:t>
            </w:r>
          </w:p>
        </w:tc>
        <w:tc>
          <w:tcPr>
            <w:tcW w:w="80" w:type="dxa"/>
            <w:vAlign w:val="bottom"/>
            <w:shd w:val="clear" w:color="auto" w:fill="CFF0FC"/>
          </w:tcPr>
          <w:p>
            <w:pPr>
              <w:spacing w:after="0"/>
              <w:rPr>
                <w:sz w:val="18"/>
                <w:szCs w:val="18"/>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 Program</w:t>
      </w:r>
    </w:p>
    <w:p>
      <w:pPr>
        <w:spacing w:after="0" w:line="21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On August 10, 2018, the Company entered into the Sales Agreement with Jefferies pursuant to which the Company may offer and sell, from time to time, through Jefferies, up to $50.0 million in shares of the Company's common stock, by any method permitted by law deemed to be an “at-the-market” offering as defined in Rule 415 promulgated under the Securities Act of 1933, as amended. During the year ended December 31, 2020, the Company issued and sold 422,701 shares of the Company's common stock under the Sales Agreement. The shares were sold at an average price of $29.69 per share for aggregate net proceeds to the Company of approximately $12.1 million, after deducting sales commissions and offering costs payable by the Company. During the six months ended June 30, 2022, no shares of our common stock were issued or sold under the Sales Agreement.</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Term Loan Warrants</w:t>
      </w:r>
    </w:p>
    <w:p>
      <w:pPr>
        <w:spacing w:after="0" w:line="21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5,099 shares of common stock at a per share exercise price of $44.13. The warrants were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w:t>
      </w:r>
    </w:p>
    <w:p>
      <w:pPr>
        <w:spacing w:after="0" w:line="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1.83%, (iii) an expected life of 10 years and (iv) no dividend payments. The fair value of the warrants was included as a discount to the term loans drawn at such time and also as a component of additional paid-in capital and were amortized to interest expense over the term of the loan. Although the term loans were repaid in August 2018, all related warrants were outstanding and exercisable as of June 30, 2022.</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7 — STOCK AWARD PLAN AND STOCK-BASED COMPENSATION</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 December 2013, the Company adopted the 2013 Equity Incentive Plan (as subsequently amended and restated, the “Plan”), which provides for the issuance of options, stock appreciation rights, stock awards and stock units.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Option Exchange Program</w:t>
      </w:r>
    </w:p>
    <w:p>
      <w:pPr>
        <w:spacing w:after="0" w:line="22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On June 11, 2021, the Company’s stockholders, upon recommendation of the board of directors of the Company, approved a one-time stock option exchange program (the “Exchange Program”) for certain employee option holders (including its named executive officers) (the “Eligible Participants”) who remained employed by the Company through the completion of the Exchange Program. The Exchange Program permitted Eligible Participants to surrender stock options issued and outstanding under the Plan granted before July 1, 2020, with a per-share exercise price of $35.76 or greater (the “Eligible Options”), in exchange for a grant of performance-based restricted stock units (“PRSUs”) that will settle in shares of the Company’s common stock upon vesting. 50% of the new PRSUs will vest upon the U.S. Food and Drug Administration’s (“FDA”) acceptance of a new drug application for roluperidone, provided that such acceptance is not “over protest” and occurs within three years after the grant date. The remaining new PRSUs will vest upon roluperidone receiving FDA marketing approval provided that such approval occurs within five years after the grant date.</w:t>
      </w:r>
    </w:p>
    <w:p>
      <w:pPr>
        <w:spacing w:after="0" w:line="18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July 6, 2021, the Company filed with the SEC a Tender Offer Statement on Schedule TO disclosing the terms and conditions of the Exchange Program. The Exchange Program closed on August 3, 2021. On August 6, 2021, options to purchase 953,980 shares of the Company’s common stock were exchanged for 476,640 PRSUs. Options surrendered in the Exchange Program were cancelled and shares subject to the cancelled options again became available for issuance under the Plan.</w:t>
      </w:r>
    </w:p>
    <w:p>
      <w:pPr>
        <w:spacing w:after="0" w:line="17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non-cash incremental stock-based compensation cost associated with the Exchange Program was $0.5 million. This incremental cost was measured as the excess of the fair value of each new PRSU, measured as of the date the new PRSUs were granted, over the fair value of the stock options surrendered in exchange for the new PRSU, measured immediately prior to the cancellation. This incremental compensation cost will be recognized when it is deemed probable that the two vesting conditions of the PRSUs will be achieved.</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employees and non-employees for the six months ended June 30, 2022 is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96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96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36"/>
              <w:spacing w:after="0" w:line="15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Terms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2022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264,929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June 30, 2022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467,429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June 30, 2022</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160,249</w:t>
            </w:r>
          </w:p>
        </w:tc>
        <w:tc>
          <w:tcPr>
            <w:tcW w:w="34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41.98</w:t>
            </w:r>
          </w:p>
        </w:tc>
        <w:tc>
          <w:tcPr>
            <w:tcW w:w="124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36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ind w:left="80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Available for future grant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352,166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-479425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-170815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-153670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outstanding on June 30, 2022 was $14.94 per share. Total unrecognized compensation costs related to non-vested stock options at June 30, 2022 were approximately $1.8 million and are expected to be recognized within future operating results over a weighted-average period of 2.1 years. The total intrinsic value of the options exercised during the six months ended June 30, 2022 and 2021 was zero.</w:t>
      </w:r>
    </w:p>
    <w:p>
      <w:pPr>
        <w:spacing w:after="0" w:line="16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 xml:space="preserve">The expected term of the employee-related options was estimated using the “simplified” method as defined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model to estimate the fair value of stock options granted. For stock options granted during the six months ended June 30, 2022 and 2021, the Company utilized the following assumptions: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334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640" w:type="dxa"/>
            <w:vAlign w:val="bottom"/>
          </w:tcPr>
          <w:p>
            <w:pPr>
              <w:spacing w:after="0"/>
              <w:rPr>
                <w:sz w:val="16"/>
                <w:szCs w:val="16"/>
                <w:color w:val="auto"/>
              </w:rPr>
            </w:pPr>
          </w:p>
        </w:tc>
        <w:tc>
          <w:tcPr>
            <w:tcW w:w="1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5.50-6.25</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1.96%-3.25%</w:t>
            </w:r>
          </w:p>
        </w:tc>
        <w:tc>
          <w:tcPr>
            <w:tcW w:w="1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0.86%</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76%-97%</w:t>
            </w:r>
          </w:p>
        </w:tc>
        <w:tc>
          <w:tcPr>
            <w:tcW w:w="17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6"/>
              </w:rPr>
              <w:t>75%</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 common stock</w:t>
            </w: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$4.78</w:t>
            </w:r>
          </w:p>
        </w:tc>
        <w:tc>
          <w:tcPr>
            <w:tcW w:w="17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$14.64</w:t>
            </w:r>
          </w:p>
        </w:tc>
      </w:tr>
    </w:tbl>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On August 6, 2021, the Company granted 476,640 PRSUs through the Exchange Program. The Exchange Program was treated as a Type II modification (Probable-to improbable) under ASC 718. The total PRSUs outstanding at June 30, 2022 was 456,422. The Company will recognize the unrecognized grant-date fair value of the pre-modification stock options as well as any incremental non-cash compensation cost of the PRSUs granted in the Exchange Program, if the vesting conditions of the PRSUs are achieved or if they become probable. The Company is using the pre-modification stock options for determining the compensation cost related to the PRSUs as the vesting conditions remain uncertain for the new PRSUs. The total unrecognized compensation costs related to non-vested stock options at June 30, 2022 were approximately $2.2 million and are expected to be recognized within future operating results over a weighted-average period of 1.1 years. As of June 30, 2022, no PRSUs have vested and 20,218 have been cancelled.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included in the Company’s consolidated statements of operations:</w:t>
      </w:r>
    </w:p>
    <w:p>
      <w:pPr>
        <w:spacing w:after="0" w:line="219" w:lineRule="exact"/>
        <w:rPr>
          <w:sz w:val="20"/>
          <w:szCs w:val="20"/>
          <w:color w:val="auto"/>
        </w:rPr>
      </w:pPr>
    </w:p>
    <w:tbl>
      <w:tblPr>
        <w:tblLayout w:type="fixed"/>
        <w:tblInd w:w="1200" w:type="dxa"/>
        <w:tblCellMar>
          <w:top w:w="0" w:type="dxa"/>
          <w:left w:w="0" w:type="dxa"/>
          <w:bottom w:w="0" w:type="dxa"/>
          <w:right w:w="0" w:type="dxa"/>
        </w:tblCellMar>
      </w:tblPr>
      <w:tr>
        <w:trPr>
          <w:trHeight w:val="187"/>
        </w:trPr>
        <w:tc>
          <w:tcPr>
            <w:tcW w:w="3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r>
      <w:tr>
        <w:trPr>
          <w:trHeight w:val="169"/>
        </w:trPr>
        <w:tc>
          <w:tcPr>
            <w:tcW w:w="3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514,806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641,373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1,015,979</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1,285,549</w:t>
            </w:r>
          </w:p>
        </w:tc>
        <w:tc>
          <w:tcPr>
            <w:tcW w:w="80" w:type="dxa"/>
            <w:vAlign w:val="bottom"/>
            <w:shd w:val="clear" w:color="auto" w:fill="CFF0FC"/>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556,799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742,687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1,108,282</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1,614,575</w:t>
            </w:r>
          </w:p>
        </w:tc>
        <w:tc>
          <w:tcPr>
            <w:tcW w:w="80" w:type="dxa"/>
            <w:vAlign w:val="bottom"/>
          </w:tcPr>
          <w:p>
            <w:pPr>
              <w:spacing w:after="0"/>
              <w:rPr>
                <w:sz w:val="18"/>
                <w:szCs w:val="18"/>
                <w:color w:val="auto"/>
              </w:rPr>
            </w:pPr>
          </w:p>
        </w:tc>
      </w:tr>
      <w:tr>
        <w:trPr>
          <w:trHeight w:val="209"/>
        </w:trPr>
        <w:tc>
          <w:tcPr>
            <w:tcW w:w="3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1,071,605</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1,384,060</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2,124,261</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2,900,124</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-8255</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-8255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51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16"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7"/>
          <w:szCs w:val="17"/>
          <w:color w:val="auto"/>
        </w:rPr>
        <w:t>From time to time, the Company may be subject to various legal proceedings and claims that arise in the ordinary course of the Company’s business activities. At this time, the Company is not aware of any such legal proceedings or claims. The Company is not aware of any claim or litigation, the outcome of which, if determined adversely to the Company, would have a material effect on the Company’s financial position or results of operations.</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9 for the Company’s current lease commitments.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May 5, 2021, the Company entered into an office lease agreement with BP Reservoir Place to lease approximately 5,923 rentable square feet of office space located at 1601 Trapelo Road, Waltham, MA 02451. The term of the lease agreement began on August 1, 2021 and expired on July 31, 2022, with an annual rate of $239,881.50 payable in equal monthly installments. The Company has elected to not recognize the lease agreement on the balance sheet as the term of the agreement is 12 months or less. The total operating lease costs during the six months ended June 30, 2022 were $119,941.</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 as of June 30, 2022 were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7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5"/>
                <w:szCs w:val="15"/>
                <w:color w:val="auto"/>
              </w:rPr>
            </w:pPr>
          </w:p>
        </w:tc>
      </w:tr>
      <w:tr>
        <w:trPr>
          <w:trHeight w:val="187"/>
        </w:trPr>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Future Operating Lease Payments</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 w:type="dxa"/>
            <w:vAlign w:val="bottom"/>
          </w:tcPr>
          <w:p>
            <w:pPr>
              <w:spacing w:after="0"/>
              <w:rPr>
                <w:sz w:val="16"/>
                <w:szCs w:val="16"/>
                <w:color w:val="auto"/>
              </w:rPr>
            </w:pPr>
          </w:p>
        </w:tc>
      </w:tr>
      <w:tr>
        <w:trPr>
          <w:trHeight w:val="21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8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 at June 30,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On May 26, 2022, the Company entered into an office lease agreement with Regus to lease office space located at 1500 District Avenue Burlington, MA 01803. The term of the lease agreement began on July 15, 2022 and will expire on January 31, 2023, with a monthly rate of $7,533.00. The Company has elected to not recognize the lease agreement on the balance sheet as the term of the agreement is 12 months or less. The total operating lease costs during the six months ended June 30, 2022 were $0.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 as of June 30, 2022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Future Operating Lease Payments</w:t>
            </w:r>
          </w:p>
        </w:tc>
        <w:tc>
          <w:tcPr>
            <w:tcW w:w="3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114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3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41,796</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28"/>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 at June 30, 2022</w:t>
            </w:r>
          </w:p>
        </w:tc>
        <w:tc>
          <w:tcPr>
            <w:tcW w:w="3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846"/>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20" w:type="dxa"/>
            <w:vAlign w:val="bottom"/>
          </w:tcPr>
          <w:p>
            <w:pPr>
              <w:jc w:val="right"/>
              <w:ind w:right="257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-770890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2021 as filed with the Securities and Exchange Commission on March 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proprietary product candidates to treat patients suffering from central nervous system (“CNS”)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7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We are developing roluperidone for the treatment of negative symptoms in patients with schizophrenia and have exclusive rights to develop and commercialize MIN-301 for the treatment of Parkinson’s disease. In addition, we previously co-developed seltorexant with Janssen Pharmaceutica NV (“Janssen”) for the treatment of insomnia disorder and adjunctive treatment of Major Depressive Disorder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 In January 2021, we sold our rights to these potential royalties to Royalty Pharma plc (“Royalty Pharma”).</w:t>
      </w:r>
    </w:p>
    <w:p>
      <w:pPr>
        <w:spacing w:after="0" w:line="18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have not received regulatory approvals to commercialize any of our product candidates, and we have not generated any revenue from the sales or license of our product candidates. We have incurred significant operating losses every year since inception. We expect to incur net losses and negative cash flow from operating activities for the foreseeable future in connection with the clinical development and the potential regulatory approval, infrastructure development and potential commercialization of our product candidates.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Regulatory Updates</w:t>
      </w:r>
    </w:p>
    <w:p>
      <w:pPr>
        <w:spacing w:after="0" w:line="21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On April 7, 2022 we announced the results from the Type C meeting held on March 2, 2022 with the U.S. Food and Drug Administration’s (“FDA”) Division of Psychiatry (the “Division”) of the Office of Neuroscience regarding roluperidone’s use as a monotherapy for negative symptoms in patients with schizophrenia.</w:t>
      </w:r>
    </w:p>
    <w:p>
      <w:pPr>
        <w:spacing w:after="0" w:line="1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Division agreed that there is an unmet need for negative symptom treatments and restated its position following the November 2020 Type C meeting in which they indicated a marketing application was highly unlikely to be filed. The Division also stated at the November 2020 meeting that, at a minimum, there would be substantial review issues due to the lack of two adequate and well-controlled trials to support efficacy claims for this novel indication. The Division acknowledged at the time that the studies appear to show promising signals and encouraged us to continue the drug development program for this indication. Since the Type C meeting in November 2020, we have completed the Open-label extension of the Phase 3 study and have continued to develop roluperidone as a monotherapy specifically for the treatment of negative symptoms of schizophrenia in the subgroup of patients with moderate to severe negative symptoms and stable positive symptoms. The Division advised that several important and substantial concerns remain, including:</w:t>
      </w:r>
    </w:p>
    <w:p>
      <w:pPr>
        <w:spacing w:after="0" w:line="59" w:lineRule="exact"/>
        <w:rPr>
          <w:sz w:val="20"/>
          <w:szCs w:val="20"/>
          <w:color w:val="auto"/>
        </w:rPr>
      </w:pPr>
    </w:p>
    <w:p>
      <w:pPr>
        <w:ind w:left="900" w:right="100" w:hanging="383"/>
        <w:spacing w:after="0" w:line="258"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results of the Phase 2b study (conducted in Europe) to the U.S. population. We presented data in the briefing document sent to the Division in advance of the meeting showing comparable baseline data and efficacy across both U.S. and ex-U.S. patients in the Phase 3 study.</w:t>
      </w:r>
    </w:p>
    <w:p>
      <w:pPr>
        <w:spacing w:after="0" w:line="61" w:lineRule="exact"/>
        <w:rPr>
          <w:rFonts w:ascii="Times New Roman" w:cs="Times New Roman" w:eastAsia="Times New Roman" w:hAnsi="Times New Roman"/>
          <w:sz w:val="18"/>
          <w:szCs w:val="18"/>
          <w:color w:val="auto"/>
        </w:rPr>
      </w:pPr>
    </w:p>
    <w:p>
      <w:pPr>
        <w:ind w:left="900" w:right="20" w:hanging="383"/>
        <w:spacing w:after="0" w:line="24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use of post hoc analyses for the primary endpoint results of the Phase 3 study. The Division added that even with the exclusion of one trial site that we believe to be subject to potential data integrity issues, the overall study remains negative. For the Phase 3 study to be positive, where the truncated Hochberg procedure was used to control the overall Type I error, both roluperidone doses must be statistically significant versus placebo, which was not the case for the 32 mg dose. We confirmed in post-meeting follow-up that the exclusion of one site had been prespecified in the SAP submitted to the Division in May 2020 before the unblinding of the double-blind data. Excluding the trial site with data integrity issues resulted in a nominal p-value of 0.044 on the primary endpoint for the 64 mg dose. In the Phase 2b study, the 64 mg and the 32 mg doses of roluperidone achieved statistical significance versus placebo.</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6" w:name="page17"/>
    <w:bookmarkEnd w:id="16"/>
    <w:p>
      <w:pPr>
        <w:ind w:right="40"/>
        <w:spacing w:after="0" w:line="250" w:lineRule="auto"/>
        <w:rPr>
          <w:sz w:val="20"/>
          <w:szCs w:val="20"/>
          <w:color w:val="auto"/>
        </w:rPr>
      </w:pPr>
      <w:r>
        <w:rPr>
          <w:rFonts w:ascii="Times New Roman" w:cs="Times New Roman" w:eastAsia="Times New Roman" w:hAnsi="Times New Roman"/>
          <w:sz w:val="18"/>
          <w:szCs w:val="18"/>
          <w:color w:val="auto"/>
        </w:rPr>
        <w:t>The Division sought reassurance that we could reliably identify patients who do not need antipsychotics and how to evaluate the stability of those patients, and potential recurrence of positive symptoms of those patients, what would be considered a significant change in symptoms, how much time patients should be monitored to evaluate whether positive symptoms will recur, and what should be done if positive symptoms recur. We informed the Division that we believe this patient population can be readily identified by clinicians, that this patient population presents commonly in clinical practice, that there is an unmet need for treatments for these patients and that we expect that the population could be clearly characterized in product labelling.</w:t>
      </w:r>
    </w:p>
    <w:p>
      <w:pPr>
        <w:spacing w:after="0" w:line="17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Division pointed out that prescribers are likely to use roluperidone in a way that differs significantly from the intended monotherapy use, noting that at this time, there are no data to show that roluperidone does not interfere with the safety or efficacy of antipsychotic medications. We stated that we believe that findings from the completed Phase 2b (MIN101-C03) and Phase 3 (MIN101-C07) studies, (in which roluperidone was administered in monotherapy without concomitant use of antipsychotic medications), demonstrate continued stability of positive symptoms in patients over time. We stated that the relapse rate in these trials was less than 15% of the treated population compared to relapse rates of more than 25% in other trials in which patients were treated with antipsychotics. Following the meeting, we submitted additional data to the Division from the Phase 2b and Phase 3 studies demonstrating that roluperidone does not interfere with the efficacy of antipsychotics in patients who suffered from relapse and withdrew from the studies.</w:t>
      </w:r>
    </w:p>
    <w:p>
      <w:pPr>
        <w:spacing w:after="0" w:line="18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Division confirmed that results from the pivotal bridging Bioequivalence study appear to be adequate for a future acceptable New Drug Application (“NDA”) submission but advised that final confirmation of this would be a matter of review and also acknowledged that our initial pediatric study plan (“iPSP”) dated November 28, 2017, remains in force.</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continue to believe that we have conducted two adequate and well controlled studies for the intended indication, and that the data from these studies are sufficient to support a marketing application. We view the concerns raised regarding the data from the Phase 2b and Phase 3 studies as those that FDA would ordinarily consider during its review of an NDA.</w:t>
      </w:r>
    </w:p>
    <w:p>
      <w:pPr>
        <w:spacing w:after="0" w:line="16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At the end of the meeting, the Division suggested that there may be a way to address its concerns, whether the completed studies provide substantial evidence that negative symptoms are responsive to roluperidone, concurrently with the questions about positive symptoms and coadministration with antipsychotic medication through the acquisition of additional data. The Division advised that collection of additional data could begin in parallel with our preparations for a potential marketing application and need not be deferred until a determination about submission or filing of the application has been made.</w:t>
      </w:r>
    </w:p>
    <w:p>
      <w:pPr>
        <w:spacing w:after="0" w:line="19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Subject to the timing and feedback from the FDA, we continue to prepare for a potential submission of an NDA for roluperidone during the third quarter of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1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None of our product candidates have been approved for commercialization and we have not received any revenue in connection with the sale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of our product candidates.</w:t>
      </w:r>
    </w:p>
    <w:p>
      <w:pPr>
        <w:spacing w:after="0" w:line="17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costs are expensed as they are incurred and consist principally of costs incurred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development of our product candidates including: fees paid to consultants and clinical research organizations (“CROs”), investigator grants, patient screening, lab work, database management, material management, statistical analysis, license fees, regulatory compliance, and costs related to salaries, benefits, bonuses and stock-based compensation granted to employees in research and development functions.</w:t>
      </w:r>
    </w:p>
    <w:p>
      <w:pPr>
        <w:spacing w:after="0" w:line="193"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179"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costs are expensed as they are incurred and consist principally of costs for facility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systems, professional fees for auditing, consulting and legal services and costs related to salaries, benefits, bonuses and stock-based compensation granted to employees in administrative functions. General and administrative expenses also include costs for maintaining a publicly listed company including increased audit and legal fees, compliance with securities laws, corporate governance and investor relations.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7" w:name="page18"/>
    <w:bookmarkEnd w:id="17"/>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Foreign Exchange Gains (Losses). </w:t>
      </w:r>
      <w:r>
        <w:rPr>
          <w:rFonts w:ascii="Times New Roman" w:cs="Times New Roman" w:eastAsia="Times New Roman" w:hAnsi="Times New Roman"/>
          <w:sz w:val="18"/>
          <w:szCs w:val="18"/>
          <w:color w:val="auto"/>
        </w:rPr>
        <w:t>Foreign exchange gains (losses) are comprised primarily of gains and losses on foreign currency transactions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gain or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Investment income consists of income earned on our cash equivalents and marketable securities.</w:t>
      </w:r>
    </w:p>
    <w:p>
      <w:pPr>
        <w:spacing w:after="0" w:line="21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Non-cash interest expense for the sale of future royalties. </w:t>
      </w:r>
      <w:r>
        <w:rPr>
          <w:rFonts w:ascii="Times New Roman" w:cs="Times New Roman" w:eastAsia="Times New Roman" w:hAnsi="Times New Roman"/>
          <w:sz w:val="18"/>
          <w:szCs w:val="18"/>
          <w:color w:val="auto"/>
        </w:rPr>
        <w:t>Non-cash interest expense for the sale of future royalties consists of the non-cash interest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Royalty Pharma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2022 versus June 30,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were $4.1 million and $5.5 million for the three months ended June 30, 2022 and 2021, respectively, a decrease of approximately $1.4 million. The decrease in research and development expenses was primarily due to lower costs for the Phase 3 clinical trial of roluperidone as a result of the completion of the 40-Week Open-Label Extension in May 2021. Non-cash stock compensation expense included in research and development expenses was $0.5 million and $0.6 million for the three months ended June 30, 2022 and 2021,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$2.8 million and $3.4 million for the three months ended June 30, 2022 and 2021, respectively, a decrease of approximately $0.6 million. The decrease in general and administrative expenses was primarily due to lower staffing related expenses, non-cash stock compensation expense, and lower legal and insurance costs. Non-cash stock compensation expense included in general and administrative expenses was $0.6 million and $0.7 million for the three months ended June 30,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Gains (Losses)</w:t>
      </w:r>
    </w:p>
    <w:p>
      <w:pPr>
        <w:spacing w:after="0" w:line="21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Foreign exchange gains were $1,600 and foreign exchange losses were $19,000 for the three months ended June 30, 2022 and 2021, respectively, an increase of $20,600. The increase in foreign exchange gains was primarily due to positive currency movements.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1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Investment income was $72,000 and $5,000 for the three months ended June 30, 2022 and 2021, respectively, an increase of $67,000 primarily due to higher interest rates.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1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$1.8 million and $1.6 million for the three months ended June 30, 2022 and 2021, respectively, an increase of $0.2 million. The increase was primarily due to the higher effective interest rate during 2022 and the increase in the carrying value of the liability related to the sale of future royalties for seltorexant to Royalty Pharma in accordance with ASC 470, Debt.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2022 versus June 30,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Research and development expenses were $9.1 million and $8.8 million for the six months ended June 30, 2022 and 2021, respectively, an increase of approximately $0.3 million. The increase in research and development expenses was primarily due to lower costs for the Phase 3 clinical trial of roluperidone as a result of the completion of the 40-Week Open-Label Extension in May 2021, offset by higher consulting fees related to the NDA support activities. Non-cash stock compensation expense included in research and development expenses was $1.0 million and $1.3 million for the six months ended June 30,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8" w:name="page19"/>
    <w:bookmarkEnd w:id="18"/>
    <w:p>
      <w:pPr>
        <w:ind w:right="22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$5.9 million and $7.7 million for the six months ended June 30, 2022 and 2021, respectively, a decrease of approximately $1.8 million. The decrease in general and administrative expenses was primarily due to lower staffing related expenses, non-cash stock compensation expense, and lower legal and insurance costs. Non-cash stock compensation expense included in general and administrative expenses was $1.1 million and $1.6 million for the six months ended June 30, 2022 and 2021,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w:t>
      </w:r>
    </w:p>
    <w:p>
      <w:pPr>
        <w:spacing w:after="0" w:line="20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Foreign exchange losses were $2,000 and $24,000 for the six months ended June 30, 2022 and 2021, respectively, a decrease of $22,000. The decrease in foreign exchange losses was primarily due to positive currency movements.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00"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Investment income was $80,000 and $9,000 for the six months ended June 30, 2022 and 2021, respectively, an increase of $71,000. The increase was primarily due to higher interest rates.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$3.6 million and $2.9 million for the six months ended June 30, 2022 and 2021, respectively, an increase of $0.7 million. The increase was primarily due to the higher effective interest rate during 2022 and the increase in the carrying value of the liability related to the sale of future royalties for seltorexant to Royalty Pharma in accordance with ASC 470, Debt.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As of June 30, 2022, we had an accumulated deficit of approximately $353.2 million. We anticipate that we will continue to incur net losses for the foreseeable future as we continue the development and potential commercialization of our product candidates and to support our operations as a public company. At June 30, 2022, we had approximately $49.9 million in cash, cash equivalents, and restricted cash. In January 2021 Royalty Pharma acquired our royalty interest in seltorexant for an upfront payment of $60 million and up to an additional $95 million in potential milestone payments. The potential future milestone payments to us will be contingent on the achievement of certain clinical, regulatory and commercialization milestones for seltorexant by Janssen. Seltorexant is currently in Phase 3 development for the treatment of MDD with insomnia symptoms by Janssen. We believe that our existing cash, cash equivalents and restricted cash will be sufficient to meet our cash commitments for at least the next 12 months after the date that the financial statements are issued. Our material cash requirements primarily relate to expenditures for the continued development of roluperidone and NDA preparation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Funds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14"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In August 2018 we entered into the Sales Agreement with Jefferies LLC pursuant to which we may offer and sell, from time to time, through Jefferies, up to $50.0 million in shares of our common stock, by any method permitted by law deemed to be an “at-the-market” offering as defined in Rule 415 promulgated under the Securities Act of 1933, as amended. During the year ended December 31, 2020, we issued and sold 422,701 shares of our common stock under the Sales Agreement. The shares were sold at an average price of $29.69 per share for aggregate net proceeds to us of approximately $12.1 million, after deducting sales commissions and offering costs payable by us. During the six months ended June 30, 2022, no shares of our common stock were issued or sold under the Sales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Seltorexant Royalties</w:t>
      </w:r>
    </w:p>
    <w:p>
      <w:pPr>
        <w:spacing w:after="0" w:line="21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9" w:name="page20"/>
    <w:bookmarkEnd w:id="19"/>
    <w:p>
      <w:pPr>
        <w:ind w:right="100"/>
        <w:spacing w:after="0" w:line="258" w:lineRule="auto"/>
        <w:rPr>
          <w:sz w:val="20"/>
          <w:szCs w:val="20"/>
          <w:color w:val="auto"/>
        </w:rPr>
      </w:pPr>
      <w:r>
        <w:rPr>
          <w:rFonts w:ascii="Times New Roman" w:cs="Times New Roman" w:eastAsia="Times New Roman" w:hAnsi="Times New Roman"/>
          <w:sz w:val="18"/>
          <w:szCs w:val="18"/>
          <w:color w:val="auto"/>
        </w:rPr>
        <w:t>On January 19, 2021 we entered into an agreement under which Royalty Pharma acquired our royalty interest in seltorexant for an upfront payment of $60 million and up to an additional $95 million in potential milestone payments, contingent upon the achievement of certain clinical, regulatory and commercial milestones for seltorexant by Janssen.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8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government or other third-party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the uncertainty and volatility in the capital markets caused by the continuing COVID-19 pandemic may negatively impact the availability and cost of capital.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interim condensed consolidated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our significant sources and uses of cash for the periods.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61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4"/>
                <w:szCs w:val="14"/>
                <w:color w:val="auto"/>
              </w:rPr>
            </w:pPr>
          </w:p>
        </w:tc>
      </w:tr>
      <w:tr>
        <w:trPr>
          <w:trHeight w:val="169"/>
        </w:trPr>
        <w:tc>
          <w:tcPr>
            <w:tcW w:w="6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4"/>
              </w:rPr>
              <w:t>millions)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5"/>
              <w:spacing w:after="0"/>
              <w:rPr>
                <w:sz w:val="20"/>
                <w:szCs w:val="20"/>
                <w:color w:val="auto"/>
              </w:rPr>
            </w:pPr>
            <w:r>
              <w:rPr>
                <w:rFonts w:ascii="Times New Roman" w:cs="Times New Roman" w:eastAsia="Times New Roman" w:hAnsi="Times New Roman"/>
                <w:sz w:val="18"/>
                <w:szCs w:val="18"/>
                <w:color w:val="auto"/>
              </w:rPr>
              <w:t>(11.0 )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(11.1 )</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8"/>
                <w:szCs w:val="18"/>
                <w:color w:val="auto"/>
              </w:rPr>
            </w:pPr>
          </w:p>
        </w:tc>
        <w:tc>
          <w:tcPr>
            <w:tcW w:w="120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8"/>
                <w:szCs w:val="18"/>
                <w:color w:val="auto"/>
              </w:rPr>
            </w:pPr>
          </w:p>
        </w:tc>
      </w:tr>
      <w:tr>
        <w:trPr>
          <w:trHeight w:val="250"/>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bottom w:val="single" w:sz="8" w:color="CFF0FC"/>
            </w:tcBorders>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of approximately $11.0 million during the six months ended June 30, 2022 was primarily due our net loss of $18.5 million and a $0.3 million decrease in accounts payable, partially offset by non-cash interest expense for the sale of future royalties of $3.6 million, stock-based compensation expense of $2.1 million, a $1.2 million decrease in prepaid expense, and an increase in accrued expenses of $0.9 million.</w:t>
      </w:r>
    </w:p>
    <w:p>
      <w:pPr>
        <w:spacing w:after="0" w:line="169"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of approximately $11.1 million during the six months ended June 30, 2021 was primarily due our net loss of $19.4 million, partially offset by stock-based compensation expense of $2.9 million, non-cash interest expense for the sale of future royalties of $2.9 million, a $1.1 million decrease in prepaid expense, a $0.6 million increase in accounts payable, and an increase in accrued expenses of $0.8 million.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was zero during the six months ended June 30, 2022 and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zero during the six months ended June 30, 2022.</w:t>
      </w:r>
    </w:p>
    <w:p>
      <w:pPr>
        <w:spacing w:after="0" w:line="225"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$60 million during the six months ended June 30, 2021 was due to the proceeds from the sale of future royalties of $60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On June 17, 2022, we filed a Certificate of Amendment to our Amended and Restated Certificate of Incorporation (the “Amendment”) with the Secretary of State of the State of Delaware to effect a one-for-eight (1-for-8) reverse stock split of our outstanding common stock. The Amendment became effective at 5:00 p.m. Eastern Time on June 17, 2022. A series of alternate amendments to effect a reverse stock split was approved by our stockholders at our 2022 Annual Meeting of Stockholders held on June 10, 2022, and the specific one-for-eight (1-for-8) reverse stock split was subsequently approved by our board of directors on June 10, 2022.</w:t>
      </w:r>
    </w:p>
    <w:p>
      <w:pPr>
        <w:spacing w:after="0" w:line="18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Amendment provided that, at the effective time of the Amendment, every eight (8) shares of our issued and outstanding common stock automatically combined into one issued and outstanding share of common stock, without any change in par value per share. The reverse stock split affected all shares of our common stock outstanding immediately prior to the effective time of the Amendment. As a result of the reverse stock split, proportionate adjustments were made to the per share exercise price and/or the number of shares issuable upon the exercise or vesting of all stock options, restricted stock units and restricted stock awards issued by us and outstanding immediately prior to the effective time of the Amendment, which resulted in a proportionate decrease in the number of shares of our common stock reserved for issuance upon exercise or vesting of such stock options, restricted stock units and restricted stock awards, and, in the case of stock options, a proportionate increase in the exercise price of all such stock options. In addition, the number of shares reserved for issuance under our equity compensation plans immediately prior to the effective time of the Amendment was reduced proportionately. The reverse stock split did not affect the number of shares of common stock authorized for issuance under our Amended and Restated Certificate of Incorporation, which remained at 125,000,000 shares.</w:t>
      </w:r>
    </w:p>
    <w:p>
      <w:pPr>
        <w:spacing w:after="0" w:line="18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otherwise have been entitled to receive a fractional share received a cash payment in lieu thereof. The reverse stock split affected all stockholders proportionately and did not affect any stockholder’s percentage ownership of our common stock (except to the extent that the reverse stock split results in any stockholder owning only a fractional share). As a result of the reverse stock split, the number of our outstanding shares of common stock as of June 17, 2022 decreased from 42,721,566 (pre-split) shares to 5,340,193 (post-split) shares.</w:t>
      </w:r>
    </w:p>
    <w:p>
      <w:pPr>
        <w:spacing w:after="0" w:line="195"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All share and per share amounts in the accompanying financial statements, related footnotes, and management's discussion and analysis have been adjusted retroactively to reflect the reverse stock split as if it had occurred at the beginning of the earliest period presented. Our common stock began trading on The Nasdaq Global Market on a split-adjusted basis when the market opened on June 21,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our Annual Report on Form 10-K for the fiscal year ended December 31, 2021, our most critical accounting policies and estimates upon which our financial status depends were identified as those relating to research and development costs; in-process research and development; goodwill; income taxes; and the liability related to the sale of future royalties. We reviewed our policies and determined that those policies were our most critical accounting policies for the six months ended June 30,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and are adopted by us as of the specified effective date. See Note 2 of our Annual Report on Form 10-K for the fiscal year ended December 31, 2021 and Note 2 in our condensed consolidated financial statements appearing elsewhere in this Form 10-Q for a description of recent accounting pronouncements applicable to our financial statements. We believe that the impact of recently issued, but not yet adopted, accounting pronouncements will not have a material impact on the condensed consolidated financial statements or do not apply to our operations.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June 30, 2022. Based on the evaluation of our disclosure controls and procedures as of June 30, 2022, our Chief Executive Officer and Chief Financial Officer concluded that, as of such date, our disclosure controls and procedures were effective at a reasonable assurance level.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during our latest fiscal quarter that would have materially affected, or are reasonably likely to materially affect, our internal control over financial reporting.</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22" w:name="page23"/>
    <w:bookmarkEnd w:id="2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1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14"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2021, as filed with the SEC on March 1, 2022. The risk factors set forth below are risk factors containing changes, which may be material, from the risk factors previously disclosed in Item 1A of our Annual Report on Form 10-K for the fiscal year ended December 31, 2021, as filed with the SEC.</w:t>
      </w:r>
    </w:p>
    <w:p>
      <w:pPr>
        <w:spacing w:after="0" w:line="193"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5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We are a clinical development-stage biopharmaceutical company. In November 2013, we merged with Sonkei Pharmaceuticals, Inc.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 Our recent collaborative revenue was due to the recognition of deferred revenue as a result of opting out of an agreement, and is not a recurring source of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had an accumulated deficit of $353.2 million.</w:t>
      </w:r>
    </w:p>
    <w:p>
      <w:pPr>
        <w:spacing w:after="0" w:line="2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(deficit) equity and working capital.</w:t>
      </w:r>
    </w:p>
    <w:p>
      <w:pPr>
        <w:spacing w:after="0" w:line="1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0" w:right="439" w:bottom="1440" w:gutter="0" w:footer="0" w:header="0"/>
        </w:sectPr>
      </w:pPr>
    </w:p>
    <w:bookmarkStart w:id="23" w:name="page24"/>
    <w:bookmarkEnd w:id="23"/>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Our operations and the historic operations of Sonkei and Mind-NRG have consumed substantial amounts of cash since inception. As of June 30, 2022, we had cash, cash equivalents, and restricted cash of $49.9 million. We believe that our existing cash, cash equivalents, and restricted cash will be sufficient to meet our cash commitments for at least the next 12 months after the date that our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both short and long-term, will depend on many factors, including:</w:t>
      </w:r>
    </w:p>
    <w:p>
      <w:pPr>
        <w:spacing w:after="0" w:line="104" w:lineRule="exact"/>
        <w:rPr>
          <w:sz w:val="20"/>
          <w:szCs w:val="20"/>
          <w:color w:val="auto"/>
        </w:rPr>
      </w:pPr>
    </w:p>
    <w:p>
      <w:pPr>
        <w:ind w:left="1020" w:right="5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40"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67" w:lineRule="exact"/>
        <w:rPr>
          <w:rFonts w:ascii="Times New Roman" w:cs="Times New Roman" w:eastAsia="Times New Roman" w:hAnsi="Times New Roman"/>
          <w:sz w:val="18"/>
          <w:szCs w:val="18"/>
          <w:color w:val="auto"/>
        </w:rPr>
      </w:pPr>
    </w:p>
    <w:p>
      <w:pPr>
        <w:ind w:left="1020" w:right="30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8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and</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6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as a result of the ongoing COVID-19 pandemic, and could be subject to risks from further health pandemics or epidemics, as well as uncertainty regarding returning to work.</w:t>
      </w:r>
    </w:p>
    <w:p>
      <w:pPr>
        <w:spacing w:after="0" w:line="17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including the ongoing COVID-19 pandemic. Beginning in late 2019 and continuing into 2022, the outbreak of COVID-19 has resulted in the declaration of a global pandemic and adversely affected economic activity across virtually all sectors and industries on a local, national, and global scale. While global vaccination efforts are underway and certain jurisdictions, including Massachusetts, where our headquarters are located, have reopened businesses and governmental agencies, we are unable to accurately predict the full impact that COVID-19 will have due to numerous uncertainties, including the duration of the outbreak, the result of vaccination efforts, resurgence of the virus including any new variants, actions that may be taken by governmental authorities, the impact on our business including our clinical programs and timelines, and the impact to the business of our service providers and partners. The magnitude of the negative effects of COVID-19 will depend, in part, on the length and severity of the restrictions and other limitations on our ability to conduct our business in the ordinary course, and our ability to respond with minimal disruptions to the evolving restrictions, reopenings, and any future curtailment. These and similar, and perhaps more severe, disruptions in our operations in response to the ongoing COVID-19 pandemic and any future health pandemics or epidemics could negatively impact our business, operating results and financial condition.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4" w:name="page25"/>
    <w:bookmarkEnd w:id="24"/>
    <w:p>
      <w:pPr>
        <w:ind w:right="40"/>
        <w:spacing w:after="0" w:line="245" w:lineRule="auto"/>
        <w:rPr>
          <w:sz w:val="20"/>
          <w:szCs w:val="20"/>
          <w:color w:val="auto"/>
        </w:rPr>
      </w:pPr>
      <w:r>
        <w:rPr>
          <w:rFonts w:ascii="Times New Roman" w:cs="Times New Roman" w:eastAsia="Times New Roman" w:hAnsi="Times New Roman"/>
          <w:sz w:val="18"/>
          <w:szCs w:val="18"/>
          <w:color w:val="auto"/>
        </w:rPr>
        <w:t>In addition, our clinical trials may be affected by the COVID-19 pandemic. We may face difficulties enrolling or retaining patients in future clinical trials if patients are affected by the COVID-19 virus or are unable to travel to the clinical trial sites or obtain study medication. Our clinical trials may further be delayed due to prioritization of hospital resources toward the COVID-19 pandemic, and some patients may not be able to comply with clinical trial protocols if quarantines impede patient movement or interrupt healthcare services. Similarly, our ability to recruit and retain principal investigators and site staff who, as healthcare providers, may have heightened exposure to the COVID-19 virus, could be delayed or disrupted, which would adversely impact our clinical trial operations. As a result, we could experience delays in the completion of our trials, which could result in a material adverse impact on our clinical trial plans and timelines.</w:t>
      </w:r>
    </w:p>
    <w:p>
      <w:pPr>
        <w:spacing w:after="0" w:line="19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Furthermore, the COVID-19 pandemic has caused a broad negative impact globally on capital markets and economies worldwide, which could have a negative impact on us economically. While the potential economic impact brought by, and the duration of, the COVID-19 pandemic, may be difficult to assess or predict, it is currently resulting in significant disruption of global financial markets. This disruption, if sustained or recurrent, together with rising interest rates, could have a material adverse effect on our operating results, our ability to raise capital needed to develop and commercialize products and our overall financial condition. In addition, a recession or market correction resulting from the spread of the coronavirus could materially affect the value of our common stock.</w:t>
      </w:r>
    </w:p>
    <w:p>
      <w:pPr>
        <w:spacing w:after="0" w:line="18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extent of the impact of the COVID-19 pandemic on our business is uncertain and difficult to predict, as the pandemic continues to rapidly evolve. The ultimate impact of the COVID-19 pandemic or a similar health pandemic or epidemic is highly uncertain and subject to change. We do not yet know the extent of potential delays or impacts on our business, our clinical trials, healthcare systems or the global economy as a whole. These effects could have a material impact on our operations, and we will continue to monitor the COVID-19 pandemic closely.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1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own one Swiss subsidiary, expect to engage in significant cross-border activities, and we will be subject to risks related to international operations, including:</w:t>
      </w:r>
    </w:p>
    <w:p>
      <w:pPr>
        <w:spacing w:after="0" w:line="68" w:lineRule="exact"/>
        <w:rPr>
          <w:sz w:val="20"/>
          <w:szCs w:val="20"/>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maintaining approval of drugs in foreign countries;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contractual and intellectual property rights in certain countries;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in particular foreign economies and markets, such as the instability caused by Russia’s invasion of Ukraine, or public health issues or pandemics, such as the coronavirus;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laws of various jurisdictions, including with respect to intercompany transfer pricing arrangements and taxable nexus;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North America;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tighter restrictions on privacy and the collection and use of patient data; and</w:t>
      </w:r>
    </w:p>
    <w:p>
      <w:pPr>
        <w:spacing w:after="0" w:line="103" w:lineRule="exact"/>
        <w:rPr>
          <w:rFonts w:ascii="Times New Roman" w:cs="Times New Roman" w:eastAsia="Times New Roman" w:hAnsi="Times New Roman"/>
          <w:sz w:val="18"/>
          <w:szCs w:val="18"/>
          <w:color w:val="auto"/>
        </w:rPr>
      </w:pPr>
    </w:p>
    <w:p>
      <w:pPr>
        <w:ind w:left="900" w:right="440" w:hanging="383"/>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political instability, hostilities, war and terrorism, such as the military conflict involving Russia and Ukraine, or natural disasters including pandemics, earthquakes, typhoons, floods and fires.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issues were to occur, our business could be materially harmed.</w:t>
      </w:r>
    </w:p>
    <w:p>
      <w:pPr>
        <w:spacing w:after="0" w:line="20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6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 w:name="page26"/>
    <w:bookmarkEnd w:id="25"/>
    <w:p>
      <w:pPr>
        <w:ind w:right="40"/>
        <w:spacing w:after="0" w:line="246" w:lineRule="auto"/>
        <w:rPr>
          <w:sz w:val="20"/>
          <w:szCs w:val="20"/>
          <w:color w:val="auto"/>
        </w:rPr>
      </w:pPr>
      <w:r>
        <w:rPr>
          <w:rFonts w:ascii="Times New Roman" w:cs="Times New Roman" w:eastAsia="Times New Roman" w:hAnsi="Times New Roman"/>
          <w:sz w:val="18"/>
          <w:szCs w:val="18"/>
          <w:color w:val="auto"/>
        </w:rPr>
        <w:t>and their employees, agents, contractors, and other collaborators from authorizing, promising, offering, or providing, directly or indirectly, improper payments or anything else of value to recipients in the public or private sector. 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79"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7"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6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processing) personal data and other sensitive data, including proprietary and confidential business data, trade secrets, intellectual property, data we collect about trial participants in connection with clinical trials, sensitive third-party data, and employee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7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(e.g. Section 5 of the Federal Trade Commission Act).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In addition, the California Consumer Privacy Act of 2018 (“CCPA”)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maintained about California residents. In addition, the California Privacy Rights Act of 2020 (“CPRA”), effective January 1, 2023, will expand the CCPA’s requirements and establish a new regulatory agency to implement and enforce the law. Other states, such as Virginia, Colorado and Utah, have also passed comprehensive privacy laws, and similar laws are being considered in several other states. These developments may further complicate compliance efforts, and may increase legal risk and compliance costs for us, the third parties upon whom we rely. In addition, data privacy and security laws have been proposed at the federal, state, and local levels in recent years, which could further complicate compliance efforts.</w:t>
      </w:r>
    </w:p>
    <w:p>
      <w:pPr>
        <w:spacing w:after="0" w:line="18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apply to data privacy and security. For example, the European Union’s General Data Protection Regulation (“EU GDPR”), and the United Kingdom’s GDPR (“UK GDPR”) impose strict requirements for processing personal data, and violators of these laws face significant penalties. For example, under the EU GDPR, government regulators may impose temporary or definitive bans on data processing, as well as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18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Certain jurisdictions, such as the EU, Switzerland and the UK, have enacted cross-border personal data transfer laws regulating personal data flows to third countries. In addition to personal data transfer restrictions, other countries (such as Russia and China) have adopted or proposed laws prohibiting certain businesses from transferring data outside those countries, which may increase the cost and complexity of doing business or require us not to conduct business in certain countries. Existing mechanisms that facilitate cross-border personal data transfers may change or be invalidated and may pose additional compliance burdens. For example, absent appropriate safeguards or other circumstances, the EU GDPR generally restricts the transfer of personal data to countries outside of</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 w:name="page27"/>
    <w:bookmarkEnd w:id="26"/>
    <w:p>
      <w:pPr>
        <w:ind w:right="120"/>
        <w:spacing w:after="0" w:line="243" w:lineRule="auto"/>
        <w:rPr>
          <w:sz w:val="20"/>
          <w:szCs w:val="20"/>
          <w:color w:val="auto"/>
        </w:rPr>
      </w:pPr>
      <w:r>
        <w:rPr>
          <w:rFonts w:ascii="Times New Roman" w:cs="Times New Roman" w:eastAsia="Times New Roman" w:hAnsi="Times New Roman"/>
          <w:sz w:val="18"/>
          <w:szCs w:val="18"/>
          <w:color w:val="auto"/>
        </w:rPr>
        <w:t>the European Economic Area (“EEA”) that the European Commission does not consider to provide an adequate level of data privacy and security, such as the United States. The European Commission released a set of “Standard Contractual Clauses” (“SCCs”) that are designed to be a valid mechanism to facilitate personal data transfers out of the EEA to these jurisdictions. Currently, these SCCs are a valid mechanism to transfer personal data outside of the EEA. Additionally, the SCCs impose additional compliance burdens, such as conducting transfer impact assessments to determine whether additional security measures are necessary to protect the at-issue personal data. If we cannot implement a valid personal data transfer mechanism, we may face increased exposure to regulatory actions, substantial fines, and injunctions against processing or transferring personal data, as well as other adverse consequences. In particular we may be unable to import personal data to the United States, which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countries at significant expense.</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data privacy and security laws, we may be contractually subject to data privacy and security obligations, including industry standards adopted by industry groups and may become subject to new data privacy and security obligations in the future. For example, certain privacy laws require our customers to impose specific contractual restrictions on their service providers.</w:t>
      </w:r>
    </w:p>
    <w:p>
      <w:pPr>
        <w:spacing w:after="0" w:line="16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information technologies, systems, and practices and to those of any third parties that process personal data on our behalf.</w:t>
      </w:r>
    </w:p>
    <w:p>
      <w:pPr>
        <w:spacing w:after="0" w:line="19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proceedings against us by governmental entities or others.</w:t>
      </w:r>
    </w:p>
    <w:p>
      <w:pPr>
        <w:spacing w:after="0" w:line="17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77"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6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the ordinary course of our business, we or the third parties upon which we rely, may process proprietary, confidential, and sensitive data, including personal data (such as health-related data), intellectual property, and trade secrets (collectively, sensitive information). We may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and other functions. Our ability to monitor these third parties’ information security practices is limited, and these third parties may not have adequate information security measures in place. We may share or receive sensitive information with or from third parties.</w:t>
      </w:r>
    </w:p>
    <w:p>
      <w:pPr>
        <w:spacing w:after="0" w:line="18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 w:name="page28"/>
    <w:bookmarkEnd w:id="27"/>
    <w:p>
      <w:pPr>
        <w:ind w:right="100"/>
        <w:spacing w:after="0" w:line="250" w:lineRule="auto"/>
        <w:rPr>
          <w:sz w:val="20"/>
          <w:szCs w:val="20"/>
          <w:color w:val="auto"/>
        </w:rPr>
      </w:pPr>
      <w:r>
        <w:rPr>
          <w:rFonts w:ascii="Times New Roman" w:cs="Times New Roman" w:eastAsia="Times New Roman" w:hAnsi="Times New Roman"/>
          <w:sz w:val="18"/>
          <w:szCs w:val="18"/>
          <w:color w:val="auto"/>
        </w:rPr>
        <w:t>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9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 particular,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 Future or past business transactions (such as acquisitions or integrations) could expose us to additional cybersecurity risks and vulnerabilities, as our systems could be negatively affected by vulnerabilities present in acquired or integrated entities’ systems and technologies. The COVID-19 pandemic and our remote workforce also poses increased risks to our information technology systems and data, as more of our employees work from home, utilizing network connections outside our premises.</w:t>
      </w:r>
    </w:p>
    <w:p>
      <w:pPr>
        <w:spacing w:after="0" w:line="20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services.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95"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or those of a third party upon whom we rely, will be effective. For example, an external contractor experienced a cyberattack in 2019, which resulted in a disruption to patient recruitment in our Phase 3 clinical trial of roluperidone.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address vulnerabilities, if any, in our information technology systems, our efforts may not be successful. Further, we may experience delays in developing and deploying remedial measures designed to address any such identified vulnerabilities.</w:t>
      </w:r>
    </w:p>
    <w:p>
      <w:pPr>
        <w:spacing w:after="0" w:line="18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negatively impact our ability to grow and operate our business.</w:t>
      </w:r>
    </w:p>
    <w:p>
      <w:pPr>
        <w:spacing w:after="0" w:line="19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Nasdaq if we fail to comply with continued listing standards.</w:t>
      </w:r>
    </w:p>
    <w:p>
      <w:pPr>
        <w:spacing w:after="0" w:line="21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we fail to meet any of the continued listing standards of Nasdaq, our common stock could be delisted from The Nasdaq Global Market. These continued listing standards include, among other things, a $1.00 minimum closing bid price and shareholders’ equity of $10 million.</w:t>
      </w:r>
    </w:p>
    <w:p>
      <w:pPr>
        <w:spacing w:after="0" w:line="148"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On January 12, 2022, we received a deficiency letter from Nasdaq notifying us that, for the previous 30 consecutive business days, the closing bid price of our shares of common stock has not been maintained at the minimum required closing bid price of at least $1.00 per share, as required for continued listing on the Nasdaq Global Market. In accordance with the listing rules of Nasdaq, we have been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8" w:name="page29"/>
    <w:bookmarkEnd w:id="28"/>
    <w:p>
      <w:pPr>
        <w:ind w:right="60"/>
        <w:spacing w:after="0" w:line="250" w:lineRule="auto"/>
        <w:rPr>
          <w:sz w:val="20"/>
          <w:szCs w:val="20"/>
          <w:color w:val="auto"/>
        </w:rPr>
      </w:pPr>
      <w:r>
        <w:rPr>
          <w:rFonts w:ascii="Times New Roman" w:cs="Times New Roman" w:eastAsia="Times New Roman" w:hAnsi="Times New Roman"/>
          <w:sz w:val="18"/>
          <w:szCs w:val="18"/>
          <w:color w:val="auto"/>
        </w:rPr>
        <w:t>given 180 calendar days, or until July 11, 2022, to regain compliance with the minimum bid price requirement. On June 17, 2022, we implemented a one-for-eight (1-for-8) reverse stock split of our outstanding commons stock in an effort to regain compliance with Nasdaq’s minimum bid price requirement of $1.00 per share. On July 6, 2022, we received a letter from Nasdaq notifying us that the closing bid price of our common stock has been at $1.00 per share or greater for the last 10 consecutive business days and we had regained compliance with Nasdaq Stock Market Rule 5450(a)(1) and this matter is now closed.</w:t>
      </w:r>
    </w:p>
    <w:p>
      <w:pPr>
        <w:spacing w:after="0" w:line="177" w:lineRule="exact"/>
        <w:rPr>
          <w:sz w:val="20"/>
          <w:szCs w:val="20"/>
          <w:color w:val="auto"/>
        </w:rPr>
      </w:pPr>
    </w:p>
    <w:p>
      <w:pPr>
        <w:jc w:val="both"/>
        <w:ind w:right="240"/>
        <w:spacing w:after="0" w:line="247" w:lineRule="auto"/>
        <w:rPr>
          <w:sz w:val="20"/>
          <w:szCs w:val="20"/>
          <w:color w:val="auto"/>
        </w:rPr>
      </w:pPr>
      <w:r>
        <w:rPr>
          <w:rFonts w:ascii="Times New Roman" w:cs="Times New Roman" w:eastAsia="Times New Roman" w:hAnsi="Times New Roman"/>
          <w:sz w:val="18"/>
          <w:szCs w:val="18"/>
          <w:color w:val="auto"/>
        </w:rPr>
        <w:t>On March 8, 2022, we received a second deficiency letter from Nasdaq that our stockholders’ equity as reported in our Annual Report on Form 10-K for the year ended December 31, 2021 does not satisfy the Nasdaq Global Market continued listing requirement of $10 million as set forth in Nasdaq Stock Market Rule 5450(b)(1). We had 45 calendar days from the date of this letter to submit to Nasdaq a plan to regain compliance with such requirement.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later extended the deadline for such submission, and we subsequently submitted our plans to regain compliance on May 2, 2022, May 24, 2022 and May 25, 2022. On June 3, 2022, we received a letter from Nasdaq notifying us that it has determined to grant us an extension until September 5, 2022 to regain compliance with Nasdaq Stock Market Rule 5450(b)(1). If we fail to evidence compliance upon filing of our Quarterly Report on Form 10-Q for the period ending September 30, 2022, our common stock may be subject to delisting, at which time, we will then consider actions appropriate to the circumstances, including applicable appeals to a Nasdaq Hearings Panel.</w:t>
      </w:r>
    </w:p>
    <w:p>
      <w:pPr>
        <w:spacing w:after="0" w:line="187"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able to regain or maintain compliance and remain in compliance in the future. In particular, our share price may continue to decline for a number of reasons, including many that are beyond our control. See the risk factor captioned “The market price of our stock may be volatile, and you could lose all or part of your investment” described in our Annual Report on Form 10-K for the year ended December 31, 2021.</w:t>
      </w:r>
    </w:p>
    <w:p>
      <w:pPr>
        <w:spacing w:after="0" w:line="16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If we fail to comply with the continued listing standards of the Nasdaq Global Market, we may seek to list our common stock on the Nasdaq Capital Market, the NYSE American or on a regional stock exchange or, if one or more broker-dealer market makers comply with applicable requirements, the over-the-counter (“OTC”) market. Listing on such other market or exchange could reduce the liquidity of our common stock. If our common stock were to trade in the OTC market, an investor would find it more difficult to dispose of, or to obtain accurate quotations for the price of, the common stock. Delisting of the common stock could depress our stock price, substantially limit liquidity of our common stock and materially adversely affect our ability to raise capital on terms acceptable to us, or at all. Further, delisting of the common stock would likely result in the common stock becoming a “penny stock” under the Exchange Act.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7"/>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6660" w:type="dxa"/>
            <w:vAlign w:val="bottom"/>
            <w:tcBorders>
              <w:bottom w:val="single" w:sz="8" w:color="auto"/>
            </w:tcBorders>
            <w:gridSpan w:val="12"/>
          </w:tcPr>
          <w:p>
            <w:pPr>
              <w:ind w:left="13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Amended and Restated Certificate of Incorporation of the Registrant (incorporated by reference to Exhibit 3.1 to the Registrant’s</w:t>
              </w:r>
            </w:hyperlink>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32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registration statement on Form S-1/A (File No. 333-195169) filed with the SEC on June 10, 2014</w:t>
              </w:r>
              <w:r>
                <w:rPr>
                  <w:rFonts w:ascii="Times New Roman" w:cs="Times New Roman" w:eastAsia="Times New Roman" w:hAnsi="Times New Roman"/>
                  <w:sz w:val="18"/>
                  <w:szCs w:val="18"/>
                  <w:color w:val="000000"/>
                </w:rPr>
                <w:t>)</w:t>
              </w:r>
            </w:hyperlink>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Amended and Restated Bylaws of the Registrant (incorporated by reference to Exhibit 3.2 to the Registrant’s quarterly report on Form 10-</w:t>
              </w:r>
            </w:hyperlink>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Q (File No. 001-36517) filed with the SEC on November 4, 2019)</w:t>
              </w:r>
            </w:hyperlink>
          </w:p>
        </w:tc>
        <w:tc>
          <w:tcPr>
            <w:tcW w:w="20" w:type="dxa"/>
            <w:vAlign w:val="bottom"/>
            <w:tcBorders>
              <w:top w:val="single" w:sz="8" w:color="0000FF"/>
              <w:bottom w:val="single" w:sz="8" w:color="0000EE"/>
            </w:tcBorders>
          </w:tcPr>
          <w:p>
            <w:pPr>
              <w:spacing w:after="0"/>
              <w:rPr>
                <w:sz w:val="14"/>
                <w:szCs w:val="14"/>
                <w:color w:val="auto"/>
              </w:rPr>
            </w:pPr>
          </w:p>
        </w:tc>
        <w:tc>
          <w:tcPr>
            <w:tcW w:w="5160" w:type="dxa"/>
            <w:vAlign w:val="bottom"/>
            <w:tcBorders>
              <w:top w:val="single" w:sz="8" w:color="0000FF"/>
            </w:tcBorders>
            <w:gridSpan w:val="9"/>
          </w:tcPr>
          <w:p>
            <w:pPr>
              <w:spacing w:after="0"/>
              <w:rPr>
                <w:sz w:val="14"/>
                <w:szCs w:val="14"/>
                <w:color w:val="auto"/>
              </w:rPr>
            </w:pPr>
          </w:p>
        </w:tc>
        <w:tc>
          <w:tcPr>
            <w:tcW w:w="40" w:type="dxa"/>
            <w:vAlign w:val="bottom"/>
          </w:tcPr>
          <w:p>
            <w:pPr>
              <w:spacing w:after="0"/>
              <w:rPr>
                <w:sz w:val="14"/>
                <w:szCs w:val="14"/>
                <w:color w:val="auto"/>
              </w:rPr>
            </w:pPr>
          </w:p>
        </w:tc>
      </w:tr>
      <w:tr>
        <w:trPr>
          <w:trHeight w:val="3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Certificate of Amendment to Amended and Restated Certificate of Incorporation of Minerva Neurosciences, Inc., effective June 17, 2022</w:t>
              </w:r>
            </w:hyperlink>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9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(incorporated by reference to Exhibit 3.1 to the Registration’s current report on Form 8-K (File No. 001-36517) filed with the SEC on</w:t>
              </w:r>
            </w:hyperlink>
          </w:p>
        </w:tc>
        <w:tc>
          <w:tcPr>
            <w:tcW w:w="60" w:type="dxa"/>
            <w:vAlign w:val="bottom"/>
            <w:gridSpan w:val="2"/>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6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June 17, 2022).</w:t>
              </w:r>
            </w:hyperlink>
          </w:p>
        </w:tc>
        <w:tc>
          <w:tcPr>
            <w:tcW w:w="18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60" w:type="dxa"/>
            <w:vAlign w:val="bottom"/>
          </w:tcPr>
          <w:p>
            <w:pPr>
              <w:spacing w:after="0"/>
              <w:rPr>
                <w:sz w:val="24"/>
                <w:szCs w:val="24"/>
                <w:color w:val="auto"/>
              </w:rPr>
            </w:pPr>
          </w:p>
        </w:tc>
        <w:tc>
          <w:tcPr>
            <w:tcW w:w="9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(Principal Executive Officer) pursuant to Section 302 of Sarbanes-Oxley Act of 2002</w:t>
            </w:r>
          </w:p>
        </w:tc>
        <w:tc>
          <w:tcPr>
            <w:tcW w:w="920" w:type="dxa"/>
            <w:vAlign w:val="bottom"/>
            <w:gridSpan w:val="6"/>
          </w:tcPr>
          <w:p>
            <w:pPr>
              <w:spacing w:after="0"/>
              <w:rPr>
                <w:sz w:val="24"/>
                <w:szCs w:val="24"/>
                <w:color w:val="auto"/>
              </w:rPr>
            </w:pPr>
          </w:p>
        </w:tc>
      </w:tr>
      <w:tr>
        <w:trPr>
          <w:trHeight w:val="3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60" w:type="dxa"/>
            <w:vAlign w:val="bottom"/>
          </w:tcPr>
          <w:p>
            <w:pPr>
              <w:spacing w:after="0"/>
              <w:rPr>
                <w:sz w:val="24"/>
                <w:szCs w:val="24"/>
                <w:color w:val="auto"/>
              </w:rPr>
            </w:pPr>
          </w:p>
        </w:tc>
        <w:tc>
          <w:tcPr>
            <w:tcW w:w="8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(Principal Financial Officer) pursuant to Section 302 of Sarbanes-Oxley Act of 2002</w:t>
            </w:r>
          </w:p>
        </w:tc>
        <w:tc>
          <w:tcPr>
            <w:tcW w:w="20" w:type="dxa"/>
            <w:vAlign w:val="bottom"/>
            <w:tcBorders>
              <w:bottom w:val="single" w:sz="8" w:color="0000EE"/>
            </w:tcBorders>
          </w:tcPr>
          <w:p>
            <w:pPr>
              <w:spacing w:after="0"/>
              <w:rPr>
                <w:sz w:val="24"/>
                <w:szCs w:val="24"/>
                <w:color w:val="auto"/>
              </w:rPr>
            </w:pPr>
          </w:p>
        </w:tc>
        <w:tc>
          <w:tcPr>
            <w:tcW w:w="1000" w:type="dxa"/>
            <w:vAlign w:val="bottom"/>
            <w:gridSpan w:val="7"/>
          </w:tcPr>
          <w:p>
            <w:pPr>
              <w:spacing w:after="0"/>
              <w:rPr>
                <w:sz w:val="24"/>
                <w:szCs w:val="24"/>
                <w:color w:val="auto"/>
              </w:rPr>
            </w:pPr>
          </w:p>
        </w:tc>
      </w:tr>
      <w:tr>
        <w:trPr>
          <w:trHeight w:val="3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32.1</w:t>
            </w:r>
            <w:r>
              <w:rPr>
                <w:rFonts w:ascii="Times New Roman" w:cs="Times New Roman" w:eastAsia="Times New Roman" w:hAnsi="Times New Roman"/>
                <w:sz w:val="24"/>
                <w:szCs w:val="24"/>
                <w:color w:val="auto"/>
                <w:w w:val="93"/>
                <w:vertAlign w:val="superscript"/>
              </w:rPr>
              <w:t>+</w:t>
            </w:r>
          </w:p>
        </w:tc>
        <w:tc>
          <w:tcPr>
            <w:tcW w:w="1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(Principal Executive Officer) and Chief Financial Officer (Principal Financial Officer) pursuant</w:t>
            </w:r>
          </w:p>
        </w:tc>
      </w:tr>
      <w:tr>
        <w:trPr>
          <w:trHeight w:val="169"/>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4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to Section 906 of Sarbanes-Oxley Act of 2002</w:t>
            </w:r>
          </w:p>
        </w:tc>
        <w:tc>
          <w:tcPr>
            <w:tcW w:w="140" w:type="dxa"/>
            <w:vAlign w:val="bottom"/>
            <w:gridSpan w:val="3"/>
          </w:tcPr>
          <w:p>
            <w:pPr>
              <w:spacing w:after="0"/>
              <w:rPr>
                <w:sz w:val="14"/>
                <w:szCs w:val="14"/>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60" w:type="dxa"/>
            <w:vAlign w:val="bottom"/>
          </w:tcPr>
          <w:p>
            <w:pPr>
              <w:spacing w:after="0"/>
              <w:rPr>
                <w:sz w:val="24"/>
                <w:szCs w:val="24"/>
                <w:color w:val="auto"/>
              </w:rPr>
            </w:pPr>
          </w:p>
        </w:tc>
        <w:tc>
          <w:tcPr>
            <w:tcW w:w="33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660" w:type="dxa"/>
            <w:vAlign w:val="bottom"/>
            <w:gridSpan w:val="12"/>
          </w:tcPr>
          <w:p>
            <w:pPr>
              <w:spacing w:after="0"/>
              <w:rPr>
                <w:sz w:val="24"/>
                <w:szCs w:val="24"/>
                <w:color w:val="auto"/>
              </w:rPr>
            </w:pPr>
          </w:p>
        </w:tc>
      </w:tr>
      <w:tr>
        <w:trPr>
          <w:trHeight w:val="35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5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1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5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5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1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5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17" w:lineRule="exact"/>
        <w:rPr>
          <w:sz w:val="20"/>
          <w:szCs w:val="20"/>
          <w:color w:val="auto"/>
        </w:rPr>
      </w:pPr>
    </w:p>
    <w:p>
      <w:pPr>
        <w:ind w:left="1160" w:hanging="788"/>
        <w:spacing w:after="0"/>
        <w:tabs>
          <w:tab w:leader="none" w:pos="1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25" w:lineRule="exact"/>
        <w:rPr>
          <w:rFonts w:ascii="Times New Roman" w:cs="Times New Roman" w:eastAsia="Times New Roman" w:hAnsi="Times New Roman"/>
          <w:sz w:val="18"/>
          <w:szCs w:val="18"/>
          <w:color w:val="auto"/>
        </w:rPr>
      </w:pPr>
    </w:p>
    <w:p>
      <w:pPr>
        <w:ind w:right="120" w:firstLine="8"/>
        <w:spacing w:after="0" w:line="258" w:lineRule="auto"/>
        <w:tabs>
          <w:tab w:leader="none" w:pos="1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0" w:right="439" w:bottom="1440" w:gutter="0" w:footer="0" w:header="0"/>
        </w:sectPr>
      </w:pPr>
    </w:p>
    <w:bookmarkStart w:id="30" w:name="page31"/>
    <w:bookmarkEnd w:id="30"/>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26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5715</wp:posOffset>
            </wp:positionV>
            <wp:extent cx="29229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826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Chief Financial Officer</w:t>
      </w:r>
    </w:p>
    <w:p>
      <w:pPr>
        <w:ind w:left="7920"/>
        <w:spacing w:after="0" w:line="219" w:lineRule="auto"/>
        <w:rPr>
          <w:sz w:val="20"/>
          <w:szCs w:val="20"/>
          <w:color w:val="auto"/>
        </w:rPr>
      </w:pPr>
      <w:r>
        <w:rPr>
          <w:rFonts w:ascii="Times New Roman" w:cs="Times New Roman" w:eastAsia="Times New Roman" w:hAnsi="Times New Roman"/>
          <w:sz w:val="18"/>
          <w:szCs w:val="18"/>
          <w:color w:val="auto"/>
        </w:rPr>
        <w:t>(Principal Financial Officer)</w:t>
      </w:r>
    </w:p>
    <w:p>
      <w:pPr>
        <w:ind w:left="790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20" w:right="5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Remy Luthringer, certify that:</w:t>
      </w:r>
    </w:p>
    <w:p>
      <w:pPr>
        <w:spacing w:after="0" w:line="104"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802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Remy Luthringer Ph.D.</w:t>
      </w:r>
    </w:p>
    <w:p>
      <w:pPr>
        <w:spacing w:after="0" w:line="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Executive Chairman and</w:t>
      </w:r>
    </w:p>
    <w:p>
      <w:pPr>
        <w:jc w:val="center"/>
        <w:ind w:left="674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jc w:val="cente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Frederick Ahlholm, certify that:</w:t>
      </w:r>
    </w:p>
    <w:p>
      <w:pPr>
        <w:spacing w:after="0" w:line="104"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81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6"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Chief Financial Officer</w:t>
      </w:r>
    </w:p>
    <w:p>
      <w:pPr>
        <w:ind w:left="79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Remy Luthringer, Executive Chairman and Chief Executive Officer (Principal Executive Officer) of Minerva Neurosciences, Inc. (the “Company”) and Frederick Ahlholm, Chief Financial Officer (Principal Financial Officer) of the Company, each hereby certifies that, to the best of his knowledge:</w:t>
      </w:r>
    </w:p>
    <w:p>
      <w:pPr>
        <w:spacing w:after="0" w:line="69" w:lineRule="exact"/>
        <w:rPr>
          <w:sz w:val="20"/>
          <w:szCs w:val="20"/>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2022, to which this Certification is attached as Exhibit 32.1 (the “Quarterly Report”) fully complies with the requirements of Section 13(a) or Section 15(d) of the Exchange Act; and</w:t>
      </w:r>
    </w:p>
    <w:p>
      <w:pPr>
        <w:spacing w:after="0" w:line="40"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8890</wp:posOffset>
            </wp:positionV>
            <wp:extent cx="28289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7"/>
          <w:szCs w:val="17"/>
          <w:color w:val="auto"/>
        </w:rPr>
        <w:t>Remy Luthringer, Ph.D.</w:t>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Chairman and</w:t>
      </w: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8890</wp:posOffset>
            </wp:positionV>
            <wp:extent cx="28289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7"/>
          <w:szCs w:val="17"/>
          <w:color w:val="auto"/>
        </w:rPr>
        <w:t>Frederick Ahlholm</w:t>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2"/>
      <w:numFmt w:val="decimal"/>
      <w:start w:val="10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34" Type="http://schemas.openxmlformats.org/officeDocument/2006/relationships/hyperlink" Target="https://www.sec.gov/Archives/edgar/data/0001598646/000104746914005459/a2219972zex-3_1.htm" TargetMode="External"/><Relationship Id="rId135" Type="http://schemas.openxmlformats.org/officeDocument/2006/relationships/hyperlink" Target="https://www.sec.gov/Archives/edgar/data/0001598646/000156459019039496/nerv-ex32_112.htm" TargetMode="External"/><Relationship Id="rId136" Type="http://schemas.openxmlformats.org/officeDocument/2006/relationships/hyperlink" Target="https://www.sec.gov/Archives/edgar/data/1598646/000119312522176540/d31407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2022-08-09T06:34:50Z</dcterms:created>
  <dcterms:modified xsi:type="dcterms:W3CDTF">2022-08-09T06:34:50Z</dcterms:modified>
</cp:coreProperties>
</file>