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ind w:left="500" w:right="100" w:hanging="492"/>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00" w:right="8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Minerva Neurosciences,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438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61"/>
              <w:spacing w:after="0"/>
              <w:rPr>
                <w:sz w:val="20"/>
                <w:szCs w:val="20"/>
                <w:color w:val="auto"/>
              </w:rPr>
            </w:pPr>
            <w:r>
              <w:rPr>
                <w:rFonts w:ascii="Arial" w:cs="Arial" w:eastAsia="Arial" w:hAnsi="Arial"/>
                <w:sz w:val="18"/>
                <w:szCs w:val="18"/>
                <w:b w:val="1"/>
                <w:bCs w:val="1"/>
                <w:color w:val="auto"/>
              </w:rPr>
              <w:t>26-0784194</w:t>
            </w:r>
          </w:p>
        </w:tc>
      </w:tr>
      <w:tr>
        <w:trPr>
          <w:trHeight w:val="148"/>
        </w:trPr>
        <w:tc>
          <w:tcPr>
            <w:tcW w:w="438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80" w:type="dxa"/>
            <w:vAlign w:val="bottom"/>
          </w:tcPr>
          <w:p>
            <w:pPr>
              <w:jc w:val="center"/>
              <w:ind w:left="18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80" w:type="dxa"/>
            <w:vAlign w:val="bottom"/>
          </w:tcPr>
          <w:p>
            <w:pPr>
              <w:jc w:val="center"/>
              <w:ind w:right="1859"/>
              <w:spacing w:after="0"/>
              <w:rPr>
                <w:sz w:val="20"/>
                <w:szCs w:val="20"/>
                <w:color w:val="auto"/>
              </w:rPr>
            </w:pPr>
            <w:r>
              <w:rPr>
                <w:rFonts w:ascii="Arial" w:cs="Arial" w:eastAsia="Arial" w:hAnsi="Arial"/>
                <w:sz w:val="14"/>
                <w:szCs w:val="14"/>
                <w:b w:val="1"/>
                <w:bCs w:val="1"/>
                <w:color w:val="auto"/>
                <w:w w:val="94"/>
              </w:rPr>
              <w:t>Incorporation or Organization)</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380" w:type="dxa"/>
            <w:vAlign w:val="bottom"/>
          </w:tcPr>
          <w:p>
            <w:pPr>
              <w:jc w:val="center"/>
              <w:ind w:right="1859"/>
              <w:spacing w:after="0"/>
              <w:rPr>
                <w:sz w:val="20"/>
                <w:szCs w:val="20"/>
                <w:color w:val="auto"/>
              </w:rPr>
            </w:pPr>
            <w:r>
              <w:rPr>
                <w:rFonts w:ascii="Arial" w:cs="Arial" w:eastAsia="Arial" w:hAnsi="Arial"/>
                <w:sz w:val="18"/>
                <w:szCs w:val="18"/>
                <w:b w:val="1"/>
                <w:bCs w:val="1"/>
                <w:color w:val="auto"/>
                <w:w w:val="89"/>
              </w:rPr>
              <w:t>1601 Trapelo Road, Suite 286</w:t>
            </w:r>
          </w:p>
        </w:tc>
        <w:tc>
          <w:tcPr>
            <w:tcW w:w="3080" w:type="dxa"/>
            <w:vAlign w:val="bottom"/>
          </w:tcPr>
          <w:p>
            <w:pPr>
              <w:spacing w:after="0"/>
              <w:rPr>
                <w:sz w:val="24"/>
                <w:szCs w:val="24"/>
                <w:color w:val="auto"/>
              </w:rPr>
            </w:pPr>
          </w:p>
        </w:tc>
      </w:tr>
      <w:tr>
        <w:trPr>
          <w:trHeight w:val="212"/>
        </w:trPr>
        <w:tc>
          <w:tcPr>
            <w:tcW w:w="4380" w:type="dxa"/>
            <w:vAlign w:val="bottom"/>
          </w:tcPr>
          <w:p>
            <w:pPr>
              <w:jc w:val="center"/>
              <w:ind w:right="1839"/>
              <w:spacing w:after="0"/>
              <w:rPr>
                <w:sz w:val="20"/>
                <w:szCs w:val="20"/>
                <w:color w:val="auto"/>
              </w:rPr>
            </w:pPr>
            <w:r>
              <w:rPr>
                <w:rFonts w:ascii="Arial" w:cs="Arial" w:eastAsia="Arial" w:hAnsi="Arial"/>
                <w:sz w:val="18"/>
                <w:szCs w:val="18"/>
                <w:b w:val="1"/>
                <w:bCs w:val="1"/>
                <w:color w:val="auto"/>
                <w:w w:val="97"/>
              </w:rPr>
              <w:t>Waltham, MA</w:t>
            </w:r>
          </w:p>
        </w:tc>
        <w:tc>
          <w:tcPr>
            <w:tcW w:w="308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4380" w:type="dxa"/>
            <w:vAlign w:val="bottom"/>
          </w:tcPr>
          <w:p>
            <w:pPr>
              <w:jc w:val="center"/>
              <w:ind w:right="18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(617) 600-7373</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109220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6" w:lineRule="exact"/>
        <w:rPr>
          <w:sz w:val="24"/>
          <w:szCs w:val="24"/>
          <w:color w:val="auto"/>
        </w:rPr>
      </w:pPr>
    </w:p>
    <w:tbl>
      <w:tblPr>
        <w:tblLayout w:type="fixed"/>
        <w:tblInd w:w="590" w:type="dxa"/>
        <w:tblCellMar>
          <w:top w:w="0" w:type="dxa"/>
          <w:left w:w="0" w:type="dxa"/>
          <w:bottom w:w="0" w:type="dxa"/>
          <w:right w:w="0" w:type="dxa"/>
        </w:tblCellMar>
      </w:tblPr>
      <w:tr>
        <w:trPr>
          <w:trHeight w:val="155"/>
        </w:trPr>
        <w:tc>
          <w:tcPr>
            <w:tcW w:w="3880" w:type="dxa"/>
            <w:vAlign w:val="bottom"/>
            <w:tcBorders>
              <w:top w:val="single" w:sz="8" w:color="auto"/>
              <w:left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Title of each class</w:t>
            </w:r>
          </w:p>
        </w:tc>
        <w:tc>
          <w:tcPr>
            <w:tcW w:w="2380" w:type="dxa"/>
            <w:vAlign w:val="bottom"/>
            <w:tcBorders>
              <w:top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Trading Symbol(s)</w:t>
            </w:r>
          </w:p>
        </w:tc>
        <w:tc>
          <w:tcPr>
            <w:tcW w:w="3840" w:type="dxa"/>
            <w:vAlign w:val="bottom"/>
            <w:tcBorders>
              <w:top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Name of each exchange on which registered</w:t>
            </w:r>
          </w:p>
        </w:tc>
      </w:tr>
      <w:tr>
        <w:trPr>
          <w:trHeight w:val="155"/>
        </w:trPr>
        <w:tc>
          <w:tcPr>
            <w:tcW w:w="388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1"/>
              </w:rPr>
              <w:t>Common Stock, $0.0001 par value per share</w:t>
            </w:r>
          </w:p>
        </w:tc>
        <w:tc>
          <w:tcPr>
            <w:tcW w:w="23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NERV</w:t>
            </w:r>
          </w:p>
        </w:tc>
        <w:tc>
          <w:tcPr>
            <w:tcW w:w="38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The Nasdaq Global Market</w:t>
            </w:r>
          </w:p>
        </w:tc>
      </w:tr>
    </w:tbl>
    <w:p>
      <w:pPr>
        <w:spacing w:after="0" w:line="89"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right="3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584" w:right="439" w:bottom="1440" w:gutter="0" w:footer="0" w:header="0"/>
        </w:sectPr>
      </w:pP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33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6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ind w:left="320"/>
              <w:spacing w:after="0"/>
              <w:rPr>
                <w:sz w:val="20"/>
                <w:szCs w:val="20"/>
                <w:color w:val="auto"/>
              </w:rPr>
            </w:pPr>
            <w:r>
              <w:rPr>
                <w:rFonts w:ascii="Arial" w:cs="Arial" w:eastAsia="Arial" w:hAnsi="Arial"/>
                <w:sz w:val="14"/>
                <w:szCs w:val="14"/>
                <w:color w:val="auto"/>
              </w:rPr>
              <w:t>Accelerated filer</w:t>
            </w:r>
          </w:p>
        </w:tc>
      </w:tr>
      <w:tr>
        <w:trPr>
          <w:trHeight w:val="297"/>
        </w:trPr>
        <w:tc>
          <w:tcPr>
            <w:tcW w:w="3300" w:type="dxa"/>
            <w:vAlign w:val="bottom"/>
          </w:tcPr>
          <w:p>
            <w:pPr>
              <w:spacing w:after="0"/>
              <w:rPr>
                <w:sz w:val="20"/>
                <w:szCs w:val="20"/>
                <w:color w:val="auto"/>
              </w:rPr>
            </w:pPr>
            <w:r>
              <w:rPr>
                <w:rFonts w:ascii="Arial" w:cs="Arial" w:eastAsia="Arial" w:hAnsi="Arial"/>
                <w:sz w:val="14"/>
                <w:szCs w:val="14"/>
                <w:color w:val="auto"/>
              </w:rPr>
              <w:t>Non-accelerated filer</w:t>
            </w:r>
          </w:p>
        </w:tc>
        <w:tc>
          <w:tcPr>
            <w:tcW w:w="216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ind w:left="320"/>
              <w:spacing w:after="0"/>
              <w:rPr>
                <w:sz w:val="20"/>
                <w:szCs w:val="20"/>
                <w:color w:val="auto"/>
              </w:rPr>
            </w:pPr>
            <w:r>
              <w:rPr>
                <w:rFonts w:ascii="Arial" w:cs="Arial" w:eastAsia="Arial" w:hAnsi="Arial"/>
                <w:sz w:val="14"/>
                <w:szCs w:val="14"/>
                <w:color w:val="auto"/>
                <w:w w:val="93"/>
              </w:rPr>
              <w:t>Smaller reporting company</w:t>
            </w:r>
          </w:p>
        </w:tc>
      </w:tr>
      <w:tr>
        <w:trPr>
          <w:trHeight w:val="297"/>
        </w:trPr>
        <w:tc>
          <w:tcPr>
            <w:tcW w:w="33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16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spacing w:after="0"/>
              <w:rPr>
                <w:sz w:val="24"/>
                <w:szCs w:val="24"/>
                <w:color w:val="auto"/>
              </w:rPr>
            </w:pPr>
          </w:p>
        </w:tc>
      </w:tr>
    </w:tbl>
    <w:p>
      <w:pPr>
        <w:spacing w:after="0" w:line="11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61" w:lineRule="exact"/>
        <w:tabs>
          <w:tab w:leader="none" w:pos="6060" w:val="left"/>
          <w:tab w:leader="none" w:pos="6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$0.0001 par value per share, outstanding as of July 28, 2021 was 42,721,566.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80" w:space="120"/>
            <w:col w:w="340"/>
          </w:cols>
          <w:pgMar w:left="320" w:top="584" w:right="4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spacing w:after="0"/>
              <w:rPr>
                <w:sz w:val="14"/>
                <w:szCs w:val="14"/>
                <w:color w:val="auto"/>
              </w:rPr>
            </w:pPr>
          </w:p>
        </w:tc>
        <w:tc>
          <w:tcPr>
            <w:tcW w:w="2560" w:type="dxa"/>
            <w:vAlign w:val="bottom"/>
            <w:gridSpan w:val="6"/>
            <w:vMerge w:val="restart"/>
          </w:tcPr>
          <w:p>
            <w:pPr>
              <w:jc w:val="center"/>
              <w:spacing w:after="0"/>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 — Financial Information</w:t>
              </w:r>
            </w:hyperlink>
          </w:p>
        </w:tc>
        <w:tc>
          <w:tcPr>
            <w:tcW w:w="3480" w:type="dxa"/>
            <w:vAlign w:val="bottom"/>
            <w:gridSpan w:val="6"/>
            <w:vMerge w:val="restart"/>
          </w:tcPr>
          <w:p>
            <w:pPr>
              <w:spacing w:after="0"/>
              <w:rPr>
                <w:sz w:val="14"/>
                <w:szCs w:val="14"/>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560" w:type="dxa"/>
            <w:vAlign w:val="bottom"/>
            <w:tcBorders>
              <w:bottom w:val="single" w:sz="8" w:color="0000EE"/>
            </w:tcBorders>
            <w:gridSpan w:val="6"/>
            <w:vMerge w:val="continue"/>
          </w:tcPr>
          <w:p>
            <w:pPr>
              <w:spacing w:after="0"/>
              <w:rPr>
                <w:sz w:val="14"/>
                <w:szCs w:val="14"/>
                <w:color w:val="auto"/>
              </w:rPr>
            </w:pPr>
          </w:p>
        </w:tc>
        <w:tc>
          <w:tcPr>
            <w:tcW w:w="3480" w:type="dxa"/>
            <w:vAlign w:val="bottom"/>
            <w:gridSpan w:val="6"/>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698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2021 and December 31, 2020</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9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for the three and six months ended June 30, 2021 and 2020</w:t>
              </w:r>
            </w:hyperlink>
          </w:p>
        </w:tc>
        <w:tc>
          <w:tcPr>
            <w:tcW w:w="146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2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 for the six months ended June 30, 2021 and 2020</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980" w:type="dxa"/>
            <w:vAlign w:val="bottom"/>
            <w:tcBorders>
              <w:top w:val="single" w:sz="8" w:color="0000EE"/>
            </w:tcBorders>
            <w:gridSpan w:val="19"/>
          </w:tcPr>
          <w:p>
            <w:pPr>
              <w:spacing w:after="0" w:line="19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Cash Flows for the six months ended June 30, 2021 and 2020</w:t>
              </w:r>
            </w:hyperlink>
          </w:p>
        </w:tc>
        <w:tc>
          <w:tcPr>
            <w:tcW w:w="14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12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420" w:type="dxa"/>
            <w:vAlign w:val="bottom"/>
            <w:gridSpan w:val="2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5"/>
          </w:tcPr>
          <w:p>
            <w:pPr>
              <w:spacing w:after="0"/>
              <w:rPr>
                <w:sz w:val="17"/>
                <w:szCs w:val="17"/>
                <w:color w:val="auto"/>
              </w:rPr>
            </w:pPr>
          </w:p>
        </w:tc>
        <w:tc>
          <w:tcPr>
            <w:tcW w:w="296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420" w:type="dxa"/>
            <w:vAlign w:val="bottom"/>
            <w:gridSpan w:val="2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40" w:type="dxa"/>
            <w:vAlign w:val="bottom"/>
            <w:gridSpan w:val="12"/>
          </w:tcPr>
          <w:p>
            <w:pPr>
              <w:jc w:val="center"/>
              <w:ind w:right="3480"/>
              <w:spacing w:after="0"/>
              <w:rPr>
                <w:rFonts w:ascii="Arial" w:cs="Arial" w:eastAsia="Arial" w:hAnsi="Arial"/>
                <w:sz w:val="18"/>
                <w:szCs w:val="18"/>
                <w:b w:val="1"/>
                <w:bCs w:val="1"/>
                <w:color w:val="0000EE"/>
                <w:w w:val="96"/>
              </w:rPr>
            </w:pPr>
            <w:hyperlink w:anchor="page27">
              <w:r>
                <w:rPr>
                  <w:rFonts w:ascii="Arial" w:cs="Arial" w:eastAsia="Arial" w:hAnsi="Arial"/>
                  <w:sz w:val="18"/>
                  <w:szCs w:val="18"/>
                  <w:b w:val="1"/>
                  <w:bCs w:val="1"/>
                  <w:color w:val="0000EE"/>
                  <w:w w:val="96"/>
                </w:rPr>
                <w:t>PART II — Other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80" w:type="dxa"/>
            <w:vAlign w:val="bottom"/>
            <w:gridSpan w:val="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2360" w:type="dxa"/>
            <w:vAlign w:val="bottom"/>
            <w:tcBorders>
              <w:top w:val="single" w:sz="8" w:color="0000EE"/>
            </w:tcBorders>
            <w:gridSpan w:val="4"/>
          </w:tcPr>
          <w:p>
            <w:pPr>
              <w:spacing w:after="0"/>
              <w:rPr>
                <w:sz w:val="24"/>
                <w:szCs w:val="24"/>
                <w:color w:val="auto"/>
              </w:rPr>
            </w:pPr>
          </w:p>
        </w:tc>
        <w:tc>
          <w:tcPr>
            <w:tcW w:w="358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808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Unregistered Sales of Equity Securities and Use of Proceeds</w:t>
              </w:r>
            </w:hyperlink>
          </w:p>
        </w:tc>
        <w:tc>
          <w:tcPr>
            <w:tcW w:w="5060" w:type="dxa"/>
            <w:vAlign w:val="bottom"/>
            <w:gridSpan w:val="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Defaults Upon Senior Securities</w:t>
              </w:r>
            </w:hyperlink>
          </w:p>
        </w:tc>
        <w:tc>
          <w:tcPr>
            <w:tcW w:w="7080" w:type="dxa"/>
            <w:vAlign w:val="bottom"/>
            <w:gridSpan w:val="1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Mine Safety Disclosures</w:t>
              </w:r>
            </w:hyperlink>
          </w:p>
        </w:tc>
        <w:tc>
          <w:tcPr>
            <w:tcW w:w="764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942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810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SIGNATURES</w:t>
              </w:r>
            </w:hyperlink>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ind w:right="420"/>
        <w:spacing w:after="0" w:line="277" w:lineRule="auto"/>
        <w:rPr>
          <w:sz w:val="20"/>
          <w:szCs w:val="20"/>
          <w:color w:val="auto"/>
        </w:rPr>
      </w:pPr>
      <w:r>
        <w:rPr>
          <w:rFonts w:ascii="Arial" w:cs="Arial" w:eastAsia="Arial" w:hAnsi="Arial"/>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 and in our Annual Report on Form 10-K for the year ended December 31, 2020 under Part I, Item IA, “Risk Factors.”</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and service marks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7"/>
                <w:szCs w:val="17"/>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6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7680" w:type="dxa"/>
            <w:vAlign w:val="bottom"/>
            <w:shd w:val="clear" w:color="auto" w:fill="CFF0FC"/>
          </w:tcPr>
          <w:p>
            <w:pPr>
              <w:ind w:left="360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74,214,767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25,356,952</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910,577</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1,983,264</w:t>
            </w:r>
          </w:p>
        </w:tc>
        <w:tc>
          <w:tcPr>
            <w:tcW w:w="120" w:type="dxa"/>
            <w:vAlign w:val="bottom"/>
            <w:shd w:val="clear" w:color="auto" w:fill="CFF0FC"/>
          </w:tcPr>
          <w:p>
            <w:pPr>
              <w:spacing w:after="0"/>
              <w:rPr>
                <w:sz w:val="19"/>
                <w:szCs w:val="19"/>
                <w:color w:val="auto"/>
              </w:rPr>
            </w:pPr>
          </w:p>
        </w:tc>
      </w:tr>
      <w:tr>
        <w:trPr>
          <w:trHeight w:val="223"/>
        </w:trPr>
        <w:tc>
          <w:tcPr>
            <w:tcW w:w="76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75,225,344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27,440,216</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14,808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14,808</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101,786</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15,200,000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15,200,000</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120" w:type="dxa"/>
            <w:vAlign w:val="bottom"/>
            <w:shd w:val="clear" w:color="auto" w:fill="CFF0FC"/>
          </w:tcPr>
          <w:p>
            <w:pPr>
              <w:spacing w:after="0"/>
              <w:rPr>
                <w:sz w:val="19"/>
                <w:szCs w:val="19"/>
                <w:color w:val="auto"/>
              </w:rPr>
            </w:pPr>
          </w:p>
        </w:tc>
      </w:tr>
      <w:tr>
        <w:trPr>
          <w:trHeight w:val="263"/>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105,324,490</w:t>
            </w:r>
          </w:p>
        </w:tc>
        <w:tc>
          <w:tcPr>
            <w:tcW w:w="3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57,626,209</w:t>
            </w:r>
          </w:p>
        </w:tc>
        <w:tc>
          <w:tcPr>
            <w:tcW w:w="120" w:type="dxa"/>
            <w:vAlign w:val="bottom"/>
            <w:tcBorders>
              <w:bottom w:val="single" w:sz="8" w:color="CFF0FC"/>
            </w:tcBorders>
          </w:tcPr>
          <w:p>
            <w:pPr>
              <w:spacing w:after="0"/>
              <w:rPr>
                <w:sz w:val="22"/>
                <w:szCs w:val="22"/>
                <w:color w:val="auto"/>
              </w:rPr>
            </w:pPr>
          </w:p>
        </w:tc>
      </w:tr>
      <w:tr>
        <w:trPr>
          <w:trHeight w:val="210"/>
        </w:trPr>
        <w:tc>
          <w:tcPr>
            <w:tcW w:w="7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80" w:type="dxa"/>
            <w:vAlign w:val="bottom"/>
          </w:tcPr>
          <w:p>
            <w:pPr>
              <w:ind w:left="24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1,593,697</w:t>
            </w:r>
          </w:p>
        </w:tc>
        <w:tc>
          <w:tcPr>
            <w:tcW w:w="3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995,614</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2,834,425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2,053,409</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16,288</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111,229</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4,444,410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3,160,252</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Deferred taxes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1,803,356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1,803,356</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Liability related to the sale of future royalties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62,907,895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69,155,661</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4,963,608</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680" w:type="dxa"/>
            <w:vAlign w:val="bottom"/>
          </w:tcPr>
          <w:p>
            <w:pPr>
              <w:ind w:left="260"/>
              <w:spacing w:after="0"/>
              <w:rPr>
                <w:sz w:val="20"/>
                <w:szCs w:val="20"/>
                <w:color w:val="auto"/>
              </w:rPr>
            </w:pPr>
            <w:r>
              <w:rPr>
                <w:rFonts w:ascii="Arial" w:cs="Arial" w:eastAsia="Arial" w:hAnsi="Arial"/>
                <w:sz w:val="18"/>
                <w:szCs w:val="18"/>
                <w:color w:val="auto"/>
              </w:rPr>
              <w:t>Preferred stock; $0.0001 par value; 100,000,000 shares authorized; none issued</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80" w:type="dxa"/>
            <w:vAlign w:val="bottom"/>
          </w:tcPr>
          <w:p>
            <w:pPr>
              <w:ind w:left="380"/>
              <w:spacing w:after="0"/>
              <w:rPr>
                <w:sz w:val="20"/>
                <w:szCs w:val="20"/>
                <w:color w:val="auto"/>
              </w:rPr>
            </w:pPr>
            <w:r>
              <w:rPr>
                <w:rFonts w:ascii="Arial" w:cs="Arial" w:eastAsia="Arial" w:hAnsi="Arial"/>
                <w:sz w:val="18"/>
                <w:szCs w:val="18"/>
                <w:color w:val="auto"/>
              </w:rPr>
              <w:t>or outstanding as of June 30, 2021 and December 31, 2020, respectively</w:t>
            </w:r>
          </w:p>
        </w:tc>
        <w:tc>
          <w:tcPr>
            <w:tcW w:w="30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Common stock; $0.0001 par value; 125,000,000 shares authorized; 42,721,566 shares issued and</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as of June 30, 2021 and December 31, 2020</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w:t>
            </w:r>
          </w:p>
        </w:tc>
        <w:tc>
          <w:tcPr>
            <w:tcW w:w="120" w:type="dxa"/>
            <w:vAlign w:val="bottom"/>
            <w:shd w:val="clear" w:color="auto" w:fill="CFF0FC"/>
          </w:tcPr>
          <w:p>
            <w:pPr>
              <w:spacing w:after="0"/>
              <w:rPr>
                <w:sz w:val="20"/>
                <w:szCs w:val="20"/>
                <w:color w:val="auto"/>
              </w:rPr>
            </w:pPr>
          </w:p>
        </w:tc>
      </w:tr>
      <w:tr>
        <w:trPr>
          <w:trHeight w:val="230"/>
        </w:trPr>
        <w:tc>
          <w:tcPr>
            <w:tcW w:w="76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340,353,900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337,453,776</w:t>
            </w: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(304,189,343)</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(284,795,447)</w:t>
            </w:r>
          </w:p>
        </w:tc>
      </w:tr>
      <w:tr>
        <w:trPr>
          <w:trHeight w:val="223"/>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36,168,829</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52,662,601</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105,324,490</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57,626,209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24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92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60"/>
              <w:spacing w:after="0"/>
              <w:rPr>
                <w:sz w:val="20"/>
                <w:szCs w:val="20"/>
                <w:color w:val="auto"/>
              </w:rPr>
            </w:pPr>
            <w:r>
              <w:rPr>
                <w:rFonts w:ascii="Arial" w:cs="Arial" w:eastAsia="Arial" w:hAnsi="Arial"/>
                <w:sz w:val="18"/>
                <w:szCs w:val="18"/>
                <w:color w:val="auto"/>
              </w:rPr>
              <w:t>Collaborative revenue</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41,175,600</w:t>
            </w:r>
          </w:p>
        </w:tc>
        <w:tc>
          <w:tcPr>
            <w:tcW w:w="2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41,175,600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86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24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5,520,928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5,766,984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8,779,635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13,849,494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3,442,365</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5,900,518</w:t>
            </w:r>
          </w:p>
        </w:tc>
        <w:tc>
          <w:tcPr>
            <w:tcW w:w="2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7,691,179</w:t>
            </w:r>
          </w:p>
        </w:tc>
        <w:tc>
          <w:tcPr>
            <w:tcW w:w="2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10,089,586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8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8,963,293</w:t>
            </w:r>
          </w:p>
        </w:tc>
        <w:tc>
          <w:tcPr>
            <w:tcW w:w="24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11,667,502</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16,470,814</w:t>
            </w: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23,939,080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20" w:type="dxa"/>
            <w:vAlign w:val="bottom"/>
          </w:tcPr>
          <w:p>
            <w:pPr>
              <w:spacing w:after="0"/>
              <w:rPr>
                <w:sz w:val="20"/>
                <w:szCs w:val="20"/>
                <w:color w:val="auto"/>
              </w:rPr>
            </w:pPr>
            <w:r>
              <w:rPr>
                <w:rFonts w:ascii="Arial" w:cs="Arial" w:eastAsia="Arial" w:hAnsi="Arial"/>
                <w:sz w:val="18"/>
                <w:szCs w:val="18"/>
                <w:color w:val="auto"/>
              </w:rPr>
              <w:t>(Loss) gain from operations</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(8,963,293)</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29,508,098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(16,470,814)</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17,236,520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Foreign exchange losses</w:t>
            </w: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(18,997)</w:t>
            </w:r>
          </w:p>
        </w:tc>
        <w:tc>
          <w:tcPr>
            <w:tcW w:w="2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(3,661)</w:t>
            </w:r>
          </w:p>
        </w:tc>
        <w:tc>
          <w:tcPr>
            <w:tcW w:w="20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(23,853)</w:t>
            </w:r>
          </w:p>
        </w:tc>
        <w:tc>
          <w:tcPr>
            <w:tcW w:w="2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(13,053)</w:t>
            </w:r>
          </w:p>
        </w:tc>
        <w:tc>
          <w:tcPr>
            <w:tcW w:w="0" w:type="dxa"/>
            <w:vAlign w:val="bottom"/>
          </w:tcPr>
          <w:p>
            <w:pPr>
              <w:spacing w:after="0"/>
              <w:rPr>
                <w:sz w:val="1"/>
                <w:szCs w:val="1"/>
                <w:color w:val="auto"/>
              </w:rPr>
            </w:pPr>
          </w:p>
        </w:tc>
      </w:tr>
      <w:tr>
        <w:trPr>
          <w:trHeight w:val="24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8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8,666</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Non-cash interest expense for the sale of future royalties</w:t>
            </w: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(1,611,439)</w:t>
            </w:r>
          </w:p>
        </w:tc>
        <w:tc>
          <w:tcPr>
            <w:tcW w:w="2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(2,907,895)</w:t>
            </w:r>
          </w:p>
        </w:tc>
        <w:tc>
          <w:tcPr>
            <w:tcW w:w="2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 income</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(10,589,163)</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29,529,376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7"/>
              </w:rPr>
              <w:t>(19,393,896)</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17,378,211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share, basic</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(0.45)</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shares outstanding, basic</w:t>
            </w:r>
          </w:p>
        </w:tc>
        <w:tc>
          <w:tcPr>
            <w:tcW w:w="8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tcBorders>
              <w:bottom w:val="single" w:sz="8" w:color="CFF0FC"/>
            </w:tcBorders>
            <w:vMerge w:val="continue"/>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42,721,566</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39,483,187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42,721,566</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39,330,389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share, diluted</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(0.45)</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shares outstanding, diluted</w:t>
            </w:r>
          </w:p>
        </w:tc>
        <w:tc>
          <w:tcPr>
            <w:tcW w:w="8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42,721,566</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40,278,071</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42,721,566</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40,144,996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42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3"/>
                <w:szCs w:val="13"/>
                <w:color w:val="auto"/>
              </w:rPr>
            </w:pPr>
          </w:p>
        </w:tc>
        <w:tc>
          <w:tcPr>
            <w:tcW w:w="96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3"/>
                <w:szCs w:val="13"/>
                <w:color w:val="auto"/>
              </w:rPr>
            </w:pPr>
          </w:p>
        </w:tc>
        <w:tc>
          <w:tcPr>
            <w:tcW w:w="1420" w:type="dxa"/>
            <w:vAlign w:val="bottom"/>
            <w:gridSpan w:val="2"/>
          </w:tcPr>
          <w:p>
            <w:pPr>
              <w:jc w:val="right"/>
              <w:ind w:right="641"/>
              <w:spacing w:after="0" w:line="155" w:lineRule="exact"/>
              <w:rPr>
                <w:sz w:val="20"/>
                <w:szCs w:val="20"/>
                <w:color w:val="auto"/>
              </w:rPr>
            </w:pPr>
            <w:r>
              <w:rPr>
                <w:rFonts w:ascii="Arial" w:cs="Arial" w:eastAsia="Arial" w:hAnsi="Arial"/>
                <w:sz w:val="14"/>
                <w:szCs w:val="14"/>
                <w:b w:val="1"/>
                <w:bCs w:val="1"/>
                <w:color w:val="auto"/>
              </w:rPr>
              <w:t>Deficit</w:t>
            </w:r>
          </w:p>
        </w:tc>
        <w:tc>
          <w:tcPr>
            <w:tcW w:w="280" w:type="dxa"/>
            <w:vAlign w:val="bottom"/>
          </w:tcPr>
          <w:p>
            <w:pPr>
              <w:spacing w:after="0"/>
              <w:rPr>
                <w:sz w:val="13"/>
                <w:szCs w:val="13"/>
                <w:color w:val="auto"/>
              </w:rPr>
            </w:pPr>
          </w:p>
        </w:tc>
        <w:tc>
          <w:tcPr>
            <w:tcW w:w="118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2020</w:t>
            </w:r>
          </w:p>
        </w:tc>
        <w:tc>
          <w:tcPr>
            <w:tcW w:w="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39,084,121</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3,908</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314,511,853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(286,736,218)</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27,779,543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135,013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797,615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797,629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2,198,187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2,198,187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Net loss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21"/>
              <w:spacing w:after="0"/>
              <w:rPr>
                <w:sz w:val="20"/>
                <w:szCs w:val="20"/>
                <w:color w:val="auto"/>
              </w:rPr>
            </w:pPr>
            <w:r>
              <w:rPr>
                <w:rFonts w:ascii="Arial" w:cs="Arial" w:eastAsia="Arial" w:hAnsi="Arial"/>
                <w:sz w:val="18"/>
                <w:szCs w:val="18"/>
                <w:color w:val="auto"/>
              </w:rPr>
              <w:t>(12,151,165)</w:t>
            </w:r>
          </w:p>
        </w:tc>
        <w:tc>
          <w:tcPr>
            <w:tcW w:w="2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(12,151,165)</w:t>
            </w: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March 31, 2020</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39,219,134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3,922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317,507,655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(298,887,383</w:t>
            </w:r>
          </w:p>
        </w:tc>
        <w:tc>
          <w:tcPr>
            <w:tcW w:w="260" w:type="dxa"/>
            <w:vAlign w:val="bottom"/>
            <w:tcBorders>
              <w:top w:val="single" w:sz="8" w:color="CFF0FC"/>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18,624,194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w w:val="92"/>
              </w:rPr>
              <w:t>Issuance of common stock in a public offering</w:t>
            </w: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1,361,956</w:t>
            </w: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5,178,324</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5,178,460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w w:val="97"/>
              </w:rPr>
              <w:t>Costs related to issuance of common stock</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(219,517)</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(219,517)</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63,749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346,019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3,485,482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3,485,482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29,529,376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29,529,376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June 30, 2020</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40,644,839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4,065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326,297,963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(269,358,007</w:t>
            </w:r>
          </w:p>
        </w:tc>
        <w:tc>
          <w:tcPr>
            <w:tcW w:w="260" w:type="dxa"/>
            <w:vAlign w:val="bottom"/>
            <w:tcBorders>
              <w:top w:val="single" w:sz="8" w:color="CFF0FC"/>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56,944,021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2021</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42,721,566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4,272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337,453,776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b w:val="1"/>
                <w:bCs w:val="1"/>
                <w:color w:val="auto"/>
              </w:rPr>
              <w:t>(284,795,447)</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52,662,601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1,516,064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1,516,064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(8,804,733)</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(8,804,733)</w:t>
            </w:r>
          </w:p>
        </w:tc>
        <w:tc>
          <w:tcPr>
            <w:tcW w:w="0" w:type="dxa"/>
            <w:vAlign w:val="bottom"/>
          </w:tcPr>
          <w:p>
            <w:pPr>
              <w:spacing w:after="0"/>
              <w:rPr>
                <w:sz w:val="1"/>
                <w:szCs w:val="1"/>
                <w:color w:val="auto"/>
              </w:rPr>
            </w:pPr>
          </w:p>
        </w:tc>
      </w:tr>
      <w:tr>
        <w:trPr>
          <w:trHeight w:val="263"/>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Balances at March 31, 2021</w:t>
            </w:r>
          </w:p>
        </w:tc>
        <w:tc>
          <w:tcPr>
            <w:tcW w:w="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42,721,566</w:t>
            </w:r>
          </w:p>
        </w:tc>
        <w:tc>
          <w:tcPr>
            <w:tcW w:w="26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4,272</w:t>
            </w:r>
          </w:p>
        </w:tc>
        <w:tc>
          <w:tcPr>
            <w:tcW w:w="2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338,969,840</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(293,600,180</w:t>
            </w:r>
          </w:p>
        </w:tc>
        <w:tc>
          <w:tcPr>
            <w:tcW w:w="260" w:type="dxa"/>
            <w:vAlign w:val="bottom"/>
            <w:tcBorders>
              <w:bottom w:val="single" w:sz="8" w:color="CFF0FC"/>
            </w:tcBorders>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45,373,932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1,384,060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1,384,060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20"/>
                <w:szCs w:val="20"/>
                <w:color w:val="auto"/>
              </w:rPr>
            </w:pPr>
            <w:r>
              <w:rPr>
                <w:rFonts w:ascii="Arial" w:cs="Arial" w:eastAsia="Arial" w:hAnsi="Arial"/>
                <w:sz w:val="18"/>
                <w:szCs w:val="18"/>
                <w:color w:val="auto"/>
              </w:rPr>
              <w:t>Net loss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21"/>
              <w:spacing w:after="0"/>
              <w:rPr>
                <w:sz w:val="20"/>
                <w:szCs w:val="20"/>
                <w:color w:val="auto"/>
              </w:rPr>
            </w:pPr>
            <w:r>
              <w:rPr>
                <w:rFonts w:ascii="Arial" w:cs="Arial" w:eastAsia="Arial" w:hAnsi="Arial"/>
                <w:sz w:val="18"/>
                <w:szCs w:val="18"/>
                <w:color w:val="auto"/>
              </w:rPr>
              <w:t>(10,589,163)</w:t>
            </w:r>
          </w:p>
        </w:tc>
        <w:tc>
          <w:tcPr>
            <w:tcW w:w="2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(10,589,163)</w:t>
            </w: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June 30, 2021</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42,721,566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4,272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340,353,900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(304,189,343</w:t>
            </w:r>
          </w:p>
        </w:tc>
        <w:tc>
          <w:tcPr>
            <w:tcW w:w="260" w:type="dxa"/>
            <w:vAlign w:val="bottom"/>
            <w:tcBorders>
              <w:top w:val="single" w:sz="8" w:color="CFF0FC"/>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36,168,829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Net (loss) income</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(19,393,896)</w:t>
            </w: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17,378,211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marketable securities premium</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(83,098)</w:t>
            </w: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Amortization of right-of-use assets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86,847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2,900,124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5,683,669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60"/>
              <w:spacing w:after="0"/>
              <w:rPr>
                <w:sz w:val="20"/>
                <w:szCs w:val="20"/>
                <w:color w:val="auto"/>
              </w:rPr>
            </w:pPr>
            <w:r>
              <w:rPr>
                <w:rFonts w:ascii="Arial" w:cs="Arial" w:eastAsia="Arial" w:hAnsi="Arial"/>
                <w:sz w:val="18"/>
                <w:szCs w:val="18"/>
                <w:color w:val="auto"/>
              </w:rPr>
              <w:t>Non-cash interest expense associated with the sale of future royalties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2,907,895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1,072,687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639,737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598,083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821,555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781,016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(59,514)</w:t>
            </w: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(94,941)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(41,175,600)</w:t>
            </w: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noncurrent</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(94,941)</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operating activities</w:t>
            </w:r>
          </w:p>
        </w:tc>
        <w:tc>
          <w:tcPr>
            <w:tcW w:w="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(11,142,185)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(16,791,440)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maturity and redemption of marketable securities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(3,871,706)</w:t>
            </w:r>
          </w:p>
        </w:tc>
        <w:tc>
          <w:tcPr>
            <w:tcW w:w="0" w:type="dxa"/>
            <w:vAlign w:val="bottom"/>
          </w:tcPr>
          <w:p>
            <w:pPr>
              <w:spacing w:after="0"/>
              <w:rPr>
                <w:sz w:val="1"/>
                <w:szCs w:val="1"/>
                <w:color w:val="auto"/>
              </w:rPr>
            </w:pPr>
          </w:p>
        </w:tc>
      </w:tr>
      <w:tr>
        <w:trPr>
          <w:trHeight w:val="223"/>
        </w:trPr>
        <w:tc>
          <w:tcPr>
            <w:tcW w:w="6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investing activities</w:t>
            </w:r>
          </w:p>
        </w:tc>
        <w:tc>
          <w:tcPr>
            <w:tcW w:w="8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21,528,294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Proceeds from the sale of future royalties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60,000,000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sales of common stock in public offering</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5,178,460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Fees paid in connection with public offering</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(219,517)</w:t>
            </w: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60,000,000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6,102,598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increase in cash, cash equivalents and restricted cash</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48,857,815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10,839,452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Beginning of period</w:t>
            </w:r>
          </w:p>
        </w:tc>
        <w:tc>
          <w:tcPr>
            <w:tcW w:w="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25,456,952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21,512,623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 of period</w:t>
            </w:r>
          </w:p>
        </w:tc>
        <w:tc>
          <w:tcPr>
            <w:tcW w:w="8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74,314,767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32,352,075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the Condensed Consolidated Statements of Cash Flows to the</w:t>
            </w: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140"/>
              <w:spacing w:after="0"/>
              <w:rPr>
                <w:sz w:val="20"/>
                <w:szCs w:val="20"/>
                <w:color w:val="auto"/>
              </w:rPr>
            </w:pPr>
            <w:r>
              <w:rPr>
                <w:rFonts w:ascii="Arial" w:cs="Arial" w:eastAsia="Arial" w:hAnsi="Arial"/>
                <w:sz w:val="18"/>
                <w:szCs w:val="18"/>
                <w:b w:val="1"/>
                <w:bCs w:val="1"/>
                <w:color w:val="auto"/>
              </w:rPr>
              <w:t>Condensed Consolidated Balance Sheets</w:t>
            </w: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74,214,767</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32,252,075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Restricted cash</w:t>
            </w:r>
          </w:p>
        </w:tc>
        <w:tc>
          <w:tcPr>
            <w:tcW w:w="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8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74,314,767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32,352,075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jc w:val="center"/>
        <w:ind w:left="360" w:right="2740"/>
        <w:spacing w:after="0" w:line="263" w:lineRule="auto"/>
        <w:rPr>
          <w:sz w:val="20"/>
          <w:szCs w:val="20"/>
          <w:color w:val="auto"/>
        </w:rPr>
      </w:pPr>
      <w:r>
        <w:rPr>
          <w:rFonts w:ascii="Arial" w:cs="Arial" w:eastAsia="Arial" w:hAnsi="Arial"/>
          <w:sz w:val="18"/>
          <w:szCs w:val="18"/>
          <w:b w:val="1"/>
          <w:bCs w:val="1"/>
          <w:color w:val="auto"/>
        </w:rPr>
        <w:t>MINERVA NEUROSCIENCES, INC. Notes to Condensed Consolidated Financial Statements As of June 30, 2021 and for the Six Months Ended June 30, 2021 and 2020 (Unaudited)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LIQUIDITY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Minerva Neurosciences, Inc. (“Minerva” or the “Company”) is a clinical-stage biopharmaceutical company focused on the development and commercialization of product candidates to treat patients suffering from central nervous system diseases (“CNS”). The Company’s lead product candidate is roluperidone (f/k/a MIN-101), a compound the Company is developing for the treatment of negative symptoms in patients with schizophrenia, and MIN-301, a compound the Company is developing for the treatment of Parkinson’s disease. In addition, Minerva previously co-developed seltorexant (f/k/a MIN-202 or JNJ-42847922) with Janssen Pharmaceutica NV (“Janssen”) for the treatment of insomnia disorder and adjunctive treatment of Major Depressive Disorder (“MDD”). During 2020 Minerva exercised its right to opt out of the joint development agreement with Janssen for the future development of seltorexant. As a result, the Company will be entitled to collect royalties in the mid-single digits on potential future worldwide sales of seltorexant in certain indications, with no further financial obligations to Janssen. In January 2021, the Company sold its rights to these potential royalties to Royalty Pharma (see Notes 5 and 6).</w:t>
      </w:r>
    </w:p>
    <w:p>
      <w:pPr>
        <w:spacing w:after="0" w:line="196"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Company holds the license to roluperidone from Mitsubishi Tanabe Pharma Corporation (“MTPC”) with the rights to develop, sell and import roluperidone globally, excluding most of Asia. The Company also has exclusive rights to develop and commercialize MIN-301.</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The accompanying interim condensed consolidated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June 30, 2021, the Company has an accumulated deficit of approximately $304.2 million and net cash used in operating activities was approximately $11.1 million during the six months ended June 30, 2021. Management expects to continue to incur operating losses and negative cash flows from operations in the future. The Company has financed its operations to date from proceeds from the sale of common stock, warrants, loans, convertible promissory notes, collaboration agreements and royalty sales.</w:t>
      </w:r>
    </w:p>
    <w:p>
      <w:pPr>
        <w:spacing w:after="0" w:line="15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June 30, 2021, the Company had cash, cash equivalents, and restricted cash of $74.3 million. The Company believes that its existing cash, cash equivalents, and restricted cash will be sufficient to meet its cash commitments for at least the next 12 months after the date that the interim condensed consolidated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the infrastructure to support a commercial enterprise, the cost of a commercial product launch, and the level of financial resources available. The Company has the ability to adjust its operating plan spending levels based on the timing of future clinical trials, which will be predicated upon adequate funding to complete the trials.</w:t>
      </w:r>
    </w:p>
    <w:p>
      <w:pPr>
        <w:spacing w:after="0" w:line="17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Company will need to raise additional capital in order to continue to fund operations and fully fund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8" w:name="page9"/>
    <w:bookmarkEnd w:id="8"/>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On December 8, 2020 and January 11, 2021, purported stockholders of the Company filed two putative securities class action complaints in the United States District Court for the District of Massachusetts, entitled </w:t>
      </w:r>
      <w:r>
        <w:rPr>
          <w:rFonts w:ascii="Arial" w:cs="Arial" w:eastAsia="Arial" w:hAnsi="Arial"/>
          <w:sz w:val="16"/>
          <w:szCs w:val="16"/>
          <w:i w:val="1"/>
          <w:iCs w:val="1"/>
          <w:color w:val="auto"/>
        </w:rPr>
        <w:t>McCoy v. Minerva Neurosciences, Inc., et al., No. 1:20-cv-12176</w:t>
      </w:r>
      <w:r>
        <w:rPr>
          <w:rFonts w:ascii="Arial" w:cs="Arial" w:eastAsia="Arial" w:hAnsi="Arial"/>
          <w:sz w:val="16"/>
          <w:szCs w:val="16"/>
          <w:color w:val="auto"/>
        </w:rPr>
        <w:t xml:space="preserve"> and </w:t>
      </w:r>
      <w:r>
        <w:rPr>
          <w:rFonts w:ascii="Arial" w:cs="Arial" w:eastAsia="Arial" w:hAnsi="Arial"/>
          <w:sz w:val="16"/>
          <w:szCs w:val="16"/>
          <w:i w:val="1"/>
          <w:iCs w:val="1"/>
          <w:color w:val="auto"/>
        </w:rPr>
        <w:t>Ao v. Minerva</w:t>
      </w:r>
      <w:r>
        <w:rPr>
          <w:rFonts w:ascii="Arial" w:cs="Arial" w:eastAsia="Arial" w:hAnsi="Arial"/>
          <w:sz w:val="16"/>
          <w:szCs w:val="16"/>
          <w:color w:val="auto"/>
        </w:rPr>
        <w:t xml:space="preserve"> </w:t>
      </w:r>
      <w:r>
        <w:rPr>
          <w:rFonts w:ascii="Arial" w:cs="Arial" w:eastAsia="Arial" w:hAnsi="Arial"/>
          <w:sz w:val="16"/>
          <w:szCs w:val="16"/>
          <w:i w:val="1"/>
          <w:iCs w:val="1"/>
          <w:color w:val="auto"/>
        </w:rPr>
        <w:t>Neurosciences, Inc. et al., No. 1:21-cv-10051</w:t>
      </w:r>
      <w:r>
        <w:rPr>
          <w:rFonts w:ascii="Arial" w:cs="Arial" w:eastAsia="Arial" w:hAnsi="Arial"/>
          <w:sz w:val="16"/>
          <w:szCs w:val="16"/>
          <w:color w:val="auto"/>
        </w:rPr>
        <w:t>, respectively, against the Company and the Company’s Chairman and Chief Executive Officer (collectively,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“Defendants"). The complaints are nearly identical and allege that the Defendants made material false and/or misleading statements regarding the development of the Company’s drug candidate roluperidone purportedly causing losses to investors who acquired the Company’s common stock between May 15, 2017 and November 30, 2020. The complaints do not quantify any alleged damages but, in addition to attorneys' fees and costs, plaintiffs seek to recover damages on behalf of themselves and others who acquired the Company’s stock during the putative class period at allegedly inflated prices and purportedly suffered financial harm as a result. On March 5, 2021, the Court entered an order consolidating the actions into a case captioned </w:t>
      </w:r>
      <w:r>
        <w:rPr>
          <w:rFonts w:ascii="Arial" w:cs="Arial" w:eastAsia="Arial" w:hAnsi="Arial"/>
          <w:sz w:val="16"/>
          <w:szCs w:val="16"/>
          <w:i w:val="1"/>
          <w:iCs w:val="1"/>
          <w:color w:val="auto"/>
        </w:rPr>
        <w:t>In re Minerva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Neurosciences, Inc. Securities Litigation, No. 1:20-cv-12176 </w:t>
      </w:r>
      <w:r>
        <w:rPr>
          <w:rFonts w:ascii="Arial" w:cs="Arial" w:eastAsia="Arial" w:hAnsi="Arial"/>
          <w:sz w:val="16"/>
          <w:szCs w:val="16"/>
          <w:color w:val="auto"/>
        </w:rPr>
        <w:t>and appointing lead plaintiffs and their counsel. On March 19, 2021, the parties filed a</w:t>
      </w:r>
      <w:r>
        <w:rPr>
          <w:rFonts w:ascii="Arial" w:cs="Arial" w:eastAsia="Arial" w:hAnsi="Arial"/>
          <w:sz w:val="16"/>
          <w:szCs w:val="16"/>
          <w:i w:val="1"/>
          <w:iCs w:val="1"/>
          <w:color w:val="auto"/>
        </w:rPr>
        <w:t xml:space="preserve"> </w:t>
      </w:r>
      <w:r>
        <w:rPr>
          <w:rFonts w:ascii="Arial" w:cs="Arial" w:eastAsia="Arial" w:hAnsi="Arial"/>
          <w:sz w:val="16"/>
          <w:szCs w:val="16"/>
          <w:color w:val="auto"/>
        </w:rPr>
        <w:t>stipulated proposed order with the Court staying the Defendants’ response to the complaint until after plaintiffs file an amended complaint. On May 5, 2021, the parties filed a stipulation and proposed order voluntarily dismissing the lawsuit on behalf of the appointed lead plaintiffs. Also on May 5, 2021, a second plaintiff filed a motion for appointment as lead plaintiff, which the Court granted on May 21, 2021. On June 9, 2021, before the lead plaintiff’s deadline to amend the complaint and before defendants filed any response to the complaint, the parties stipulated to voluntary dismissal of the lawsuit on behalf of the appointed lead plaintiff. The Court entered the parties’ stipulation of dismissal on July 9, 2021 and closed the case.</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Company’s business could be adversely affected by the effects of the ongoing COVID-19 pandemic, which continues to have a negative impact on the local, regional, national and global scale. In response to the pandemic, a number of jurisdictions in which the Company or its service providers operate implemented shelter-in-place or similar type restrictions, which limited on-site activity to certain service providers. To support the health and well-being of its employees, partners and communities, the Company implemented work-from-home policies for its employees, which continue to be in effect. While certain jurisdictions, including Massachusetts, have begun a phased re-opening of businesses and governmental agencies, there remain limitations on the physical operations of businesses and prohibitions on certain non-essential gatherings, and it is unclear if such phased re-openings will continue or be rolled back, and there is uncertainty about when, if, or how the Company’s workforce may return. The effects of the state executive order, local shelter-in-place orders, government-imposed quarantines and the Company’s work-from-home policies, including the uncertainty about their duration, may negatively impact productivity, disrupt our business and delay the clinical programs and timelines.</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While the COVID-19 pandemic has not had a material adverse impact on the Company’s operations to date, this disruption, if sustained or recurrent, could have a material adverse effect on the Company’s operating results, its ability to raise capital needed to develop and commercialize products and the Company’s overall financial condition. In addition, a recession or market correction resulting from the spread of the coronavirus could materially affect the value of the Company’s common stock. The impact of the COVID-19 pandemic may also exacerbate other risks discussed in this Quarterly Report on Form 10-Q. Refer to Item 1A. “Risk Factors” in this Quarterly Report on Form 10-Q for a complete description of the material risks that the Company currently faces.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8-03.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June 30, 2021, the results of operations for the three and six months ended June 30, 2021 and 2020 and cash flows for the six months ended June 30, 2021 and 2020. The results of operations for the three and six months ended June 30, 2021 are not necessarily indicative of the results to be expected for the full year. When preparing financial statements in conformity with GAAP, management must make estimates and assumptions that affect the reported amounts of assets and liabilities, disclosure of contingent assets and liabilities at the date of the financial statements and the reported amounts of expenses during the reporting period. Actual results could differ from those estimates. The consolidated balance sheet as of December 31, 2020 was derived from the audited annual financial statements. The accompanying unaudited condensed consolidated financial statements and notes thereto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ind w:right="100"/>
        <w:spacing w:after="0" w:line="277" w:lineRule="auto"/>
        <w:rPr>
          <w:sz w:val="20"/>
          <w:szCs w:val="20"/>
          <w:color w:val="auto"/>
        </w:rPr>
      </w:pPr>
      <w:r>
        <w:rPr>
          <w:rFonts w:ascii="Arial" w:cs="Arial" w:eastAsia="Arial" w:hAnsi="Arial"/>
          <w:sz w:val="18"/>
          <w:szCs w:val="18"/>
          <w:color w:val="auto"/>
        </w:rPr>
        <w:t>should be read in conjunction with the audited consolidated financial statements for the year ended December 31, 2020 included in the Company’s Annual Report on Form 10-K filed with the SEC on March 8, 2021.</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Cash accounts with any type of restriction are classified as restricted. The Company maintained restricted cash balances as collateral for corporate credit cards in the amount of $0.1 million at each of June 30, 2021 and December 31, 2020.</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5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Marketable securities consisted of corporate and U.S. government debt securities. Based on the Company’s intentions regarding its marketable securities, all marketable securities were classified as held-to-maturity and were carried under the amortized cost approach. The Company’s investments in marketable securities were classified as Level 2 within the fair value hierarchy. As of June 30, 2021, all marketable securities have matured.</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(“CROs”)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anticipated costs are expected to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In-process research and development (“IPR&amp;D”) assets represent capitalized incomplete research projects that the Company acquired through business combinations. Such assets are initially measured at their acquisition date fair values. The initial fair values of the research projects are recorded as intangible assets on the balance sheet, rather than expensed, regardless of whether these assets have an alternative future use.</w:t>
      </w:r>
    </w:p>
    <w:p>
      <w:pPr>
        <w:spacing w:after="0" w:line="16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the Company will make a determination about the then remaining useful life of the intangible asset and begin amortization. The Company tests its indefinite-lived intangibles, IPR&amp;D assets, for impairment annually on November 30 and more frequently if events or changes in circumstances indicate that it is more likely than not that the asset is impaired. When testing indefinite-lived intangibles for impairment, the Company may assess qualitative factors for its indefinite-lived intangibles to determine whether it is more likely than not (that is, a likelihood of more than 50 percent) that the asset is impaired. Alternatively, the Company may bypass this qualitative assessment for some or all of its indefinite-lived intangibles and perform the quantitative impairment test that compares the fair value of the indefinite-lived intangible asset with the asset’s carrying amount. There was no impairment of IPR&amp;D for the three and six months ended June 30, 2021 or 2020.</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and expected life of the options. Forfeitures are recorded as they occur instead of estimating forfeitures that are expected to occur. The fair value of restricted stock units (“RSUs”) is equal to the closing price of the Company’s common stock on the date of grant.</w:t>
      </w:r>
    </w:p>
    <w:p>
      <w:pPr>
        <w:spacing w:after="0" w:line="1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An accounting policy change was made by the Company related to the accounting for non-employee awards on January 1, 2019 as a result of the adoption of ASU No. 2018-07, </w:t>
      </w:r>
      <w:r>
        <w:rPr>
          <w:rFonts w:ascii="Arial" w:cs="Arial" w:eastAsia="Arial" w:hAnsi="Arial"/>
          <w:sz w:val="18"/>
          <w:szCs w:val="18"/>
          <w:i w:val="1"/>
          <w:iCs w:val="1"/>
          <w:color w:val="auto"/>
        </w:rPr>
        <w:t>Stock Compensation (Topic 718): Improvements to Nonemployee Share-Based Payment Accounting</w:t>
      </w:r>
      <w:r>
        <w:rPr>
          <w:rFonts w:ascii="Arial" w:cs="Arial" w:eastAsia="Arial" w:hAnsi="Arial"/>
          <w:sz w:val="18"/>
          <w:szCs w:val="18"/>
          <w:color w:val="auto"/>
        </w:rPr>
        <w:t xml:space="preserve"> for which the Company now accounts for non-employee awards in the same manner as employee awards.</w:t>
      </w:r>
    </w:p>
    <w:p>
      <w:pPr>
        <w:spacing w:after="0" w:line="18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b w:val="1"/>
          <w:bCs w:val="1"/>
          <w:i w:val="1"/>
          <w:iCs w:val="1"/>
          <w:color w:val="auto"/>
        </w:rPr>
        <w:t>(Loss) Income per share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Basic (loss) income per share is computed by dividing net (loss) income by the weighted-average number of shares of common stock outstanding for the period. Diluted (loss) income per share reflects the potential dilution that could occur if securities or other contracts to issue common stock were exercised or converted into common stock or resulted in the issuance of common stock that shared in the earnings of the entity. The treasury stock method is used to determine the dilutive effect of the Company’s stock options and warrants.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Financial instruments that potentially subject the Company to concentrations of credit risk are primarily cash, cash equivalents and marketable securities.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Equipment</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Equipment is stated at cost less accumulated depreciation. Equipment is depreciated on the straight-line basis over their estimated useful lives of three years. Expenditures for maintenance and repairs are charged to expense as incurred.</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Effective January 1, 2019, the Company adopted Financial Accounting Standards Board (“FASB”) Accounting Standards Codification (“ASC”) Topic 842, </w:t>
      </w:r>
      <w:r>
        <w:rPr>
          <w:rFonts w:ascii="Arial" w:cs="Arial" w:eastAsia="Arial" w:hAnsi="Arial"/>
          <w:sz w:val="18"/>
          <w:szCs w:val="18"/>
          <w:i w:val="1"/>
          <w:iCs w:val="1"/>
          <w:color w:val="auto"/>
        </w:rPr>
        <w:t xml:space="preserve">Leases </w:t>
      </w:r>
      <w:r>
        <w:rPr>
          <w:rFonts w:ascii="Arial" w:cs="Arial" w:eastAsia="Arial" w:hAnsi="Arial"/>
          <w:sz w:val="18"/>
          <w:szCs w:val="18"/>
          <w:color w:val="auto"/>
        </w:rPr>
        <w:t>(“ASC 842”), using the required modified retrospective approach and utilizing the effective date as its date of initial application, for which prior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periods are presented in accordance with the previous guidance in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w:t>
      </w:r>
    </w:p>
    <w:p>
      <w:pPr>
        <w:spacing w:after="0" w:line="2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Most leases with a term greater than one year are recognized on the balance sheet as right-of-use assets and short-term and long-term lease liabilities, as applicable. The Company has elected not to recognize on the balance sheet leases with terms of 12 months or less. The Company typically only includes an initial lease term in its assessment of a lease arrangement. Options to renew a lease are not included in the Company’s assessment unless there is reasonable certainty that the Company will renew. The Company monitors its plans to renew its material leases on a quarterly basis.</w:t>
      </w:r>
    </w:p>
    <w:p>
      <w:pPr>
        <w:spacing w:after="0" w:line="23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Operating lease liabilities and their corresponding right-of-use assets are recorded based on the present value of lease payments over the expected remaining lease term. Certain adjustments to the right-of-use asset may be required for items such as incentives received. The interest rate implicit in the Company’s leases is typically not readily determinable. As a result, the Company utilizes its incremental borrowing rate, which reflects the fixed rate at which the Company could borrow on a collateralized basis the amount of the lease payments in the same currency, for a similar term and in a similar economic environment. In transition to ASC 842, the Company utilized the remaining lease term of its leases in determining the appropriate incremental borrowing rates.</w:t>
      </w:r>
    </w:p>
    <w:p>
      <w:pPr>
        <w:spacing w:after="0" w:line="219"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In accordance with ASC 842, components of a lease should be allocated between lease components (e.g., land, building, etc.) and non-lease components (e.g., common area maintenance, consumables, etc.). The fixed and in-substance fixed contract consideration (including any consideration related to non-components) must be allocated based on the respective relative fair values to the lease components and non-lease components.</w:t>
      </w:r>
    </w:p>
    <w:p>
      <w:pPr>
        <w:spacing w:after="0" w:line="18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Although separation of lease and non-lease components is required, certain expedients are available. Entities may elect the practical expedient to not separate lease and non-lease components by class of underlying asset where entities would account for each lease component and the related non-lease component together as a single component. For new and amended leases beginning in 2019 and after, the Company has elected to account for the lease and non-lease components for leases for classes of all underlying assets and allocate all of the contract consideration to the lease component only.</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June 30, 2021 and 2020.</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tested its goodwill for impairment as of November 30, 2020. There was no impairment of goodwill for the six months ended June 30, 2021 and 2020.</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 xml:space="preserve">The Company applies the revenue recognition guidance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Revenue is recognized when persuasive evidence of an arrangement exists, delivery has occurred and title has passed, the price is fixed or determinable, and collectability is reasonably assured. The Company is a development stage company and has had no revenues from product sales to date.</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When the Company enters into an arrangement that meets the definition of a collaboration under ASC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the Company recognizes revenue as research and development is performed and its respective share of the expenses are incurred. The Company assesses whether the arrangement contains multiple elements or deliverables, which may include (1) licenses to the Company's technology, (2) research and development activities performed for the collaboration partner, and (3) participation on Joint Steering Committees. Payments may include non-refundable, upfront payments, milestone payments upon achieving significant development events, and royalties on future sales. Each required deliverable is evaluated to determine whether it qualifies as a separate unit of accounting based on whether the deliverable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 During the year ended December 31, 2020, the Company recognized $41.2 million in collaborative revenue as a result of opting out of its agreement with Janssen (see Note 5).</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color w:val="auto"/>
        </w:rPr>
        <w:t>The Company applies the revenue recognition guidance in accordance with ASC 606. Using ASC 606, revenue that is unearned is deferred. Deferred revenue that is expected to be recognized as revenue more than one year subsequent to the balance sheet date is classified as long-term deferred revenue.</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Liability related to the sale of future royalties</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treats the sale of future royalties to Royalty Pharma as a debt financing, as the Company has significant continuing involvement in facilitating the transfer of royalties to Royalty Pharma and Royalty Pharma has recourse against the Company relating to the payments due from Janssen. As a result, the Company recorded the upfront payment of $60 million from this transaction as a liability related to the sale of future royalties to be amortized to interest expense using the effective interest rate method over the life of the arrangement.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 w:name="page14"/>
    <w:bookmarkEnd w:id="13"/>
    <w:p>
      <w:pPr>
        <w:ind w:right="40"/>
        <w:spacing w:after="0" w:line="301" w:lineRule="auto"/>
        <w:rPr>
          <w:sz w:val="20"/>
          <w:szCs w:val="20"/>
          <w:color w:val="auto"/>
        </w:rPr>
      </w:pPr>
      <w:r>
        <w:rPr>
          <w:rFonts w:ascii="Arial" w:cs="Arial" w:eastAsia="Arial" w:hAnsi="Arial"/>
          <w:sz w:val="16"/>
          <w:szCs w:val="16"/>
          <w:color w:val="auto"/>
        </w:rPr>
        <w:t>The liability related to sale of future royalties and the related interest expense are based on our current estimates of future royalties expected to be paid over the life of the arrangement. The Company will periodically assess the expected royalty payments using a combination of internal projections and forecasts from external sources. To the extent the Company’s future estimates of royalty payments are greater or less than previous estimates or the estimated timing of such payments is materially different than its previous estimates, the Company will prospectively recognize related non-cash interest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of the sale of future royalties, please refer to Note 6, Sale of Future Royalties.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decision maker, who is the Chief Executive Officer, reviews operating results to make decisions about allocating resources and assessing performance for the entire Company. The Company views its operations and manages its business as one operating segment.</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items of comprehensive loss other than its net loss for each period presented.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new accounting pronouncements are issued by the FASB and are adopted by the Company as of the specified effective date.</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In November 2018, the FASB issued ASU 2018-18, </w:t>
      </w:r>
      <w:r>
        <w:rPr>
          <w:rFonts w:ascii="Arial" w:cs="Arial" w:eastAsia="Arial" w:hAnsi="Arial"/>
          <w:sz w:val="18"/>
          <w:szCs w:val="18"/>
          <w:i w:val="1"/>
          <w:iCs w:val="1"/>
          <w:color w:val="auto"/>
        </w:rPr>
        <w:t>Collaborative Arrangements (Topic 808): Clarifying the Interaction between Topic 808 and Topic 606</w:t>
      </w:r>
      <w:r>
        <w:rPr>
          <w:rFonts w:ascii="Arial" w:cs="Arial" w:eastAsia="Arial" w:hAnsi="Arial"/>
          <w:sz w:val="18"/>
          <w:szCs w:val="18"/>
          <w:color w:val="auto"/>
        </w:rPr>
        <w:t>. This update is intended to clarify that certain transactions between collaborative arrangement participants should be accounted for as revenue under Topic 606. The Company adopted the new standard on January 1, 2020.</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xml:space="preserve"> The new standard simplifies the test for goodwill impairment. The Company adopted the new standard on January 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ACCRUED EXPENSES AND OTHER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June 30, 2021</w:t>
            </w:r>
          </w:p>
        </w:tc>
        <w:tc>
          <w:tcPr>
            <w:tcW w:w="22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87"/>
              </w:rPr>
              <w:t>Research and development costs and other accrued expenses</w:t>
            </w:r>
          </w:p>
        </w:tc>
        <w:tc>
          <w:tcPr>
            <w:tcW w:w="17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1,631,882</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1,880,552</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Accrued bonus</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766,522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349,922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140,981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Vacation pay</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86,099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Accrued severance</w:t>
            </w:r>
          </w:p>
        </w:tc>
        <w:tc>
          <w:tcPr>
            <w:tcW w:w="17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31,876</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2,834,425</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2,053,409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740" w:type="dxa"/>
            <w:vAlign w:val="bottom"/>
            <w:vMerge w:val="restart"/>
          </w:tcPr>
          <w:p>
            <w:pPr>
              <w:jc w:val="right"/>
              <w:ind w:right="1450"/>
              <w:spacing w:after="0"/>
              <w:rPr>
                <w:sz w:val="20"/>
                <w:szCs w:val="20"/>
                <w:color w:val="auto"/>
              </w:rPr>
            </w:pPr>
            <w:r>
              <w:rPr>
                <w:rFonts w:ascii="Arial" w:cs="Arial" w:eastAsia="Arial" w:hAnsi="Arial"/>
                <w:sz w:val="18"/>
                <w:szCs w:val="18"/>
                <w:color w:val="auto"/>
                <w:w w:val="89"/>
              </w:rPr>
              <w:t>14</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 NET (LOSS) INCOME PER SHARE OF COMMON STOCK</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Basic (loss) income per share is calculated by dividing the net (loss) income by the weighted average number of shares of common stock outstanding. Diluted (loss) income per share is computed by dividing the net (loss) income by the weighted average number of shares of common stock outstanding, plus potential outstanding common stock for the period. Potential outstanding common stock includes stock options and shares underlying RSUs, but only to the extent that their inclusion is dilutive. The following table sets forth the computation of basic and diluted (loss) income per share for common stockholders:</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53"/>
              <w:spacing w:after="0"/>
              <w:rPr>
                <w:sz w:val="20"/>
                <w:szCs w:val="20"/>
                <w:color w:val="auto"/>
              </w:rPr>
            </w:pPr>
            <w:r>
              <w:rPr>
                <w:rFonts w:ascii="Arial" w:cs="Arial" w:eastAsia="Arial" w:hAnsi="Arial"/>
                <w:sz w:val="14"/>
                <w:szCs w:val="14"/>
                <w:b w:val="1"/>
                <w:bCs w:val="1"/>
                <w:color w:val="auto"/>
                <w:w w:val="93"/>
              </w:rPr>
              <w:t>Three Months Ended June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4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(10,589,163)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29,529,376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(19,393,896)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17,378,211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of common stock</w:t>
            </w: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outstanding - basic</w:t>
            </w: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42,721,566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39,483,187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42,721,566</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39,330,389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Dilutive effect</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794,884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814,607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of common stock</w:t>
            </w:r>
          </w:p>
        </w:tc>
        <w:tc>
          <w:tcPr>
            <w:tcW w:w="7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outstanding - diluted</w:t>
            </w:r>
          </w:p>
        </w:tc>
        <w:tc>
          <w:tcPr>
            <w:tcW w:w="7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42,721,566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40,278,071</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42,721,566</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40,144,996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ordinary share:</w:t>
            </w: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Basic</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securities outstanding at June 30, 2021 and 2020 have been excluded from the calculation of weighted average shares outstanding as their effect on the calculation of (loss) income per share is antidilutive: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2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14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64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9,724,748</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6,528,386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9,724,748</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6,528,386</w:t>
            </w:r>
          </w:p>
        </w:tc>
        <w:tc>
          <w:tcPr>
            <w:tcW w:w="100" w:type="dxa"/>
            <w:vAlign w:val="bottom"/>
            <w:shd w:val="clear" w:color="auto" w:fill="CFF0FC"/>
          </w:tcPr>
          <w:p>
            <w:pPr>
              <w:spacing w:after="0"/>
              <w:rPr>
                <w:sz w:val="19"/>
                <w:szCs w:val="19"/>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48,650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48,650</w:t>
            </w: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10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CO-DEVELOPMENT AND LICENSE AGREEMENT</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February 13, 2014, the Company signed a co-development and license agreement (the “Agreement”) with Janssen, which became effective upon completion of the Company’s initial public offering and provided for the payment of a $22.0 million license fee by the Company. Under the Agreement, Janssen granted the Company an exclusive license to certain patent and patent applications to sell products containing any orexin 2 compound, controlled by Janssen and to seltorexant for any use in humans.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accounted for the Agreement as a joint risk-sharing collaboration in accordance with ASC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During 2017, the Company entered into an amendment (the “Amendment”) to the Agreement whereby Janssen waived its right to royalties on seltorexant insomnia sales in the Minerva Territory, made an upfront payment to the Company of $30 million and agreed to waive development payments from the Company until completion of the Phase 2b development milestone, referred to as “Decision Point 4”.</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Subsequent to the results reported from three Phase 2b trials of seltorexant, in June 2020 the Company exercised its right to opt out of the Agreement with Janssen under a Settlement Agreement pursuant to which the Company and Janssen resolved certain disputes under the Agreement. As a result of the exercise of its right to opt out of the Agreement with Janssen, the Company will be entitled to collect a royalty on potential worldwide sales of seltorexant in certain indications in the mid-single digits, with no further financial obligations to Janssen.</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opting out of the Agreement with Janssen, the Company recognized $41.2 million in collaborative revenue during the second quarter of 2020 which had previously been included on the balance sheet under deferred revenue. The $41.2 million in collaborative revenue represents the $30 million payment made by Janssen and $11.2 million in previously accrued collaborative expenses forgiven by Janssen upon the effective date of the Amendment. The Company does not have any future performance obligations under the agreement and would recognize any future royalty revenues in the periods of the sale of the related products. In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5" w:name="page16"/>
    <w:bookmarkEnd w:id="15"/>
    <w:p>
      <w:pPr>
        <w:ind w:right="420"/>
        <w:spacing w:after="0" w:line="277" w:lineRule="auto"/>
        <w:rPr>
          <w:sz w:val="20"/>
          <w:szCs w:val="20"/>
          <w:color w:val="auto"/>
        </w:rPr>
      </w:pPr>
      <w:r>
        <w:rPr>
          <w:rFonts w:ascii="Arial" w:cs="Arial" w:eastAsia="Arial" w:hAnsi="Arial"/>
          <w:sz w:val="18"/>
          <w:szCs w:val="18"/>
          <w:color w:val="auto"/>
        </w:rPr>
        <w:t>January 2021, the Company sold its rights to these potential royalties to Royalty Pharma. Please refer to Note 6 further discussion of the sale of future royalties.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SALE OF FUTURE ROYALTIES</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On January 19, 2021, the Company entered into an agreement with Royalty Pharma under which Royalty Pharma acquired Minerva’s royalty interest in seltorexant for an upfront payment of $60 million and up to an additional $95 million in additional milestone payments. These milestone payments are contingent upon the achievement of certain clinical, regulatory and commercial milestones for seltorexant by Janssen or any other party in the event that Janssen sells seltorexant. Under the terms of the agreement, the Company has significant continuing involvement in facilitating the transfer of royalties to Royalty Pharma and Royalty Pharma has recourse against the Company relating to the payments due from Janssen. As such, the Company applied the debt recognition guidance under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and recorded the upfront payment of $60 million as a liability related to the sale of future royalties (“Royalty Obligation”), which will be amortized under the interest method over the estimated life of the agreement. In addition, in accordance with ASC 470, </w:t>
      </w:r>
      <w:r>
        <w:rPr>
          <w:rFonts w:ascii="Arial" w:cs="Arial" w:eastAsia="Arial" w:hAnsi="Arial"/>
          <w:sz w:val="16"/>
          <w:szCs w:val="16"/>
          <w:i w:val="1"/>
          <w:iCs w:val="1"/>
          <w:color w:val="auto"/>
        </w:rPr>
        <w:t>Debt</w:t>
      </w:r>
      <w:r>
        <w:rPr>
          <w:rFonts w:ascii="Arial" w:cs="Arial" w:eastAsia="Arial" w:hAnsi="Arial"/>
          <w:sz w:val="16"/>
          <w:szCs w:val="16"/>
          <w:color w:val="auto"/>
        </w:rPr>
        <w:t>, the Company will account for any royalties received in the future as non-cash royalty revenue.</w:t>
      </w:r>
    </w:p>
    <w:p>
      <w:pPr>
        <w:spacing w:after="0" w:line="16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royalties are remitted to the Company from Janssen and subsequently passed onto Royalty Pharma, the balance of the Royalty Obligation will be effectively repaid over the life of the co-development and license agreement (the “Agreement”) with Janssen. In order to determine the amortization of the Royalty Obligation, the Company is required to estimate the total amount of future royalty payments to Royalty Pharma over the life of the Agreement. In addition to the $60 million upfront payment, up to an additional $95 million in additional milestone payments will also be recorded as a liability related to the sale of future royalties when they are received and amortized under the interest method over the estimated remaining life of the agreement. At execution, the Company’s estimate of this total interest expense resulted in an effective annual interest rate of approximately 10.5%. This estimate contains significant assumptions that impact both the amount recorded at execution and the interest expense that will be recognized over the royalty period. The Company will periodically assess the estimated royalty payments to Royalty Payments from Janssen and to the extent the amount or timing of such payments is materially different than the original estimates, an adjustment will be recorded prospectively to increase or decrease interest expense. There are a number of factors that could materially affect the amount and timing of royalty payments to Royalty Pharma from Janssen, and correspondingly, the amount of interest expense recorded by the Company, most of which are not within the Company’s control. Such factors include, but are not limited to, delays or discontinuation of development of seltorexant, regulatory approval, changing standards of care, the introduction of competing products, manufacturing or other delays, generic competition, intellectual property matters, adverse events that result in governmental health authority imposed restrictions on the use of the drug products, significant changes in foreign exchange rates as the royalties remitted to Royalty Pharma are made in U.S. dollars (“USD”) while the underlying sales of seltorexant will be made in currencies other than USD, the ongoing COVID-19 pandemic, and other events or circumstances that are not currently foreseen. Changes to any of these factors could result in increases or decreases to both royalty revenues and interest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activity of the Royalty Obligation since the transaction inception through June 30, 2021:</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r>
      <w:tr>
        <w:trPr>
          <w:trHeight w:val="223"/>
        </w:trPr>
        <w:tc>
          <w:tcPr>
            <w:tcW w:w="7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Upfront payment from the sale of future royalties</w:t>
            </w: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60,000,000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Non-cash interest expense associated with the sale of future royalties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2,907,895</w:t>
            </w:r>
          </w:p>
        </w:tc>
        <w:tc>
          <w:tcPr>
            <w:tcW w:w="100" w:type="dxa"/>
            <w:vAlign w:val="bottom"/>
            <w:tcBorders>
              <w:bottom w:val="single" w:sz="8" w:color="CFF0FC"/>
            </w:tcBorders>
          </w:tcPr>
          <w:p>
            <w:pPr>
              <w:spacing w:after="0"/>
              <w:rPr>
                <w:sz w:val="19"/>
                <w:szCs w:val="19"/>
                <w:color w:val="auto"/>
              </w:rPr>
            </w:pP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Liability related to the sale of future royalties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62,907,895</w:t>
            </w:r>
          </w:p>
        </w:tc>
        <w:tc>
          <w:tcPr>
            <w:tcW w:w="100" w:type="dxa"/>
            <w:vAlign w:val="bottom"/>
            <w:shd w:val="clear" w:color="auto" w:fill="CFF0FC"/>
          </w:tcPr>
          <w:p>
            <w:pPr>
              <w:spacing w:after="0"/>
              <w:rPr>
                <w:sz w:val="19"/>
                <w:szCs w:val="19"/>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Equity Offering Program</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August 10, 2018, the Company entered into the Sales Agreement with Jefferies pursuant to which the Company may offer and sell, from time to time, through Jefferies, up to $50.0 million in shares of the Company's common stock, by any method permitted by law deemed to be an “at-the-market” offering as defined in Rule 415 promulgated under the Securities Act of 1933, as amended. During the year ended December 31, 2020, the Company issued and sold 3,381,608 shares of the Company's common stock under the Sales Agreement. The shares were sold at an average price of $3.7113 per share for aggregate net proceeds to the Company of approximately $12.1 million, after deducting sales commissions and offering costs payable by the Company.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6" w:name="page17"/>
    <w:bookmarkEnd w:id="16"/>
    <w:p>
      <w:pPr>
        <w:ind w:left="260"/>
        <w:spacing w:after="0"/>
        <w:rPr>
          <w:sz w:val="20"/>
          <w:szCs w:val="20"/>
          <w:color w:val="auto"/>
        </w:rPr>
      </w:pPr>
      <w:r>
        <w:rPr>
          <w:rFonts w:ascii="Arial" w:cs="Arial" w:eastAsia="Arial" w:hAnsi="Arial"/>
          <w:sz w:val="18"/>
          <w:szCs w:val="18"/>
          <w:b w:val="1"/>
          <w:bCs w:val="1"/>
          <w:i w:val="1"/>
          <w:iCs w:val="1"/>
          <w:color w:val="auto"/>
        </w:rPr>
        <w:t>Term Loan Warrants</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40,790 shares of common stock at a per share exercise price of $5.516. The warrants are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1.83%, (iii) an expected life of 10 years and (iv) no dividend payments. The fair value of the warrants was included as a discount to the term loans drawn at such time and also as a component of additional paid-in capital and were amortized to interest expense over the term of the loan. Although the term loans were repaid in August 2018, all related warrants were outstanding and exercisable as of June 30, 2021.</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 AWARD PLAN AND STOCK-BASED COMPENSATION</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December 2013, the Company adopted the 2013 Equity Incentive Plan (as subsequently amended and restated, the “Plan”), which provides for the issuance of options, stock appreciation rights, stock awards and stock units. Pursuant to Nasdaq listing rules, the Company issued inducement awards in December 2017 to the Company’s President outside of the Plan in the form of an option to purchase 775,000 shares of the Company’s common stock and a RSU award to purchase 40,000 shares of the Company’s common stock. As of September 30, 2020, all remaining inducement awards have been canceled or expired. In June 2020, the Company increased the aggregate number of shares of common stock authorized for issuance under the Plan by 2,000,000 shares. Stock option activity for employees and non-employees for the six months ended June 30, 2021 is as follows: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1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Issuable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Pursuant to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Terms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Stock Options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10,050,523</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(465,775)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980" w:type="dxa"/>
            <w:vAlign w:val="bottom"/>
            <w:gridSpan w:val="2"/>
          </w:tcPr>
          <w:p>
            <w:pPr>
              <w:spacing w:after="0"/>
              <w:rPr>
                <w:sz w:val="20"/>
                <w:szCs w:val="20"/>
                <w:color w:val="auto"/>
              </w:rPr>
            </w:pPr>
            <w:r>
              <w:rPr>
                <w:rFonts w:ascii="Arial" w:cs="Arial" w:eastAsia="Arial" w:hAnsi="Arial"/>
                <w:sz w:val="18"/>
                <w:szCs w:val="18"/>
                <w:color w:val="auto"/>
              </w:rPr>
              <w:t>Outstanding June 30, 2021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9,724,748</w:t>
            </w:r>
          </w:p>
        </w:tc>
        <w:tc>
          <w:tcPr>
            <w:tcW w:w="10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June 30,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6,943,670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Available for future grant</w:t>
            </w: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80" w:type="dxa"/>
            <w:vAlign w:val="bottom"/>
            <w:gridSpan w:val="2"/>
            <w:vMerge w:val="continue"/>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483,391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weighted average grant-date fair value of stock options outstanding on June 30, 2021 was $4.13 per share. Total unrecognized compensation costs related to non-vested stock options at June 30, 2021 were approximately $7.6 million and are expected to be recognized within future operating results over a weighted-average period of 1.64 years. The total intrinsic value of the options exercised during the six months ended June 30, 2021, and 2020 was zero and approximately $0.9 million, respectively.</w:t>
      </w:r>
    </w:p>
    <w:p>
      <w:pPr>
        <w:spacing w:after="0" w:line="22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The expected term of the employee-related options was estimated using the “simplified” method as defined by the SEC’s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The volatility assumption was determined by examining the historical volatilities for industry peer companies, as the Company did not have sufficient trading history for its common stock.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The Company uses the Black-Scholes model to estimate the fair value of stock options granted. For stock options granted during the six months ended June 30, 2021 and 2020, the Company utilized the following assumptions: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9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center"/>
              <w:ind w:right="195"/>
              <w:spacing w:after="0" w:line="155"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53"/>
              <w:spacing w:after="0"/>
              <w:rPr>
                <w:sz w:val="20"/>
                <w:szCs w:val="20"/>
                <w:color w:val="auto"/>
              </w:rPr>
            </w:pPr>
            <w:r>
              <w:rPr>
                <w:rFonts w:ascii="Arial" w:cs="Arial" w:eastAsia="Arial" w:hAnsi="Arial"/>
                <w:sz w:val="18"/>
                <w:szCs w:val="18"/>
                <w:color w:val="auto"/>
                <w:w w:val="89"/>
              </w:rPr>
              <w:t>5.50-5.88</w:t>
            </w:r>
          </w:p>
        </w:tc>
        <w:tc>
          <w:tcPr>
            <w:tcW w:w="10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right="195"/>
              <w:spacing w:after="0"/>
              <w:rPr>
                <w:sz w:val="20"/>
                <w:szCs w:val="20"/>
                <w:color w:val="auto"/>
              </w:rPr>
            </w:pPr>
            <w:r>
              <w:rPr>
                <w:rFonts w:ascii="Arial" w:cs="Arial" w:eastAsia="Arial" w:hAnsi="Arial"/>
                <w:sz w:val="18"/>
                <w:szCs w:val="18"/>
                <w:color w:val="auto"/>
                <w:w w:val="90"/>
              </w:rPr>
              <w:t>0.86%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53"/>
              <w:spacing w:after="0"/>
              <w:rPr>
                <w:sz w:val="20"/>
                <w:szCs w:val="20"/>
                <w:color w:val="auto"/>
              </w:rPr>
            </w:pPr>
            <w:r>
              <w:rPr>
                <w:rFonts w:ascii="Arial" w:cs="Arial" w:eastAsia="Arial" w:hAnsi="Arial"/>
                <w:sz w:val="18"/>
                <w:szCs w:val="18"/>
                <w:color w:val="auto"/>
                <w:w w:val="92"/>
              </w:rPr>
              <w:t>0.37%-0.42%</w:t>
            </w:r>
          </w:p>
        </w:tc>
        <w:tc>
          <w:tcPr>
            <w:tcW w:w="10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center"/>
              <w:ind w:right="195"/>
              <w:spacing w:after="0"/>
              <w:rPr>
                <w:sz w:val="20"/>
                <w:szCs w:val="20"/>
                <w:color w:val="auto"/>
              </w:rPr>
            </w:pPr>
            <w:r>
              <w:rPr>
                <w:rFonts w:ascii="Arial" w:cs="Arial" w:eastAsia="Arial" w:hAnsi="Arial"/>
                <w:sz w:val="18"/>
                <w:szCs w:val="18"/>
                <w:color w:val="auto"/>
                <w:w w:val="94"/>
              </w:rPr>
              <w:t>75%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53"/>
              <w:spacing w:after="0"/>
              <w:rPr>
                <w:sz w:val="20"/>
                <w:szCs w:val="20"/>
                <w:color w:val="auto"/>
              </w:rPr>
            </w:pPr>
            <w:r>
              <w:rPr>
                <w:rFonts w:ascii="Arial" w:cs="Arial" w:eastAsia="Arial" w:hAnsi="Arial"/>
                <w:sz w:val="18"/>
                <w:szCs w:val="18"/>
                <w:color w:val="auto"/>
                <w:w w:val="92"/>
              </w:rPr>
              <w:t>68%-69%</w:t>
            </w:r>
          </w:p>
        </w:tc>
        <w:tc>
          <w:tcPr>
            <w:tcW w:w="10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Dividend yield</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right="175"/>
              <w:spacing w:after="0"/>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53"/>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9"/>
                <w:szCs w:val="19"/>
                <w:color w:val="auto"/>
              </w:rPr>
            </w:pPr>
          </w:p>
        </w:tc>
      </w:tr>
      <w:tr>
        <w:trPr>
          <w:trHeight w:val="215"/>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w:t>
            </w: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1.83</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33"/>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20"/>
                <w:szCs w:val="20"/>
                <w:color w:val="auto"/>
              </w:rPr>
            </w:pPr>
          </w:p>
        </w:tc>
      </w:tr>
    </w:tbl>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RSUs awarded to employees generally vest one-fourth per year over four years from the anniversary of the date of grant, provided the employee remains continuously employed with the Company. Shares of the Company’s stock are delivered to the employee upon vesting, subject to payment of applicable withholding taxes. The fair value of RSUs is equal to the closing price of the Company’s common stock on the date of grant. The total unrecognized compensation costs related to non-vested RSUs at June 30, 2021 was zero. There were no unvested RSUs as of June 30, 2021 and December 31, 2020,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stock-based compensation expense included in the Company’s consolidated statements of operations: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4"/>
          </w:tcPr>
          <w:p>
            <w:pPr>
              <w:jc w:val="right"/>
              <w:ind w:right="115"/>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4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FF0FC"/>
            </w:tcBorders>
          </w:tcPr>
          <w:p>
            <w:pPr>
              <w:spacing w:after="0"/>
              <w:rPr>
                <w:sz w:val="13"/>
                <w:szCs w:val="13"/>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641,373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694,540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1,285,549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1,376,153</w:t>
            </w:r>
          </w:p>
        </w:tc>
        <w:tc>
          <w:tcPr>
            <w:tcW w:w="60" w:type="dxa"/>
            <w:vAlign w:val="bottom"/>
            <w:shd w:val="clear" w:color="auto" w:fill="CFF0FC"/>
          </w:tcPr>
          <w:p>
            <w:pPr>
              <w:spacing w:after="0"/>
              <w:rPr>
                <w:sz w:val="19"/>
                <w:szCs w:val="19"/>
                <w:color w:val="auto"/>
              </w:rPr>
            </w:pPr>
          </w:p>
        </w:tc>
      </w:tr>
      <w:tr>
        <w:trPr>
          <w:trHeight w:val="230"/>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742,687</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2,790,942</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1,614,575</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4,307,516</w:t>
            </w:r>
          </w:p>
        </w:tc>
        <w:tc>
          <w:tcPr>
            <w:tcW w:w="60" w:type="dxa"/>
            <w:vAlign w:val="bottom"/>
            <w:tcBorders>
              <w:bottom w:val="single" w:sz="8" w:color="CFF0FC"/>
            </w:tcBorders>
          </w:tcPr>
          <w:p>
            <w:pPr>
              <w:spacing w:after="0"/>
              <w:rPr>
                <w:sz w:val="19"/>
                <w:szCs w:val="19"/>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1,384,060</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3,485,482</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2,900,124</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5,683,669</w:t>
            </w:r>
          </w:p>
        </w:tc>
        <w:tc>
          <w:tcPr>
            <w:tcW w:w="6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1 for the Company’s significant risks and uncertainties in regards to litigation.</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10 for the Company’s current lease commitments.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LEASES</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5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On October 2, 2017, the Company entered into an office sublease agreement (the “Sublease”) with Profitect, Inc. (the “Sublandlord”) to sublease approximately 5,923 rentable square feet of office space located at 1601 Trapelo Road, Waltham, MA 02451 (the “Premises”). The term of the Sublease began on November 1, 2017 and will expire on July 31, 2021 (the “Term”), with a monthly rental rate starting at $14,808 and escalating to a maximum monthly rental rate of $16,288 in the final 12 months of the Term. The Sublandlord provided the Premises to the Company free of charge for the first two months of the Term. The Company will recognize the remaining expense in accordance with ASC 842.</w:t>
      </w:r>
    </w:p>
    <w:p>
      <w:pPr>
        <w:spacing w:after="0" w:line="21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 xml:space="preserve">On May 5, 2021, the Company entered into an office license agreement with BP Reservoir Place to license approximately 5,923 rentable square feet of office space located at 1601 Trapelo Road, Waltham, MA 02451. The term of the license agreement is scheduled to begin on August 1, 2021 and will expire on July 31, 2022, with an annual rate of $239,881.50 payable in equal monthly installments. The Company has elected to not recognize the license agreement on the balance sheet as the term of the agreement is 12 months or less. Please refer to Note 2 for additional information on ASC 842,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8" w:name="page19"/>
    <w:bookmarkEnd w:id="18"/>
    <w:p>
      <w:pPr>
        <w:ind w:right="100"/>
        <w:spacing w:after="0" w:line="286" w:lineRule="auto"/>
        <w:rPr>
          <w:sz w:val="20"/>
          <w:szCs w:val="20"/>
          <w:color w:val="auto"/>
        </w:rPr>
      </w:pPr>
      <w:r>
        <w:rPr>
          <w:rFonts w:ascii="Arial" w:cs="Arial" w:eastAsia="Arial" w:hAnsi="Arial"/>
          <w:sz w:val="17"/>
          <w:szCs w:val="17"/>
          <w:color w:val="auto"/>
        </w:rPr>
        <w:t>Throughout the Term, the Company is responsible for paying certain costs and expenses, in addition to the rent, as specified in the Sublease, including a proportionate share of applicable taxes, operating expenses and utilities. In applying the ASC 842 transition guidance, the Company retained the classification of this Sublease as operating and recorded a lease liability and a right-of-use asset on the ASC 842 effective date.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a summary of the Sublease costs recognized under ASC 842 and other information pertaining to the Company’s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Sublease for the six months ended June 30, 2021:</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June 30, 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Sublease cost</w:t>
            </w:r>
          </w:p>
        </w:tc>
        <w:tc>
          <w:tcPr>
            <w:tcW w:w="17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Operating Sublease cost</w:t>
            </w:r>
          </w:p>
        </w:tc>
        <w:tc>
          <w:tcPr>
            <w:tcW w:w="19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89,635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Sublease cost</w:t>
            </w:r>
          </w:p>
        </w:tc>
        <w:tc>
          <w:tcPr>
            <w:tcW w:w="17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Operating cash flows used for operating Sublease</w:t>
            </w:r>
          </w:p>
        </w:tc>
        <w:tc>
          <w:tcPr>
            <w:tcW w:w="19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97,730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Weighted average remaining Sublease term</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w w:val="99"/>
              </w:rPr>
              <w:t>0.1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Weighted average discount rate</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Sublease payments under the Company’s non-cancelable operating Sublease as of June 30, 2021 and December 31, 2020 are as follows: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Future Operating Sublease Payments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7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2021</w:t>
            </w:r>
          </w:p>
        </w:tc>
        <w:tc>
          <w:tcPr>
            <w:tcW w:w="0" w:type="dxa"/>
            <w:vAlign w:val="bottom"/>
          </w:tcPr>
          <w:p>
            <w:pPr>
              <w:spacing w:after="0"/>
              <w:rPr>
                <w:sz w:val="1"/>
                <w:szCs w:val="1"/>
                <w:color w:val="auto"/>
              </w:rPr>
            </w:pPr>
          </w:p>
        </w:tc>
      </w:tr>
      <w:tr>
        <w:trPr>
          <w:trHeight w:val="223"/>
        </w:trPr>
        <w:tc>
          <w:tcPr>
            <w:tcW w:w="7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 (excluding the six months ended June 30, 2021)</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Sublease payments</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Sublease liabilities at June 30, 2021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Future Operating Sublease Payments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7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3"/>
        </w:trPr>
        <w:tc>
          <w:tcPr>
            <w:tcW w:w="7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Sublease payments</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23"/>
        </w:trPr>
        <w:tc>
          <w:tcPr>
            <w:tcW w:w="7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Sublease liabilities at December 31, 2020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98" w:right="5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2020 as filed with the Securities and Exchange Commission on March 8,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proprietary product candidates to treat patients suffering from central nervous system (“CNS”)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developing roluperidone (f/k/a MIN-101) for the treatment of negative symptoms in patients with schizophrenia and MIN-301 for the treatment of Parkinson’s disease. In addition, we previously co-developed seltorexant (f/k/a MIN-202 or JNJ-42847922) with Janssen Pharmaceutica NV (“Janssen”) for the treatment of insomnia disorder and adjunctive treatment of Major Depressive Disorder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 In January 2021, we sold our rights to these potential royalties to Royalty Pharma plc (“Royalty Pharma”).</w:t>
      </w:r>
    </w:p>
    <w:p>
      <w:pPr>
        <w:spacing w:after="0" w:line="17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On November 30, 2020 we received official meeting minutes from our November 10, 2020 Type C meeting with the U.S. Food and Drug Administration (“FDA”) regarding the development of roluperidone for treatment of negative symptoms of schizophrenia. The objective of this meeting was to obtain FDA input regarding the roluperidone data package and its readiness to support a New Drug Application (“NDA”). We summarized FDA’s comments in our 10-K filed on March 8, 2021, and we plan to continue to communicate with FDA regarding their comments and continue to move forward with the clinical pharmacology, non-clinical, and chemistry, manufacturing and controls work needed to support an NDA submission in the first half of 2022.</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not received regulatory approvals to commercialize any of our product candidates, and we have not generated any revenue from the sales or license of our product candidates. We have incurred significant operating losses every year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Regulatory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Label Extension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May 11, 2021, we announced results from the 40-week open-label extension (OLE) of the Company’s phase 3 trial of roluperidone for the treatment of negative symptoms (NS) of schizophrenia. The OLE followed the 12-week double-blind, placebo-controlled portion of this trial. During the 40-week OLE, both investigators and patients were blinded to the roluperidone dose received. The OLE was designed to evaluate the safety of roluperidone after long-term exposure. Efficacy endpoints were also assessed during the OLE period. As such, efficacy data collected during the OLE are not placebo-controlled and therefore their interpretation is limited.</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Over the 40-week OLE period, 333 patients participated, of whom 166 patients received the 32 mg dose and 167 patients received the 64 mg dose. A total of 202 of the 333 patients completed the 40-week OLE period.</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mean improvement in negative symptoms was 6.8 points in the 32 mg arm and 7.5 points in the 64 mg arm. PSP total score improved by a mean of 12.3 points in the 32 mg arm and 14.5 points in the 64 mg arm, suggesting functional improvement.</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mean improvement in positive symptoms, as measured by the PANSS positive symptom subscore, was 1.9 points in the 32 mg arm and 1.8 points in the 64 mg arm.</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Reduced emotional experience, as measured by a sub-factor of the NSFS that assesses a patient’s motivation to take part in everyday life activities, had a mean improvement of 2.8 points in the 32 mg group and 3.0 points in the 64 mg group.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0" w:name="page21"/>
    <w:bookmarkEnd w:id="20"/>
    <w:p>
      <w:pPr>
        <w:ind w:right="20"/>
        <w:spacing w:after="0" w:line="342" w:lineRule="auto"/>
        <w:rPr>
          <w:sz w:val="20"/>
          <w:szCs w:val="20"/>
          <w:color w:val="auto"/>
        </w:rPr>
      </w:pPr>
      <w:r>
        <w:rPr>
          <w:rFonts w:ascii="Arial" w:cs="Arial" w:eastAsia="Arial" w:hAnsi="Arial"/>
          <w:sz w:val="16"/>
          <w:szCs w:val="16"/>
          <w:color w:val="auto"/>
        </w:rPr>
        <w:t>The relapse rate during the OLE, defined as patients being withdrawn from the trial due to worsening of symptoms of psychosis, was 15 patients out of 166 patients (9%) in the 32 mg arm and 10 patients out of 167 patients (6%) in the 64 mg arm. Over the one-year duration the relapse rate was 11.7% overall.</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Roluperidone at both doses was safe and well tolerated and treatment-emergent adverse events (TEAE) were generally mild to moderate in severity. The most frequently reported TEAE in the overall group of 333 patients that participated in the OLE were headaches in 26 patients (7.8%), followed by worsening of schizophrenia in 18 patients (5.4%) and insomnia in 15 patients (4.5%). No other TEAE was reported by more than 4% of the patients. There was one death that occurred after treatment discontinuation (45-year old male) in the 64 mg arm due to treatment-unrelated respiratory failure. Twenty patients (6%) experienced serious adverse events, with the majority of them associated with the disease characteristics, and only 5 were judged by the investigator to be related to roluperidone. In total, 37 patients (11%) did not complete the OLE due to TEAE, with 25 patients (7.5%) due to relapse-related events and the remaining 12 patients due to a variety of other TEAE reported in ≤1% of the patients. Few QT prolongations were observed during the OLE, were generally transient in duration and only one in the 64 mg arm led to discontinuation from the study.</w:t>
      </w:r>
    </w:p>
    <w:p>
      <w:pPr>
        <w:spacing w:after="0" w:line="16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previously announced on May 29, 2020, the double-blind, placebo-controlled portion of the Phase 3 trial enrolled a total of 515 patients that were randomized in a 1:1:1 ratio to 32 mg/day roluperidone, 64 mg/day roluperidone, or placebo for 12 weeks, and 513 patients received study drugs. The 12-week double-blind, placebo-controlled portion of the trial did not meet its primary or key secondary endpoints in the intent-to-treat population. The 32 mg and 64 mg doses were not statistically significantly different from placebo at week 12 on the primary endpoint of NSFS (p ≤0.259 and p ≤0.064, respectively), or on the key secondary endpoint, PSP total score (p ≤0.542 and nominal p ≤0.021, respectively). The subsequent analysis of the change in baseline in NSFS and PSP total score based on the modified ITT population treated with the 64 mg dose resulted in nominally statistically significant p ≤0.044 and p ≤0.017,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Bioequivalence Study</w:t>
      </w:r>
    </w:p>
    <w:p>
      <w:pPr>
        <w:spacing w:after="0" w:line="225"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On April 23, 2021, we initiated subject screening in a pivotal bioequivalence study in healthy volunteers comparing the formulations employed in the Phase 2b and Phase 3 trials as well as at least one new formulation designed in conjunction with our commercial supplier to facilitate large scale manufacturing. On June 29, 2021, we completed the enrollment of 48 subjects in this study, and top line results are expected in the third quarter of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Seltorexant</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June 2020 we exercised our right to opt out of our agreement with Janssen for the future Phase 3 development and commercialization of seltorexant. Under the terms of the opt-out agreement, we are entitled to collect royalties in the mid-single digits on potential future worldwide sales of seltorexant in certain indications, with no further financial obligations to Janssen. In January 2021 we sold our rights to these potential royalties to Royalty Pharma for a $60 million cash payment and up to an additional $95 million in potential milestones, subject to completion of the Phase 3 program by Jansen and regulatory approvals.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None of our product candidates have been approved for commercialization and we have not received any revenue in connection with the sale or</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of our product candidates.</w:t>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i w:val="1"/>
          <w:iCs w:val="1"/>
          <w:color w:val="auto"/>
        </w:rPr>
        <w:t xml:space="preserve">Collaborative Revenue. </w:t>
      </w:r>
      <w:r>
        <w:rPr>
          <w:rFonts w:ascii="Arial" w:cs="Arial" w:eastAsia="Arial" w:hAnsi="Arial"/>
          <w:sz w:val="18"/>
          <w:szCs w:val="18"/>
          <w:color w:val="auto"/>
        </w:rPr>
        <w:t>During 2020 we exercised our right to opt out of the joint development agreement with Janssen for the future development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seltorexant. As a result, we have no future obligations under the agreement and recognized approximately $41.2 million in collaborative revenue during 2020, which we had previously included on our balance sheet under deferred revenue.</w:t>
      </w:r>
    </w:p>
    <w:p>
      <w:pPr>
        <w:spacing w:after="0" w:line="18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consists of costs incurred in connection with the development of our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including: fees paid to consultants and clinical research organizations (“CROs”) including in connection with our non-clinical and clinical trials, and other related clinical trial fees, such as for investigator grants, patient screening, laboratory work, clinical trial database management, clinical trial material management and statistical compilation and analysis; licensing fees; costs related to acquiring clinical trial materials; costs related to compliance with regulatory requirements; and costs related to salaries, benefits, bonuses and stock-based compensation granted to employees in research and development functions. We expense research and development costs as they are incurred.</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Completion dates and completion costs can vary significantly for each product candidate and are difficult to predict. We anticipate we will make determinations as to which programs to pursue and how much funding to direct to each program on an ongoing basis in response to the scientific and clinical success or failure of each product candidate, the estimated costs to continue the development program relative to our available resources, as well as an ongoing assessment as to each product candidate’s commercial potential. We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will need to raise additional capital or may seek additional product collaborations in the future in order to complete the development and commercialization of our product candidates.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principally of costs for functions in executive, finance, legal, auditing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taxes. Our general and administrative expenses include salaries, bonuses, facility and information system costs and professional fees for auditing, accounting, consulting and legal services. General and administrative costs also include non-cash stock-based compensation expense as part of our compensation strategy to attract and retain qualified staff.</w:t>
      </w:r>
    </w:p>
    <w:p>
      <w:pPr>
        <w:spacing w:after="0" w:line="18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expect to continue to incur general and administrative expenses related to operating as a publicly traded company, including increased audit and legal fees, costs of compliance with securities laws, corporate governance and other regulations, investor relations expenses and higher insurance premiums.</w:t>
      </w:r>
    </w:p>
    <w:p>
      <w:pPr>
        <w:spacing w:after="0" w:line="12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i w:val="1"/>
          <w:iCs w:val="1"/>
          <w:color w:val="auto"/>
        </w:rPr>
        <w:t xml:space="preserve">Foreign Exchange (Losses) Gains. </w:t>
      </w:r>
      <w:r>
        <w:rPr>
          <w:rFonts w:ascii="Arial" w:cs="Arial" w:eastAsia="Arial" w:hAnsi="Arial"/>
          <w:sz w:val="17"/>
          <w:szCs w:val="17"/>
          <w:color w:val="auto"/>
        </w:rPr>
        <w:t>Foreign exchange (losses) gains are comprised primarily of losses and gains of foreign currency transactions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trial expenses denominated in Euros. Since our current clinical trials are conducted in Europe, we incur certain expenses in Euros and record these expenses in United States Dollars at the time the liability is incurred. Changes in the applicable foreign currency rate between the date an expense is recorded and the payment date is recorded as a foreign currency loss or gain. We expect to continue to incur future expenses denominated in Euros as certain of our planned clinical trials are expected to be conducted in Europe.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Investment income consists of income earned on our cash equivalents and marketable securities.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 xml:space="preserve">Non-cash interest expense for the sale of future royalties. </w:t>
      </w:r>
      <w:r>
        <w:rPr>
          <w:rFonts w:ascii="Arial" w:cs="Arial" w:eastAsia="Arial" w:hAnsi="Arial"/>
          <w:sz w:val="18"/>
          <w:szCs w:val="18"/>
          <w:color w:val="auto"/>
        </w:rPr>
        <w:t>Non-cash interest expense for the sale of future royalties consists of the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Royalty Pharma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2021 versus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Revenue</w:t>
      </w:r>
    </w:p>
    <w:p>
      <w:pPr>
        <w:spacing w:after="0" w:line="225"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Collaborative Revenue was zero and $41.2 million for the three months ended June 30, 2021 and 2020, respectively, a decrease of $41.2 million. The decrease in collaborative revenue was the result of opting out of our co-development and license agreement with Janssen and recognizing the revenue during the three months ended June 30, 2020 and no similar activity in the corresponding period in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Research and development expenses were $5.5 million and $5.8 million for the three months ended June 30, 2021 and 2020, respectively, a decrease of approximately $0.3 million. The decrease in research and development expenses was primarily due to lower costs for the Phase 3 clinical trial of roluperidone as a result of the completion in May 2020 of the three-month core study portion of the trial. Non-cash stock compensation expense included in research and development expenses was $0.6 million and $0.7 million for the three months ended June 30, 2021 and 2020,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General and administrative expenses were $3.4 million and $5.9 million for the three months ended June 30, 2021 and 2020, respectively, a decrease of approximately $2.5 million. The decrease in general and administrative expenses was primarily due to a decrease in non-cash stock-based compensation expenses and severance benefits. Non-cash stock compensation expense included in general and administrative expenses was $0.7 million and $2.8 million for the three months ended June 30, 2021 and 2020, respectively. The decrease in stock compensation expense of $2.1 million was due primarily to certain stock option awards approved in June 2020 as well as additional stock compensation expense incurred under a severance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Foreign exchange losses were $19 thousand and $4 thousand for the three months ended June 30, 2021 and 2020, respectively, an increase of $15 thousand.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foreign exchange losses was primarily due to a higher level of clinical activities in 2021 denominated in Euros.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Investment income was $5 thousand and $25 thousand for the three months ended June 30, 2021 and 2020, respectively, a decrease of $20 thousand. The decrease was primarily due to lower average balances for cash equivalents and marketable securities during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interest expense for the sale of future royalties</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Non-cash interest expense for the sale of future royalties was $1.6 million for the three months ended June 30, 2021 and zero for the prior year period. The increase was primarily due to the sale of our royalty interest in seltorexant to Royalty Pharma and the effective interest associated with the agreement, see Note 6 for the sale of future royalties.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2021 versus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Revenue</w:t>
      </w:r>
    </w:p>
    <w:p>
      <w:pPr>
        <w:spacing w:after="0" w:line="22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Collaborative Revenue was zero and $41.2 million for the six months ended June 30, 2021 and 2020, respectively, a decrease of $41.2 million. The decrease in collaborative revenue was the result of opting out of our co-development and license agreement with Janssen and recognizing the revenue during the six months ended June 30, 2020 and no similar activity in the corresponding period in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Research and development expenses were $8.8 million and $13.8 million for the six months ended June 30, 2021 and 2020, respectively, a decrease of approximately $5.0 million. The decrease in research and development expenses was primarily due to lower costs for the Phase 3 clinical trial of roluperidone as a result of the completion in May 2020 of the three-month core study portion of the trial. Non-cash stock compensation expense included in research and development expenses was $1.3 million and $1.4 million for the six months ended June 30, 2021 and 2020,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General and administrative expenses were $7.7 million and $10.1 million for the six months ended June 30, 2021 and 2020, respectively, a decrease of approximately $2.4 million. The decrease in general and administrative expenses was primarily due to a decrease in non-cash stock-based compensation expenses and severance benefits. Non-cash stock compensation expense included in general and administrative expenses was $1.6 million and $4.3 million for the six months ended June 30, 2021 and 2020, respectively. The decrease in stock compensation expense of $2.7 million was due primarily to certain stock option awards approved in June 2020 as well as additional stock compensation expense incurred under a severance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losses were $24 thousand and $13 thousand for the six months ended June 30, 2021 and 2020, respectively, an increase of $11 thousand.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foreign exchange losses was primarily due to a higher level of clinical activities in 2021 denominated in Euros.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Investment income was $9 thousand and $155 thousand for the six months ended June 30, 2021 and 2020, respectively, a decrease of $146 thousand. The decrease was primarily due to lower average balances for cash equivalents and marketable securities during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interest expense for the sale of future royalties</w:t>
      </w:r>
    </w:p>
    <w:p>
      <w:pPr>
        <w:spacing w:after="0" w:line="22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Non-cash interest expense for the sale of future royalties was $2.9 million for the six months ended June 30, 2021 and zero for the prior year period. The increase was primarily due to the sale of our royalty interest in seltorexant to Royalty Pharma and the effective interest associated with the agreement, see Note 6 for the sale of future royalties.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June 30, 2021, we had an accumulated deficit of approximately $304.2 million. We anticipate that we will continue to incur net losses for the foreseeable future as we continue the development and potential commercialization of our product candidates and to support our operations as a public company. At June 30, 2021, we had approximately $74.3 million in cash, cash equivalents, and restricted cash. In January 2021, Royalty Pharma acquired our royalty interest in seltorexant for an upfront payment of $60 million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3" w:name="page24"/>
    <w:bookmarkEnd w:id="23"/>
    <w:p>
      <w:pPr>
        <w:ind w:right="20"/>
        <w:spacing w:after="0" w:line="279" w:lineRule="auto"/>
        <w:rPr>
          <w:sz w:val="20"/>
          <w:szCs w:val="20"/>
          <w:color w:val="auto"/>
        </w:rPr>
      </w:pPr>
      <w:r>
        <w:rPr>
          <w:rFonts w:ascii="Arial" w:cs="Arial" w:eastAsia="Arial" w:hAnsi="Arial"/>
          <w:sz w:val="17"/>
          <w:szCs w:val="17"/>
          <w:color w:val="auto"/>
        </w:rPr>
        <w:t>and up to $95 million in additional milestone payments. The potential future milestone payments to us will be contingent on the achievement of certain clinical, regulatory and commercialization milestones for seltorexant by Janssen. Seltorexant is currently in Phase 3 development for the treatment of MDD with insomnia symptoms by Janssen. We believe that our existing cash, cash equivalents, and restricted cash will be sufficient to meet our cash commitments for at least the next 12 months after the date that the interim condensed financial statements are issued.</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 We have the ability to adjust our operating plan spending levels based on the timing of future clinical trials which will be predicated upon adequate funding to complete the trials.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August 2018 we entered into the Sales Agreement with Jefferies LLC pursuant to which we may offer and sell, from time to time, through Jefferies, up to $50.0 million in shares of our common stock, by any method permitted by law deemed to be an “at-the-market” offering as defined in Rule 415 promulgated under the Securities Act of 1933, as amended. During the year ended December 31, 2020, we issued and sold 3,381,608 shares of our common stock under the Sales Agreement. The shares were sold at an average price of $3.7113 per share for aggregate net proceeds to us of approximately $12.1 million, after deducting sales commissions and offering costs payable by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Seltorexant Royalties</w:t>
      </w:r>
    </w:p>
    <w:p>
      <w:pPr>
        <w:spacing w:after="0" w:line="225"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We previously co-developed seltorexant with Janssen for the treatment of insomnia disorder and adjunctive treatment of MDD. During 2020 we exercised our right to opt out of a joint development agreement with Janssen for the future development of seltorexant. As a result, we are entitled to collect royalties in the mid-single digits on potential future sales of seltorexant worldwide in certain indications, with no further financial obligations to Janssen.</w:t>
      </w:r>
    </w:p>
    <w:p>
      <w:pPr>
        <w:spacing w:after="0" w:line="14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On January 19, 2021, we entered into an agreement with Royalty Pharma under which Royalty Pharma has acquired our royalty interest in seltorexant for an upfront payment of $60 million and up to $95 million in future milestone payments, contingent upon the achievement of certain clinical, regulatory and commercial milestones for seltorexant by Janssen.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date, we have not generated any revenue from sales of products. We have only generated collaborative revenue due to opting out of our license and co-development agreement with Janssen, and have only generated revenue from the one-time sale of our royalty interests in seltorexant to Royalty Pharma. We do not know when, or if, we will generate any revenue from sales of our products, or from the potential future royalty streams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Until such time, if ever, as we can generate substantial revenue from product sales, we expect to finance our cash needs through a combination of equity offerings, debt financings, government or other third 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 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the uncertainty and volatility in the capital markets caused by the continuing COVID-19 pandemic may negatively impact the availability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jc w:val="both"/>
        <w:ind w:right="180"/>
        <w:spacing w:after="0" w:line="301" w:lineRule="auto"/>
        <w:rPr>
          <w:sz w:val="20"/>
          <w:szCs w:val="20"/>
          <w:color w:val="auto"/>
        </w:rPr>
      </w:pPr>
      <w:r>
        <w:rPr>
          <w:rFonts w:ascii="Arial" w:cs="Arial" w:eastAsia="Arial" w:hAnsi="Arial"/>
          <w:sz w:val="16"/>
          <w:szCs w:val="16"/>
          <w:color w:val="auto"/>
        </w:rPr>
        <w:t>and cost of capital. If we are unable to obtain additional financing, future operations would need to be scaled back or discontinued. We believe that our existing cash, cash equivalents, and restricted cash will be sufficient to meet our cash commitments for at least the next 12 months after the date that the interim condensed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set forth our significant sources and uses of cash for the periods.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50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3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2000" w:type="dxa"/>
            <w:vAlign w:val="bottom"/>
            <w:gridSpan w:val="5"/>
          </w:tcPr>
          <w:p>
            <w:pPr>
              <w:jc w:val="right"/>
              <w:ind w:right="110"/>
              <w:spacing w:after="0" w:line="155" w:lineRule="exact"/>
              <w:rPr>
                <w:sz w:val="20"/>
                <w:szCs w:val="20"/>
                <w:color w:val="auto"/>
              </w:rPr>
            </w:pPr>
            <w:r>
              <w:rPr>
                <w:rFonts w:ascii="Arial" w:cs="Arial" w:eastAsia="Arial" w:hAnsi="Arial"/>
                <w:sz w:val="14"/>
                <w:szCs w:val="14"/>
                <w:b w:val="1"/>
                <w:bCs w:val="1"/>
                <w:color w:val="auto"/>
              </w:rPr>
              <w:t>(dollars in millions)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7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Operating activities</w:t>
            </w:r>
          </w:p>
        </w:tc>
        <w:tc>
          <w:tcPr>
            <w:tcW w:w="700" w:type="dxa"/>
            <w:vAlign w:val="bottom"/>
          </w:tcPr>
          <w:p>
            <w:pPr>
              <w:jc w:val="right"/>
              <w:ind w:right="548"/>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(11.1)</w:t>
            </w:r>
          </w:p>
        </w:tc>
        <w:tc>
          <w:tcPr>
            <w:tcW w:w="76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(16.8)</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7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w:t>
            </w:r>
          </w:p>
        </w:tc>
        <w:tc>
          <w:tcPr>
            <w:tcW w:w="700" w:type="dxa"/>
            <w:vAlign w:val="bottom"/>
            <w:tcBorders>
              <w:bottom w:val="single" w:sz="8" w:color="auto"/>
            </w:tcBorders>
            <w:shd w:val="clear" w:color="auto" w:fill="CFF0FC"/>
          </w:tcPr>
          <w:p>
            <w:pPr>
              <w:jc w:val="right"/>
              <w:ind w:right="548"/>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Net cash used in operating activities of approximately $11.1 million during the six months ended June 30, 2021 was primarily due our net loss of $19.4 million, partially offset by stock-based compensation expense of $2.9 million, non-cash interest expense for the sale of future royalties of $2.9 million, a $1.1 million decrease in prepaid expense, a $0.6 million increase in accounts payable, and an increase in accrued expenses of $0.8 million.</w:t>
      </w:r>
    </w:p>
    <w:p>
      <w:pPr>
        <w:spacing w:after="0" w:line="1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cash used in operating activities of approximately $16.8 million during the six months ended June 30, 2020 was primarily due to our net income of $17.4 million, stock-based compensation expense of $5.7 million, a $0.9 increase in accounts payable, and a decrease in prepaid expense of $0.6 million, partially offset by a decrease in deferred revenue of $41.2 million, a $0.1 million decrease in accrued expenses, and amortization of investments of $0.1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investing activities was zero during the three months ended June 30, 2021.</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cash provided by investing activities of approximately $21.5 million during the six months ended June 30, 2020 was primarily due to the maturity and redemption of marketable securities of $25.4 million, partially offset by the purchase of marketable securities of $3.9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Net cash provided by financing activities of $60 million during the six months ended June 30, 2021 was due to the proceeds from the sale of future royalties of $60 million.</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Net cash provided by financing activities of $6.1 million during the six months ended June 30, 2020 was due to the gross proceeds from the June 2020 at the market stock offering of $5.2 million less costs of $0.2 million, and proceeds from the exercise of common stock options of $1.1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our Annual Report on Form 10-K for the fiscal year ended December 31, 2020, our most critical accounting policies and estimates upon which our financial status depends were identified as those relating to research and development costs; in-process research and development; goodwill; and income taxes. We reviewed our policies and determined that those policies and the accounting policies and</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estimates relating to the liability related to the sale of future royalties were our most critical accounting policies for the six months ended June 30,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related to the sale of future royalties</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treats the sale of future royalties to Royalty Pharma as a debt financing, as the Company has significant continuing involvement in facilitating the transfer of royalties to Royalty Pharma and Royalty Pharma has recourse against the Company relating to the payments due from Janssen. As a result, the Company recorded the upfront payment of $60 million from this transaction as a liability related to the sale of future royalties to be amortized to interest expense using the effective interest rate method over the life of the arrangement.</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liability related to sale of future royalties and the related interest expense are based on our current estimates of future royalties expected to be paid over the life of the arrangement. The Company will periodically assess the expected royalty payments using a combination of internal projections and forecasts from external sources. To the extent the Company’s future estimates of royalty payments are greater or less than previous estimates or the estimated timing of such payments is materially different than its previous estimates, the Company will prospectively recognize related non-cash interest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of the sale of future royalties, please refer to Note 6, Sale of Future Royalties.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and are adopted by us as of the specified effective date. Our significant accounting policies are described in Note 2 to our condensed consolidated financial statements appearing elsewhere in this Form 10-Q. Except as described in Note 2, we believe that the impact of other recently issued accounting pronouncements will not have a material impact on consolidated financial position, results of operations, and cash flows, or do not apply to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Financial Officer (principal financial officer), evaluated the effectiveness of our disclosure controls and procedures as of June 30, 2021. Based on the evaluation of our disclosure controls and procedures as of June 30, 2021, our Chief Executive Officer and Chief Financial Officer concluded that, as of such date, our disclosure controls and procedures were effective at a reasonable assurance level</w:t>
      </w:r>
      <w:r>
        <w:rPr>
          <w:rFonts w:ascii="Arial" w:cs="Arial" w:eastAsia="Arial" w:hAnsi="Arial"/>
          <w:sz w:val="21"/>
          <w:szCs w:val="21"/>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our latest fiscal quarter that would have materially affected, or are reasonably likely to materially affect, our internal control over financial reporting.</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6" w:name="page27"/>
    <w:bookmarkEnd w:id="26"/>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On December 8, 2020 and January 11, 2021, purported stockholders of the Company filed two putative securities class action complaints in the United States District Court for the District of Massachusetts, entitled </w:t>
      </w:r>
      <w:r>
        <w:rPr>
          <w:rFonts w:ascii="Arial" w:cs="Arial" w:eastAsia="Arial" w:hAnsi="Arial"/>
          <w:sz w:val="16"/>
          <w:szCs w:val="16"/>
          <w:i w:val="1"/>
          <w:iCs w:val="1"/>
          <w:color w:val="auto"/>
        </w:rPr>
        <w:t>McCoy v. Minerva Neurosciences, Inc., et al., No. 1:20-cv-12176</w:t>
      </w:r>
      <w:r>
        <w:rPr>
          <w:rFonts w:ascii="Arial" w:cs="Arial" w:eastAsia="Arial" w:hAnsi="Arial"/>
          <w:sz w:val="16"/>
          <w:szCs w:val="16"/>
          <w:color w:val="auto"/>
        </w:rPr>
        <w:t xml:space="preserve"> and </w:t>
      </w:r>
      <w:r>
        <w:rPr>
          <w:rFonts w:ascii="Arial" w:cs="Arial" w:eastAsia="Arial" w:hAnsi="Arial"/>
          <w:sz w:val="16"/>
          <w:szCs w:val="16"/>
          <w:i w:val="1"/>
          <w:iCs w:val="1"/>
          <w:color w:val="auto"/>
        </w:rPr>
        <w:t>Ao v. Minerva</w:t>
      </w:r>
      <w:r>
        <w:rPr>
          <w:rFonts w:ascii="Arial" w:cs="Arial" w:eastAsia="Arial" w:hAnsi="Arial"/>
          <w:sz w:val="16"/>
          <w:szCs w:val="16"/>
          <w:color w:val="auto"/>
        </w:rPr>
        <w:t xml:space="preserve"> </w:t>
      </w:r>
      <w:r>
        <w:rPr>
          <w:rFonts w:ascii="Arial" w:cs="Arial" w:eastAsia="Arial" w:hAnsi="Arial"/>
          <w:sz w:val="16"/>
          <w:szCs w:val="16"/>
          <w:i w:val="1"/>
          <w:iCs w:val="1"/>
          <w:color w:val="auto"/>
        </w:rPr>
        <w:t>Neurosciences, Inc. et al., No. 1:21-cv-10051</w:t>
      </w:r>
      <w:r>
        <w:rPr>
          <w:rFonts w:ascii="Arial" w:cs="Arial" w:eastAsia="Arial" w:hAnsi="Arial"/>
          <w:sz w:val="16"/>
          <w:szCs w:val="16"/>
          <w:color w:val="auto"/>
        </w:rPr>
        <w:t>, respectively, against the Company and the Company’s Chairman and Chief Executive Officer (collectively,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“Defendants"). The complaints are nearly identical and allege that the Defendants made material false and/or misleading statements regarding the development of the Company’s drug candidate roluperidone purportedly causing losses to investors who acquired the Company’s common stock between May 15, 2017 and November 30, 2020. The complaints do not quantify any alleged damages but, in addition to attorneys' fees and costs, plaintiffs seek to recover damages on behalf of themselves and others who acquired the Company’s stock during the putative class period at allegedly inflated prices and purportedly suffered financial harm as a result. On March 5, 2021, the Court entered an order consolidating the actions into a case captioned </w:t>
      </w:r>
      <w:r>
        <w:rPr>
          <w:rFonts w:ascii="Arial" w:cs="Arial" w:eastAsia="Arial" w:hAnsi="Arial"/>
          <w:sz w:val="16"/>
          <w:szCs w:val="16"/>
          <w:i w:val="1"/>
          <w:iCs w:val="1"/>
          <w:color w:val="auto"/>
        </w:rPr>
        <w:t>In re Minerva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Neurosciences, Inc. Securities Litigation, No. 1:20-cv-12176 </w:t>
      </w:r>
      <w:r>
        <w:rPr>
          <w:rFonts w:ascii="Arial" w:cs="Arial" w:eastAsia="Arial" w:hAnsi="Arial"/>
          <w:sz w:val="16"/>
          <w:szCs w:val="16"/>
          <w:color w:val="auto"/>
        </w:rPr>
        <w:t>and appointing lead plaintiffs and their counsel. On March 19, 2021, the parties filed a</w:t>
      </w:r>
      <w:r>
        <w:rPr>
          <w:rFonts w:ascii="Arial" w:cs="Arial" w:eastAsia="Arial" w:hAnsi="Arial"/>
          <w:sz w:val="16"/>
          <w:szCs w:val="16"/>
          <w:i w:val="1"/>
          <w:iCs w:val="1"/>
          <w:color w:val="auto"/>
        </w:rPr>
        <w:t xml:space="preserve"> </w:t>
      </w:r>
      <w:r>
        <w:rPr>
          <w:rFonts w:ascii="Arial" w:cs="Arial" w:eastAsia="Arial" w:hAnsi="Arial"/>
          <w:sz w:val="16"/>
          <w:szCs w:val="16"/>
          <w:color w:val="auto"/>
        </w:rPr>
        <w:t>stipulated proposed order with the Court staying the Defendants’ response to the complaint until after plaintiffs file an amended complaint. On May 5, 2021, the parties filed a stipulation and proposed order voluntarily dismissing the lawsuit on behalf of the appointed lead plaintiffs. Also on May 5, 2021, a second plaintiff filed a motion for appointment as lead plaintiff, which the Court granted on May 21, 2021. On June 9, 2021, before the lead plaintiff’s deadline to amend the complaint and before defendants filed any response to the complaint, the parties stipulated to voluntary dismissal of the lawsuit on behalf of the appointed lead plaintiff. The Court entered the parties’ stipulation of dismissal on July 9, 2021 and closed the case.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2020, as filed with the SEC on March 8, 2021. The risk factors set forth below are risk factors containing changes, which may be material, from the risk factors previously disclosed in Item 1A of our Annual Report on Form 10-K for the fiscal year ended December 31, 2020, as filed with the SEC.</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7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are a clinical development-stage biopharmaceutical company. In November 2013, we merged with Sonkei Pharmaceuticals, Inc. (“Sonkei”) and, in February 2014, we acquired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 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 Our recent collaborative revenue was due to the recognition of deferred revenue as a result of opting out of an agreement, and is not a recurring source of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had an accumulated deficit of $304.2 million.</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equity and working capital.</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7" w:name="page28"/>
    <w:bookmarkEnd w:id="27"/>
    <w:p>
      <w:pPr>
        <w:ind w:right="32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4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operations and the historic operations of Sonkei and Mind-NRG have consumed substantial amounts of cash since inception. As of June 30, 2021, we had cash, cash equivalents, and restricted cash of $74.3 million. We believe that our existing cash, cash equivalents, and restricted cash will be sufficient to meet our cash commitments for at least the next 12 months after the date that our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23" w:lineRule="exact"/>
        <w:rPr>
          <w:sz w:val="20"/>
          <w:szCs w:val="20"/>
          <w:color w:val="auto"/>
        </w:rPr>
      </w:pPr>
    </w:p>
    <w:p>
      <w:pPr>
        <w:ind w:left="1000" w:right="560" w:hanging="493"/>
        <w:spacing w:after="0" w:line="250"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ind w:left="1000" w:right="640" w:hanging="493"/>
        <w:spacing w:after="0" w:line="281"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spacing w:after="0" w:line="1" w:lineRule="exact"/>
        <w:rPr>
          <w:rFonts w:ascii="Arial" w:cs="Arial" w:eastAsia="Arial" w:hAnsi="Arial"/>
          <w:sz w:val="16"/>
          <w:szCs w:val="16"/>
          <w:color w:val="auto"/>
        </w:rPr>
      </w:pPr>
    </w:p>
    <w:p>
      <w:pPr>
        <w:ind w:left="1000" w:right="320" w:hanging="493"/>
        <w:spacing w:after="0" w:line="250"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 and</w:t>
      </w:r>
    </w:p>
    <w:p>
      <w:pPr>
        <w:spacing w:after="0" w:line="9" w:lineRule="exact"/>
        <w:rPr>
          <w:rFonts w:ascii="Arial" w:cs="Arial" w:eastAsia="Arial" w:hAnsi="Arial"/>
          <w:sz w:val="18"/>
          <w:szCs w:val="18"/>
          <w:color w:val="auto"/>
        </w:rPr>
      </w:pPr>
    </w:p>
    <w:p>
      <w:pPr>
        <w:ind w:left="1000" w:hanging="493"/>
        <w:spacing w:after="0" w:line="260"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subject to risks and uncertainties as a result of the ongoing COVID-19 pandemic, and could be subject to risks from further health pandemics or epidemics, as well as uncertainty regarding returning to work and phased re-openings.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business could be adversely affected by the effects of health pandemics or epidemics, including the ongoing COVID-19 pandemic, which continues to have a negative impact on the local, regional, national and global scale. In response to the pandemic, a number of jurisdictions in which we or our service providers operate implemented shelter-in-place or similar type restrictions, which limited on-site activity to certain service providers. To support the health and well-being of our employees, partners and communities, we implemented work-from-home policies for our employees, which continue to be in effect. While certain jurisdictions, including Massachusetts, have begun a phased re-opening of businesses and governmental agencies, there remain limitations on the physical operations of businesses and prohibitions on certain non-essential gatherings, and it is unclear if such phased re-openings will continue or be rolled back, and there is uncertainty about when, if, or how our workforce may return. The effects of the state executive order, local shelter-in-place orders, government-imposed quarantines and our work-from-home policies, including the uncertainty about their duration, may negatively impact productivity, disrupt our business and delay our clinical programs and timelines. The magnitude of these negative effects will depend, in part, on the length and severity of the restrictions and other limitations on our ability to conduct our business in the ordinary course, and our ability to respond with minimal disruptions to the evolving restrictions, reopenings, and any future curtailment. These and similar, and perhaps more severe, disruptions in our operations in response to the ongoing COVID-19 pandemic and any future health pandemics or epidemics could negatively impact our business, operating results and financial condition.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8" w:name="page29"/>
    <w:bookmarkEnd w:id="28"/>
    <w:p>
      <w:pPr>
        <w:spacing w:after="0" w:line="254" w:lineRule="auto"/>
        <w:rPr>
          <w:sz w:val="20"/>
          <w:szCs w:val="20"/>
          <w:color w:val="auto"/>
        </w:rPr>
      </w:pPr>
      <w:r>
        <w:rPr>
          <w:rFonts w:ascii="Arial" w:cs="Arial" w:eastAsia="Arial" w:hAnsi="Arial"/>
          <w:sz w:val="18"/>
          <w:szCs w:val="18"/>
          <w:color w:val="auto"/>
        </w:rPr>
        <w:t>In addition, our clinical trials may be affected by the COVID-19 pandemic. We may face difficulties enrolling or retaining patients in future clinical trials if patients are affected by the COVID-19 virus or are unable to travel to the clinical trial sites or obtain study medication. Our clinical trials may further be delayed due to prioritization of hospital resources toward the COVID-19 pandemic, and some patients may not be able to comply with clinical trial protocols if quarantines impede patient movement or interrupt healthcare services. Similarly, our ability to recruit and retain principal investigators and site staff who, as healthcare providers, may have heightened exposure to the COVID-19 virus, could be delayed or disrupted, which would adversely impact our clinical trial operations. As a result, we could experience delays in the completion of our trials, which could result in a material adverse impact on our clinical trial plans and timelines.</w:t>
      </w:r>
    </w:p>
    <w:p>
      <w:pPr>
        <w:spacing w:after="0" w:line="19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Furthermore, the COVID-19 pandemic has caused a broad negative impact globally on capital markets and economies worldwide, which could have a negative impact on us economically. While the potential economic impact brought by, and the duration of, the COVID-19 pandemic, may be difficult to assess or predict, it is currently resulting in significant disruption of global financial markets. This disruption, if sustained or recurrent, could have a material adverse effect on our operating results, our ability to raise capital needed to develop and commercialize products and our overall financial condition. In addition, a recession or market correction resulting from the spread of the coronavirus could materially affect the value of our common stock.</w:t>
      </w:r>
    </w:p>
    <w:p>
      <w:pPr>
        <w:spacing w:after="0" w:line="16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extent of the impact of the COVID-19 pandemic on our business is uncertain and difficult to predict, as the pandemic continues to rapidly evolve. The ultimate impact of the COVID-19 pandemic or a similar health pandemic or epidemic is highly uncertain and subject to change. We do not yet know the extent of potential delays or impacts on our business, our clinical trials, healthcare systems or the global economy as a whole. These effects could have a material impact on our operations, and we will continue to monitor the COVID-19 pandemic closely.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any unregistered securities during the six months ended June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securities during the six months ended June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by reference or filed as part of this report.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160" w:type="dxa"/>
            <w:vAlign w:val="bottom"/>
            <w:gridSpan w:val="7"/>
            <w:vMerge w:val="restart"/>
          </w:tcPr>
          <w:p>
            <w:pPr>
              <w:ind w:left="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16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10080" w:type="dxa"/>
            <w:vAlign w:val="bottom"/>
            <w:gridSpan w:val="9"/>
          </w:tcPr>
          <w:p>
            <w:pPr>
              <w:spacing w:after="0"/>
              <w:rPr>
                <w:rFonts w:ascii="Arial" w:cs="Arial" w:eastAsia="Arial" w:hAnsi="Arial"/>
                <w:sz w:val="18"/>
                <w:szCs w:val="18"/>
                <w:color w:val="0000EE"/>
                <w:w w:val="98"/>
              </w:rPr>
            </w:pPr>
            <w:hyperlink r:id="rId48">
              <w:r>
                <w:rPr>
                  <w:rFonts w:ascii="Arial" w:cs="Arial" w:eastAsia="Arial" w:hAnsi="Arial"/>
                  <w:sz w:val="18"/>
                  <w:szCs w:val="18"/>
                  <w:color w:val="0000EE"/>
                  <w:w w:val="98"/>
                </w:rPr>
                <w:t>Amended and Restated Certificate of Incorporation of the Registrant (incorporated by reference to Exhibit 3.1 to the Registrant’s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registration statement on Form S-1/A filed with the SEC on June 10, 2014)</w:t>
              </w:r>
            </w:hyperlink>
          </w:p>
        </w:tc>
        <w:tc>
          <w:tcPr>
            <w:tcW w:w="3860" w:type="dxa"/>
            <w:vAlign w:val="bottom"/>
            <w:tcBorders>
              <w:top w:val="single" w:sz="8" w:color="0000EE"/>
            </w:tcBorders>
            <w:gridSpan w:val="3"/>
          </w:tcPr>
          <w:p>
            <w:pPr>
              <w:spacing w:after="0"/>
              <w:rPr>
                <w:sz w:val="17"/>
                <w:szCs w:val="17"/>
                <w:color w:val="auto"/>
              </w:rPr>
            </w:pPr>
          </w:p>
        </w:tc>
        <w:tc>
          <w:tcPr>
            <w:tcW w:w="8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4"/>
                <w:szCs w:val="24"/>
                <w:color w:val="auto"/>
              </w:rPr>
            </w:pPr>
          </w:p>
        </w:tc>
        <w:tc>
          <w:tcPr>
            <w:tcW w:w="9660" w:type="dxa"/>
            <w:vAlign w:val="bottom"/>
            <w:tcBorders>
              <w:bottom w:val="single" w:sz="8" w:color="0000EE"/>
            </w:tcBorders>
            <w:gridSpan w:val="7"/>
          </w:tcPr>
          <w:p>
            <w:pPr>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Amended and Restated Bylaws of the Registrant (incorporated by reference to Exhibit 3.2 to the Registrant’s registration statement on</w:t>
              </w:r>
            </w:hyperlink>
          </w:p>
        </w:tc>
        <w:tc>
          <w:tcPr>
            <w:tcW w:w="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Form S-1/A filed with the SEC on November 4, 2019)</w:t>
              </w:r>
            </w:hyperlink>
          </w:p>
        </w:tc>
        <w:tc>
          <w:tcPr>
            <w:tcW w:w="6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40" w:type="dxa"/>
            <w:vAlign w:val="bottom"/>
          </w:tcPr>
          <w:p>
            <w:pPr>
              <w:spacing w:after="0"/>
              <w:rPr>
                <w:sz w:val="24"/>
                <w:szCs w:val="24"/>
                <w:color w:val="auto"/>
              </w:rPr>
            </w:pPr>
          </w:p>
        </w:tc>
        <w:tc>
          <w:tcPr>
            <w:tcW w:w="90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Certification of Chief Executive Officer (Principal Executive Officer) pursuant to Section 302 of Sarbanes-Oxley Act of 2002</w:t>
              </w:r>
            </w:hyperlink>
          </w:p>
        </w:tc>
        <w:tc>
          <w:tcPr>
            <w:tcW w:w="10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40" w:type="dxa"/>
            <w:vAlign w:val="bottom"/>
          </w:tcPr>
          <w:p>
            <w:pPr>
              <w:spacing w:after="0"/>
              <w:rPr>
                <w:sz w:val="24"/>
                <w:szCs w:val="24"/>
                <w:color w:val="auto"/>
              </w:rPr>
            </w:pPr>
          </w:p>
        </w:tc>
        <w:tc>
          <w:tcPr>
            <w:tcW w:w="89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Chief Financial Officer (Principal Financial Officer) pursuant to Section 302 of Sarbanes-Oxley Act of 2002</w:t>
              </w:r>
            </w:hyperlink>
          </w:p>
        </w:tc>
        <w:tc>
          <w:tcPr>
            <w:tcW w:w="1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32.1</w:t>
            </w:r>
            <w:r>
              <w:rPr>
                <w:rFonts w:ascii="Arial" w:cs="Arial" w:eastAsia="Arial" w:hAnsi="Arial"/>
                <w:sz w:val="15"/>
                <w:szCs w:val="15"/>
                <w:color w:val="auto"/>
                <w:w w:val="91"/>
              </w:rPr>
              <w:t>+</w:t>
            </w:r>
          </w:p>
        </w:tc>
        <w:tc>
          <w:tcPr>
            <w:tcW w:w="140" w:type="dxa"/>
            <w:vAlign w:val="bottom"/>
          </w:tcPr>
          <w:p>
            <w:pPr>
              <w:spacing w:after="0"/>
              <w:rPr>
                <w:sz w:val="24"/>
                <w:szCs w:val="24"/>
                <w:color w:val="auto"/>
              </w:rPr>
            </w:pPr>
          </w:p>
        </w:tc>
        <w:tc>
          <w:tcPr>
            <w:tcW w:w="99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Certification of Chief Executive Officer (Principal Executive Officer) and Chief Financial Officer (Principal Financial Officer) pursuant to</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Section 906 of Sarbanes-Oxley Act of 2002</w:t>
              </w:r>
            </w:hyperlink>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40" w:type="dxa"/>
            <w:vAlign w:val="bottom"/>
          </w:tcPr>
          <w:p>
            <w:pPr>
              <w:spacing w:after="0"/>
              <w:rPr>
                <w:sz w:val="24"/>
                <w:szCs w:val="24"/>
                <w:color w:val="auto"/>
              </w:rPr>
            </w:pPr>
          </w:p>
        </w:tc>
        <w:tc>
          <w:tcPr>
            <w:tcW w:w="31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Inline XBRL Instance Document</w:t>
            </w:r>
          </w:p>
        </w:tc>
        <w:tc>
          <w:tcPr>
            <w:tcW w:w="69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4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4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4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4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4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60" w:right="320" w:hanging="781"/>
        <w:spacing w:after="0" w:line="277"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cover page from Minerva Neuroscience’s Quarterly Report on Form 10-Q for the three months ended June 30, 2021 is formatted in Inline XBRL and it is contained in Exhibit 101</w:t>
      </w:r>
    </w:p>
    <w:p>
      <w:pPr>
        <w:spacing w:after="0" w:line="210" w:lineRule="exact"/>
        <w:rPr>
          <w:rFonts w:ascii="Arial" w:cs="Arial" w:eastAsia="Arial" w:hAnsi="Arial"/>
          <w:sz w:val="18"/>
          <w:szCs w:val="18"/>
          <w:color w:val="auto"/>
        </w:rPr>
      </w:pPr>
    </w:p>
    <w:p>
      <w:pPr>
        <w:ind w:left="380" w:right="300" w:hanging="372"/>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MINERVA NEUROSCIENCES, INC.</w:t>
      </w:r>
    </w:p>
    <w:p>
      <w:pPr>
        <w:spacing w:after="0" w:line="25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Geoffrey Race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Business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(On behalf of the Registrant)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2021</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320" w:top="553" w:right="5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Remy Luthringer, certify that:</w:t>
      </w:r>
    </w:p>
    <w:p>
      <w:pPr>
        <w:spacing w:after="0" w:line="117"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8020" w:val="left"/>
        </w:tabs>
        <w:rPr>
          <w:sz w:val="20"/>
          <w:szCs w:val="20"/>
          <w:color w:val="auto"/>
        </w:rPr>
      </w:pPr>
      <w:r>
        <w:rPr>
          <w:rFonts w:ascii="Arial" w:cs="Arial" w:eastAsia="Arial" w:hAnsi="Arial"/>
          <w:sz w:val="18"/>
          <w:szCs w:val="18"/>
          <w:color w:val="auto"/>
        </w:rPr>
        <w:t>Date: August 2, 2021</w:t>
      </w:r>
      <w:r>
        <w:rPr>
          <w:sz w:val="20"/>
          <w:szCs w:val="20"/>
          <w:color w:val="auto"/>
        </w:rPr>
        <w:tab/>
      </w:r>
      <w:r>
        <w:rPr>
          <w:rFonts w:ascii="Arial" w:cs="Arial" w:eastAsia="Arial" w:hAnsi="Arial"/>
          <w:sz w:val="16"/>
          <w:szCs w:val="16"/>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Remy Luthringer Ph.D.</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Executive Chairman and</w:t>
      </w:r>
    </w:p>
    <w:p>
      <w:pPr>
        <w:spacing w:after="0" w:line="22"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Chief Executive Office</w:t>
      </w:r>
    </w:p>
    <w:p>
      <w:pPr>
        <w:spacing w:after="0" w:line="36"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Geoffrey Race, certify that:</w:t>
      </w:r>
    </w:p>
    <w:p>
      <w:pPr>
        <w:spacing w:after="0" w:line="117"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8340" w:val="left"/>
        </w:tabs>
        <w:rPr>
          <w:sz w:val="20"/>
          <w:szCs w:val="20"/>
          <w:color w:val="auto"/>
        </w:rPr>
      </w:pPr>
      <w:r>
        <w:rPr>
          <w:rFonts w:ascii="Arial" w:cs="Arial" w:eastAsia="Arial" w:hAnsi="Arial"/>
          <w:sz w:val="18"/>
          <w:szCs w:val="18"/>
          <w:color w:val="auto"/>
        </w:rPr>
        <w:t>Date: August 2, 2021</w:t>
      </w:r>
      <w:r>
        <w:rPr>
          <w:sz w:val="20"/>
          <w:szCs w:val="20"/>
          <w:color w:val="auto"/>
        </w:rPr>
        <w:tab/>
      </w:r>
      <w:r>
        <w:rPr>
          <w:rFonts w:ascii="Arial" w:cs="Arial" w:eastAsia="Arial" w:hAnsi="Arial"/>
          <w:sz w:val="16"/>
          <w:szCs w:val="16"/>
          <w:color w:val="auto"/>
        </w:rPr>
        <w:t>/s/ 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Geoffrey Race</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Chief Business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3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Remy Luthringer, President and Chief Executive Officer (Principal Executive Officer) of Minerva Neurosciences, Inc. (the “Company”) and Geoffrey Race, Chief Financial Officer (Principal Financial Officer) of the Company, each hereby certifies that, to the best of his knowledge:</w:t>
      </w:r>
    </w:p>
    <w:p>
      <w:pPr>
        <w:spacing w:after="0" w:line="79" w:lineRule="exact"/>
        <w:rPr>
          <w:sz w:val="20"/>
          <w:szCs w:val="20"/>
          <w:color w:val="auto"/>
        </w:rPr>
      </w:pPr>
    </w:p>
    <w:p>
      <w:pPr>
        <w:ind w:left="500" w:right="2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2021, to which this Certification is attached as Exhibit 32.1 (the “Quarterly Report”) fully complies with the requirements of Section 13(a) or 15(d) of the Exchange Act; and</w:t>
      </w:r>
    </w:p>
    <w:p>
      <w:pPr>
        <w:spacing w:after="0" w:line="62"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August 2, 2021</w:t>
      </w:r>
      <w:r>
        <w:rPr>
          <w:sz w:val="20"/>
          <w:szCs w:val="20"/>
          <w:color w:val="auto"/>
        </w:rPr>
        <w:tab/>
      </w:r>
      <w:r>
        <w:rPr>
          <w:rFonts w:ascii="Arial" w:cs="Arial" w:eastAsia="Arial" w:hAnsi="Arial"/>
          <w:sz w:val="16"/>
          <w:szCs w:val="16"/>
          <w:color w:val="auto"/>
        </w:rPr>
        <w:t>Remy Luthringer, Ph.D.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Chairman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August 2, 2021</w:t>
      </w:r>
      <w:r>
        <w:rPr>
          <w:sz w:val="20"/>
          <w:szCs w:val="20"/>
          <w:color w:val="auto"/>
        </w:rPr>
        <w:tab/>
      </w:r>
      <w:r>
        <w:rPr>
          <w:rFonts w:ascii="Arial" w:cs="Arial" w:eastAsia="Arial" w:hAnsi="Arial"/>
          <w:sz w:val="16"/>
          <w:szCs w:val="16"/>
          <w:color w:val="auto"/>
        </w:rPr>
        <w:t>Geoffrey Race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Business Officer</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2"/>
      <w:numFmt w:val="decimal"/>
      <w:start w:val="104"/>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48" Type="http://schemas.openxmlformats.org/officeDocument/2006/relationships/hyperlink" Target="http://www.sec.gov/Archives/edgar/data/0001598646/000104746914005459/a2219972zex-3_1.htm" TargetMode="External"/><Relationship Id="rId49" Type="http://schemas.openxmlformats.org/officeDocument/2006/relationships/hyperlink" Target="http://www.sec.gov/Archives/edgar/data/0001598646/000156459019039496/nerv-ex32_1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2021-08-02T06:03:18Z</dcterms:created>
  <dcterms:modified xsi:type="dcterms:W3CDTF">2021-08-02T06:03:18Z</dcterms:modified>
</cp:coreProperties>
</file>