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22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Minerva Neurosciences,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0"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October 31, 2018 was $38,871,467.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9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1"/>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5"/>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2018 and December 31,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2018 and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 of Changes in Stockholders’ Equity for the nine months ended September 30, 2018 and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2018 and 2017</w:t>
              </w:r>
            </w:hyperlink>
          </w:p>
        </w:tc>
        <w:tc>
          <w:tcPr>
            <w:tcW w:w="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8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2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0"/>
          </w:tcPr>
          <w:p>
            <w:pPr>
              <w:jc w:val="center"/>
              <w:ind w:right="3700"/>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360" w:type="dxa"/>
            <w:vAlign w:val="bottom"/>
            <w:tcBorders>
              <w:top w:val="single" w:sz="8" w:color="0000EE"/>
            </w:tcBorders>
            <w:gridSpan w:val="3"/>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3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Mine Safety Disclosures</w:t>
              </w:r>
            </w:hyperlink>
          </w:p>
        </w:tc>
        <w:tc>
          <w:tcPr>
            <w:tcW w:w="78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34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87,296,544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26,051,821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10,308,684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102,109,419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3,699,556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101,404,784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129,540,424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noncurrent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150,526,836</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3,962,664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874,749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2,995,515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3,870,264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4,057,488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49,133,428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52,101,114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or outstanding as of September 30, 2018 and December 31, 2017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0"/>
              </w:rPr>
              <w:t>Common stock; $0.0001 par value; 125,000,000 shares authorized; 38,846,467 and 38,749,343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issued and outstanding as of September 30, 2018 and December 31, 2017,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302,739,419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295,975,010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(201,349,896)</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(164,381,441)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101,393,408</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131,597,444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150,526,836</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8,369,451</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8,956,468</w:t>
            </w:r>
          </w:p>
        </w:tc>
        <w:tc>
          <w:tcPr>
            <w:tcW w:w="26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25,880,952</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23,714,932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4,054,575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2,450,588</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12,221,429</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7,922,738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12,424,026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11,407,056</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38,102,381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31,637,670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(12,424,026)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(11,407,056)</w:t>
            </w: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(38,102,381)</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(31,637,670)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gains (losses)</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(10,987)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(9,417)</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418,347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293,797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1,244,196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508,116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(137,899)</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(110,448)</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(12,020,684)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(11,260,575)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(36,968,455)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(31,685,295)</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38,781,839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40,880,359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38,760,294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37,676,686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3"/>
                <w:szCs w:val="13"/>
                <w:color w:val="auto"/>
              </w:rPr>
            </w:pPr>
          </w:p>
        </w:tc>
        <w:tc>
          <w:tcPr>
            <w:tcW w:w="13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2017</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35,024,002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238,836,940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(132,858,234)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105,982,208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Repurchase of common stock-Private</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(3,892,256)</w:t>
            </w: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stock-Public</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5,750,000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44,561,925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Costs related to issuance of commons stock</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(2,944,168)</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(2,944,168)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Warrant exercises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1,621,073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9,356,671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Stock option exercise</w:t>
            </w:r>
          </w:p>
        </w:tc>
        <w:tc>
          <w:tcPr>
            <w:tcW w:w="1300" w:type="dxa"/>
            <w:vAlign w:val="bottom"/>
          </w:tcPr>
          <w:p>
            <w:pPr>
              <w:jc w:val="right"/>
              <w:spacing w:after="0"/>
              <w:rPr>
                <w:sz w:val="20"/>
                <w:szCs w:val="20"/>
                <w:color w:val="auto"/>
              </w:rPr>
            </w:pPr>
            <w:r>
              <w:rPr>
                <w:rFonts w:ascii="Arial" w:cs="Arial" w:eastAsia="Arial" w:hAnsi="Arial"/>
                <w:sz w:val="18"/>
                <w:szCs w:val="18"/>
                <w:color w:val="auto"/>
              </w:rPr>
              <w:t>197,874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1,130,524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(31,685,295)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(31,685,295)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2017</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38,700,693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294,717,361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(164,543,529</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130,177,702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295,975,010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(164,381,441)</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131,597,444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Stock option exercise</w:t>
            </w:r>
          </w:p>
        </w:tc>
        <w:tc>
          <w:tcPr>
            <w:tcW w:w="1300" w:type="dxa"/>
            <w:vAlign w:val="bottom"/>
          </w:tcPr>
          <w:p>
            <w:pPr>
              <w:jc w:val="right"/>
              <w:spacing w:after="0"/>
              <w:rPr>
                <w:sz w:val="20"/>
                <w:szCs w:val="20"/>
                <w:color w:val="auto"/>
              </w:rPr>
            </w:pPr>
            <w:r>
              <w:rPr>
                <w:rFonts w:ascii="Arial" w:cs="Arial" w:eastAsia="Arial" w:hAnsi="Arial"/>
                <w:sz w:val="18"/>
                <w:szCs w:val="18"/>
                <w:color w:val="auto"/>
              </w:rPr>
              <w:t>97,124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490,819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6,273,590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(36,968,455)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(36,968,455)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2018</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38,846,467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302,739,419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(201,349,896</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101,393,408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(36,968,455)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(31,685,295)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Accretion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(92,801)</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(83,268)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6,273,590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(2,400,372)</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(560,887)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1,555,667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Accrued collaborative expenses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(2,547,952)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(32,141,920)</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12,004,509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104,851,000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27,390,000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(7,934,482)</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(134,554,390)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96,916,518</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(107,164,390)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common stock in public offering</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Costs paid in connection with public offering</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(2,944,168)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490,829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(4,000,704)</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(3,671,300)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(3,509,875)</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48,434,020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61,264,723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(46,725,861)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26,131,821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900" w:type="dxa"/>
            <w:vAlign w:val="bottom"/>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87,396,544</w:t>
            </w:r>
          </w:p>
        </w:tc>
        <w:tc>
          <w:tcPr>
            <w:tcW w:w="3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36,254,748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92,916</w:t>
            </w:r>
          </w:p>
        </w:tc>
        <w:tc>
          <w:tcPr>
            <w:tcW w:w="3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360,272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9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87,296,544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36,254,748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9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87,396,544</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36,334,748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September 30, 2018 and for the Nine Months Ended September 30,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2018, the Company has an accumulated deficit of approximately $201.3 million and net cash used in operating activities was approximately $32.1 million during the nine months ended September 30, 2018. Management expects to continue to incur operating losses and negative cash flows from operations. The Company has financed its operations to date from proceeds from the sale of common stock, warrants, loans and convertible promissory notes.</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September 30, 2018, the Company had cash, cash equivalents, restricted cash and marketable securities of $97.7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2018, the results of operations for the three and nine months ended September 30, 2018 and 2017 and cash flows for the nine months ended September 30, 2018 and 2017. The results of operations for the three and nine months ended September 30, 2018,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2017 was derived from the audited annual financial statements. The accompanying unaudited condensed consolidated financial statements and notes thereto should be read in conjunction with the audited consolidated financial statements for the year ended December 31, 2017 included in the Company’s Annual Report on Form 10-K filed with the SEC on March 12,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$100 thousand and $80 thousand at September 30, 2018 and December 31,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eleven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September 30, 2018, remaining final maturities of marketable securities ranged from November 2018 to February 2019, with a weighted average remaining maturity of approximately 2.9 months. The following table provides the amortized cost basis, aggregate fair value, net unrealized (gains)/losses and the net carrying value of investments in held-to-maturity securities as of September 30, 2018:</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Aggregate</w:t>
            </w:r>
          </w:p>
        </w:tc>
        <w:tc>
          <w:tcPr>
            <w:tcW w:w="160" w:type="dxa"/>
            <w:vAlign w:val="bottom"/>
          </w:tcPr>
          <w:p>
            <w:pPr>
              <w:spacing w:after="0"/>
              <w:rPr>
                <w:sz w:val="12"/>
                <w:szCs w:val="12"/>
                <w:color w:val="auto"/>
              </w:rPr>
            </w:pPr>
          </w:p>
        </w:tc>
        <w:tc>
          <w:tcPr>
            <w:tcW w:w="920" w:type="dxa"/>
            <w:vAlign w:val="bottom"/>
            <w:gridSpan w:val="3"/>
          </w:tcPr>
          <w:p>
            <w:pPr>
              <w:jc w:val="right"/>
              <w:ind w:right="1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7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right"/>
              <w:ind w:right="26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2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2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10,308,684</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10,286,354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(22,330)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10,308,684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10,308,684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10,286,354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(22,330</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10,308,684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nine months ended September 30, 2018 or 2017.</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60"/>
        <w:spacing w:after="0" w:line="312" w:lineRule="auto"/>
        <w:rPr>
          <w:sz w:val="20"/>
          <w:szCs w:val="20"/>
          <w:color w:val="auto"/>
        </w:rPr>
      </w:pPr>
      <w:r>
        <w:rPr>
          <w:rFonts w:ascii="Arial" w:cs="Arial" w:eastAsia="Arial" w:hAnsi="Arial"/>
          <w:sz w:val="16"/>
          <w:szCs w:val="16"/>
          <w:color w:val="auto"/>
        </w:rPr>
        <w:t>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cash equivalents and marketable securities (current and non-current).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September 30, 2018 and 2017.</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nine months ended September 30, 2018 and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Accounting Standards Codification (“ASC”)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When the Company enters into an arrangement that meets the definition of a collaboration under ASC 808, Collaboration Arrangements,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applies the revenue recognition guidance in accordance with FASB ASC 606, Revenue from Contracts with Customers. Using FASB ASC 606, Revenue that is unearned is deferred. Deferred revenue expected to be recognized as revenue more than one year subsequent to the balance sheet date is classified as long-term deferred revenue.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Subsequently, the FASB also issued ASU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 which adjusted the effective date of ASU 2014-09; ASU No. 2016-08,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Principal versus Agent Considerations (Reporting Revenue Gross versus Net) </w:t>
      </w:r>
      <w:r>
        <w:rPr>
          <w:rFonts w:ascii="Arial" w:cs="Arial" w:eastAsia="Arial" w:hAnsi="Arial"/>
          <w:sz w:val="18"/>
          <w:szCs w:val="18"/>
          <w:color w:val="auto"/>
        </w:rPr>
        <w:t xml:space="preserve">, which amends the principal-versus-agent implementation guidance and illustrations in ASU 2014-09; ASU No. 2016-10,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Identifying Performance Obligations and Licensing </w:t>
      </w:r>
      <w:r>
        <w:rPr>
          <w:rFonts w:ascii="Arial" w:cs="Arial" w:eastAsia="Arial" w:hAnsi="Arial"/>
          <w:sz w:val="18"/>
          <w:szCs w:val="18"/>
          <w:color w:val="auto"/>
        </w:rPr>
        <w:t>, which clarifies identifying performance obligation and licensing implementation guidance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illustrations in ASU 2014-09; and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 which addresses implementation issues and is intended to reduce the cost and complexity of applying the new revenue standard in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“Revenue ASUs”).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collaboration agreements and assessed the differences in accounting for such contracts under this guidance compared with current revenue accounting standards. The Company adopted the new standard on January 1, 2018 using the modified retrospective method. The adoption of this standard did not have a material impact on the Company’s consolidated financial statements.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 Classification of Certain Cash Receipts and Cash Payments (Topic 230).</w:t>
      </w:r>
      <w:r>
        <w:rPr>
          <w:rFonts w:ascii="Arial" w:cs="Arial" w:eastAsia="Arial" w:hAnsi="Arial"/>
          <w:sz w:val="17"/>
          <w:szCs w:val="17"/>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The Company adopted the new standard on January 1, 2018. The adoption of this standard did not have a material impact on the Company’s consolidated financial statements.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The new standard requires an entity to include amounts described as restricted cash and restricted cash equivalents with cash and cash equivalents when reconciling the beginning-of-period and end-of-period total amounts shown on the statement of cash flows. The Company adopted the new standard on January 1, 2018. The adoption of this standard did not have a material impact on the Company’s consolidated financial statements. Cash, cash equivalents, and restricted cash reported on the Consolidated Statements of Cash Flows includes restricted cash of $80 thousand as of December 31, 2016, September 30, 2017, December 31, 2017 and $100 thousand as of September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Although the Company is currently assessing the impact of adoption of ASU 2016-02 on its consolidated financial statements, the Company currently believes the most significant changes will be related to the recognition of new right-of-use assets and lease liabilities on the Company’s balance sheet for operating leases. Refer to Note 9, Commitments and Contingencies, for the Company's current lease commitments.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2017, the FASB issued ASU No. 2017-4,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March 2017, the FASB issued ASU No. 2017-8,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The new standard is intended to enhance the accounting for the amortization of premiums for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Stock Compensation (Topic 718): Improvements to Nonemployee Share-Based Payment Accounting</w:t>
      </w:r>
      <w:r>
        <w:rPr>
          <w:rFonts w:ascii="Arial" w:cs="Arial" w:eastAsia="Arial" w:hAnsi="Arial"/>
          <w:sz w:val="17"/>
          <w:szCs w:val="17"/>
          <w:color w:val="auto"/>
        </w:rPr>
        <w:t xml:space="preserve">. The new standard is intended to reduce the cost and complexity and to improve financial reporting for nonemployee share-based payments. This update expands the scope of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Arial" w:cs="Arial" w:eastAsia="Arial" w:hAnsi="Arial"/>
          <w:sz w:val="17"/>
          <w:szCs w:val="17"/>
          <w:i w:val="1"/>
          <w:iCs w:val="1"/>
          <w:color w:val="auto"/>
        </w:rPr>
        <w:t>Subtopic 505-50, Equity-Equity-Based payments to Non-Employees</w:t>
      </w:r>
      <w:r>
        <w:rPr>
          <w:rFonts w:ascii="Arial" w:cs="Arial" w:eastAsia="Arial" w:hAnsi="Arial"/>
          <w:sz w:val="17"/>
          <w:szCs w:val="17"/>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Arial" w:cs="Arial" w:eastAsia="Arial" w:hAnsi="Arial"/>
          <w:sz w:val="17"/>
          <w:szCs w:val="17"/>
          <w:i w:val="1"/>
          <w:iCs w:val="1"/>
          <w:color w:val="auto"/>
        </w:rPr>
        <w:t>Topic 606, Revenue from Contracts with Customers</w:t>
      </w:r>
      <w:r>
        <w:rPr>
          <w:rFonts w:ascii="Arial" w:cs="Arial" w:eastAsia="Arial" w:hAnsi="Arial"/>
          <w:sz w:val="17"/>
          <w:szCs w:val="17"/>
          <w:color w:val="auto"/>
        </w:rPr>
        <w:t>. The adoption of this guidance is not expected to have a material impact on the Company’s condensed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1,335,743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1,162,441</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bonus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5,899</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20,508</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Vacation pay</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2,995,515</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78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(12,020,684)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(11,260,575)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(36,968,455)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(31,685,295)</w:t>
            </w:r>
          </w:p>
        </w:tc>
        <w:tc>
          <w:tcPr>
            <w:tcW w:w="80" w:type="dxa"/>
            <w:vAlign w:val="bottom"/>
            <w:shd w:val="clear" w:color="auto" w:fill="CFF0FC"/>
          </w:tcPr>
          <w:p>
            <w:pPr>
              <w:spacing w:after="0"/>
              <w:rPr>
                <w:sz w:val="19"/>
                <w:szCs w:val="19"/>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38,781,839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40,880,359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38,760,294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37,676,686</w:t>
            </w:r>
          </w:p>
        </w:tc>
        <w:tc>
          <w:tcPr>
            <w:tcW w:w="80" w:type="dxa"/>
            <w:vAlign w:val="bottom"/>
          </w:tcPr>
          <w:p>
            <w:pPr>
              <w:spacing w:after="0"/>
              <w:rPr>
                <w:sz w:val="20"/>
                <w:szCs w:val="20"/>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 basic and diluted</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(0.84)</w:t>
            </w: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securities outstanding at September 30, 2018 and 2017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6,793,026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3,997,650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185,950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6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drew down the initial Term Loans in the aggregate principal amount of $10 million (the “Term A Loans”), on January 16, 2015. The Term A Loans bore interest at a fixed rate of 7.05% per annum. The Company believes that the Company's debt obligations accrued interest at rates which approximated prevailing market rates for instruments with similar characteristics and, accordingly, the carrying values for these instruments approximated fair value.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paid a facility fee at the time of borrowing of $75 thousand for access to the Term Loans and paid a final payment of $510 thousand in August 2018, representing 5.1% of the total amount borrowed, which has been included as a component of the debt discount and was amortized to interest expense over the term of the loans. As of September 30, 2018, the Company had no borrowings outstanding under the Term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4" w:name="page15"/>
    <w:bookmarkEnd w:id="14"/>
    <w:p>
      <w:pPr>
        <w:ind w:right="100"/>
        <w:spacing w:after="0" w:line="312" w:lineRule="auto"/>
        <w:rPr>
          <w:sz w:val="20"/>
          <w:szCs w:val="20"/>
          <w:color w:val="auto"/>
        </w:rPr>
      </w:pPr>
      <w:r>
        <w:rPr>
          <w:rFonts w:ascii="Arial" w:cs="Arial" w:eastAsia="Arial" w:hAnsi="Arial"/>
          <w:sz w:val="16"/>
          <w:szCs w:val="16"/>
          <w:color w:val="auto"/>
        </w:rPr>
        <w:t>For the three months ended September 30, 2018 and 2017, the Company recognized interest expense of $9 thousand and $0.1 million, respectively, including $1 thousand and $0.1 million, respectively, related to the debt discount. For the nine months ended September 30, 2018 and 2017, the Company recognized interest expense of $0.1 million and $0.5 million respectively, including $38 thousand and $0.2 million, respectively, related to the debt discount.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Term Loans matured on August 1, 2018 and the Company made a final repayment in the amount of $510 thousand on such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2" w:lineRule="exact"/>
        <w:rPr>
          <w:sz w:val="20"/>
          <w:szCs w:val="20"/>
          <w:color w:val="auto"/>
        </w:rPr>
      </w:pPr>
    </w:p>
    <w:p>
      <w:pPr>
        <w:ind w:right="40"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related to seltorexant to sell seltorexant outside the Minerva Territory. In consideration of the licenses granted on July 7, 2014, the Company made a license fee payment of $22.0 million, which was included as a component of research and development expense in 2014.</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original Agreement contains certain provisions, which include the Company’s ability to opt-out of the Agreement upon completion of certain milestones. If the Company elects to participate in the development program through to the potential commercial approval of seltorexant, the Company will pay a quarterly royalty percentage to the licensor in the high single digits on aggregate net sales for seltorexant products sold by the Company, its affiliates and sublicensees in the Minerva Territory. The licensor will pay a quarterly royalty percentage to the Company in the high single digits on aggregate net sales for seltorexant products sold by the licensor outside the Minerva Territory. In accordance with the development agreement, the Company will pay 40% of seltorexant development costs related to the joint development of any seltorexant products.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seltorexant and the Minerva Territory will be expanded to also include all of North America. The Company would then owe Janssen a reduced royalty in the mid-single digits for all sales in the Minerva Territory. Janssen may also terminate the Agreement for the Company’s material breach or certain insolvency events, including if the Company is unable to fund its portion of the development costs.</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accounts for the Agreement as a joint risk-sharing collaboration in accordance with ASC 808, Collaboration Arrangements.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zero in accrued collaborative expenses as of September 30, 2018 and December 31, 2017, related to the Agreement. In the nine months ended September 30, 2018 and 2017, the Company paid zero and $2.5 million, respectively, related to development activities under the Agreement.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three months ended September 30, 2018 and 2017, the Company recorded an expense of zero and $4.5 million, respectively, for certain development activities in accordance with the terms of the Agreement. During the nine months ended September 30, 2018 and 2017, the Company recorded an expense of zero and $11.2 million, respectively, for certain development activities in accordance with the terms of the Agreement.</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2017, the Company entered into an amendment to the Agreement (“the Amendment”).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amended Agreement, Janssen has waived its right to royalties on seltorexant insomnia sales in the Minerva Territory. The Company retains all of its rights to seltorexant, including commercialization of the molecule for the treatment of insomnia and as an as adjunctive therapy for MDD, which include an exclusive license in the Minerva Territory, with royalties payable by the Company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60"/>
        <w:spacing w:after="0" w:line="270" w:lineRule="auto"/>
        <w:rPr>
          <w:sz w:val="20"/>
          <w:szCs w:val="20"/>
          <w:color w:val="auto"/>
        </w:rPr>
      </w:pPr>
      <w:r>
        <w:rPr>
          <w:rFonts w:ascii="Arial" w:cs="Arial" w:eastAsia="Arial" w:hAnsi="Arial"/>
          <w:sz w:val="17"/>
          <w:szCs w:val="17"/>
          <w:color w:val="auto"/>
        </w:rPr>
        <w:t>Janssen on seltorexant MDD sales.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Amendment,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September 30, 2018 and December 31, 2017, respectively.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Amendment, the Company assumed strategic control of the clinical development of seltorexant for insomnia and has no further financial obligations until the Phase 2b development milestone has been completed,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the Company elects to continue past “Decision Point 4” into Phase 3, the Company would be obligated to fund the clinical trials related to insomnia, and receive $40 million in milestone payments from Janssen, and would also be responsible for 40% of all costs incurred in the Phase 3 MDD program.</w:t>
      </w:r>
    </w:p>
    <w:p>
      <w:pPr>
        <w:spacing w:after="0" w:line="19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solely dependent on future developments and therefore are considered non-substantive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August 2017, in connection with the Amendment (see Note 6), the Company repurchased all of the approximately 3.9 million shares of its common stock previously owned by Johnson &amp; Johnson Innovation-JJDC Inc. at a per share price of $0.0001, for an aggregate purchase price of approximately $389.</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March 2017, certain investors in the Company’s March 2015 private placement exercised their warrants at an exercise price of $5.772 per share and received an aggregate of 1,621,073 shares of the Company’s common stock. The Company received gross proceeds of approximately $9.4 million from the exercise of these warrants. As of September 30, 2018, there are no remaining warrants outstanding under the Company’s March 2015 private placement.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common stock reported on the Nasdaq Global Market for the 10 consecutive trading days prior to the applicable draw. Upon the draw of the Term A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the Lenders warrants to purchase 40,790 shares of common stock at a per share exercise price of $5.516. The warrants are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exercisable upon issuance, and other than in connection with certain mergers or acquisitions, will expire on the ten-year anniversary of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The fair value of the warrants was estimated at $0.2 million using a Black-Scholes model and assuming: (i) expected volatility of 100.8%, (ii)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 interest rate of 1.83%, (iii) an expected life of 10 years and (iv) no dividend payments. The fair value of the warrants was included as a discount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A Loans and also as a component of additional paid-in capital and will be amortized to interest expense over the term of the loan. All such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outstanding as of September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outside of the Plan in the form of an option to purchase 775,000 shares of the Company’s common stock and a restricted stock unit award to purchase 40,000 shares of the Company’s common stock. In June 2018, the Company increased the aggregate number of shares of common stock authorized for issuance under the 2013 Plan by 2,500,000 shares. Stock option activity for employees and non-employees under the Plan for the nine months ended September 30, 2018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Shares Issuable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Pursuant to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2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6,132,650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790,000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(97,124)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(32,500)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800" w:type="dxa"/>
            <w:vAlign w:val="bottom"/>
            <w:gridSpan w:val="2"/>
          </w:tcPr>
          <w:p>
            <w:pPr>
              <w:spacing w:after="0"/>
              <w:rPr>
                <w:sz w:val="20"/>
                <w:szCs w:val="20"/>
                <w:color w:val="auto"/>
              </w:rPr>
            </w:pPr>
            <w:r>
              <w:rPr>
                <w:rFonts w:ascii="Arial" w:cs="Arial" w:eastAsia="Arial" w:hAnsi="Arial"/>
                <w:sz w:val="18"/>
                <w:szCs w:val="18"/>
                <w:color w:val="auto"/>
              </w:rPr>
              <w:t>Outstanding September 30, 2018</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6,793,026</w:t>
            </w:r>
          </w:p>
        </w:tc>
        <w:tc>
          <w:tcPr>
            <w:tcW w:w="1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2018</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3,152,470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40" w:type="dxa"/>
            <w:vAlign w:val="bottom"/>
            <w:tcBorders>
              <w:top w:val="single" w:sz="8" w:color="CFF0FC"/>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17,984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gridSpan w:val="2"/>
            <w:vMerge w:val="continue"/>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2,507,654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September 30, 2018 was $4.99 per share. Total unrecognized compensation costs related to non-vested stock options at September 30, 2018 was approximately $17.6 million and is expected to be recognized within future operating results over a weighted-average period of 2.8 years. The total intrinsic value of the options exercised during the nine months ended September 30, 2017 was approximately $0.7 million.</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expected term of the employee-related options was estimated using the “simplified” method as defined by the Securities and Exchange Commission’s Staff Accounting Bulletin No. 107, Share-Based Payment.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uses the Black Scholes model to estimate the fair value of stock options granted. For stock options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the Company utilized the following assumptions: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0"/>
              </w:rPr>
              <w:t>5.5-6.25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1"/>
              </w:rPr>
              <w:t>2.33-2.93%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Arial" w:cs="Arial" w:eastAsia="Arial" w:hAnsi="Arial"/>
                <w:sz w:val="18"/>
                <w:szCs w:val="18"/>
                <w:color w:val="auto"/>
                <w:w w:val="91"/>
              </w:rPr>
              <w:t>1.83-2.02%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0"/>
              </w:rPr>
              <w:t>76-83%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79-84%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4.97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3"/>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Stock-Based Awards Granted to Non-employees- </w:t>
      </w:r>
      <w:r>
        <w:rPr>
          <w:rFonts w:ascii="Arial" w:cs="Arial" w:eastAsia="Arial" w:hAnsi="Arial"/>
          <w:sz w:val="18"/>
          <w:szCs w:val="18"/>
          <w:color w:val="333333"/>
        </w:rPr>
        <w:t>The Company from time to time grants options to purchase common stock to non-employees for services</w:t>
      </w:r>
      <w:r>
        <w:rPr>
          <w:rFonts w:ascii="Arial" w:cs="Arial" w:eastAsia="Arial" w:hAnsi="Arial"/>
          <w:sz w:val="18"/>
          <w:szCs w:val="18"/>
          <w:color w:val="auto"/>
        </w:rPr>
        <w:t xml:space="preserve"> </w:t>
      </w:r>
      <w:r>
        <w:rPr>
          <w:rFonts w:ascii="Arial" w:cs="Arial" w:eastAsia="Arial" w:hAnsi="Arial"/>
          <w:sz w:val="18"/>
          <w:szCs w:val="18"/>
          <w:color w:val="333333"/>
        </w:rPr>
        <w:t>rendered and records expense ratably over the vesting period of each award. The Company estimates the fair value of the stock options using the Black-Scholes valuation model at each reporting date. The Company granted 40,000 stock options to non-employees during the nine months ended September 30, 2018. The Company recorded stock-based compensation expense for stock options granted to non-employees of $</w:t>
      </w:r>
      <w:r>
        <w:rPr>
          <w:rFonts w:ascii="Arial" w:cs="Arial" w:eastAsia="Arial" w:hAnsi="Arial"/>
          <w:sz w:val="18"/>
          <w:szCs w:val="18"/>
          <w:color w:val="000000"/>
        </w:rPr>
        <w:t>1.0</w:t>
      </w:r>
      <w:r>
        <w:rPr>
          <w:rFonts w:ascii="Arial" w:cs="Arial" w:eastAsia="Arial" w:hAnsi="Arial"/>
          <w:sz w:val="18"/>
          <w:szCs w:val="18"/>
          <w:color w:val="333333"/>
        </w:rPr>
        <w:t xml:space="preserve"> million and $0.2 million during the nine months ended September 30,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ind w:left="7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16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7.9-9.3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6"/>
              <w:spacing w:after="0"/>
              <w:rPr>
                <w:sz w:val="20"/>
                <w:szCs w:val="20"/>
                <w:color w:val="auto"/>
              </w:rPr>
            </w:pPr>
            <w:r>
              <w:rPr>
                <w:rFonts w:ascii="Arial" w:cs="Arial" w:eastAsia="Arial" w:hAnsi="Arial"/>
                <w:sz w:val="18"/>
                <w:szCs w:val="18"/>
                <w:color w:val="auto"/>
                <w:w w:val="92"/>
              </w:rPr>
              <w:t>8.9-9.5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4"/>
              <w:spacing w:after="0"/>
              <w:rPr>
                <w:sz w:val="20"/>
                <w:szCs w:val="20"/>
                <w:color w:val="auto"/>
              </w:rPr>
            </w:pPr>
            <w:r>
              <w:rPr>
                <w:rFonts w:ascii="Arial" w:cs="Arial" w:eastAsia="Arial" w:hAnsi="Arial"/>
                <w:sz w:val="18"/>
                <w:szCs w:val="18"/>
                <w:color w:val="auto"/>
                <w:w w:val="91"/>
              </w:rPr>
              <w:t>2.46-3.04%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6"/>
              <w:spacing w:after="0"/>
              <w:rPr>
                <w:sz w:val="20"/>
                <w:szCs w:val="20"/>
                <w:color w:val="auto"/>
              </w:rPr>
            </w:pPr>
            <w:r>
              <w:rPr>
                <w:rFonts w:ascii="Arial" w:cs="Arial" w:eastAsia="Arial" w:hAnsi="Arial"/>
                <w:sz w:val="18"/>
                <w:szCs w:val="18"/>
                <w:color w:val="auto"/>
                <w:w w:val="91"/>
              </w:rPr>
              <w:t>2.27-2.31%</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0"/>
              </w:rPr>
              <w:t>83-88%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6"/>
              <w:spacing w:after="0"/>
              <w:rPr>
                <w:sz w:val="20"/>
                <w:szCs w:val="20"/>
                <w:color w:val="auto"/>
              </w:rPr>
            </w:pPr>
            <w:r>
              <w:rPr>
                <w:rFonts w:ascii="Arial" w:cs="Arial" w:eastAsia="Arial" w:hAnsi="Arial"/>
                <w:sz w:val="18"/>
                <w:szCs w:val="18"/>
                <w:color w:val="auto"/>
                <w:w w:val="87"/>
              </w:rPr>
              <w:t>111-112%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Dividend yield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4"/>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6"/>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FF0FC"/>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w w:val="97"/>
              </w:rPr>
              <w:t>RSU activity under the Plan for the nine months ended September 30, 2018 is as follows: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116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2018</w:t>
            </w:r>
          </w:p>
        </w:tc>
        <w:tc>
          <w:tcPr>
            <w:tcW w:w="4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Pr>
          <w:p>
            <w:pPr>
              <w:spacing w:after="0"/>
              <w:rPr>
                <w:sz w:val="19"/>
                <w:szCs w:val="19"/>
                <w:color w:val="auto"/>
              </w:rPr>
            </w:pPr>
          </w:p>
        </w:tc>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September 30, 2018</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September 30, 2018 was approximately $1.6 million and is expected to be recognized within future operating results over a period of 2.3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718,507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461,210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1,827,372</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1,471,161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1,543,274</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772,675</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4,446,218</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2,304,308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2,261,781</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1,233,885</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6,273,590</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642"/>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30, 2021, with a monthly rental rate starting at $14,808 and escalating to a maximum monthly rental rate of $16,288 in the final 12 months of the term. The Sublandlord has agreed to provide the Premises to the Company free of charge for the first two months of the term. The Company will recognize the remaining expense on a straight-line basis over the remaining lease term which will expire on July 30, 2021.</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2017 as filed with the Securities and Exchange Commission on March 12,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product portfolio and potential indications include: roluperidone for the treatment of schizophrenia; seltorexant (also known as MIN-202 or JNJ-42847922), which we are co-developing with Janssen Pharmaceutica NV, or Janssen, for the treatment of insomnia disorder and Major Depressive Disorder, or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19, 2017, we announced the screening of the first patient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drug will continue receiving their original dose and patients on placebo will receive either 32 mg or 64 mg of roluperidone.</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approximately 500 patients we expect to enroll in this trial at clinical sites in the U.S. and Europe will be initially randomized equally to receive one of the two doses of roluperidone or placebo for 12 weeks. Thereafter, all patients will continue treatment with roluperidone for the 40-week extension period if they elect to enter the extension period.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Momentum continues to build in the enrollment of patients in this trial. We are nearing our target number of clinical sites, including certain sites initiated following the decision by two eastern European countries not to participate in this trial. We expect the completion of enrollment during the first half of 2019 and top-line results in mid-2019.</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or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or CGI-S, score and safety and tolerability.</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moderate severe symptoms of excitement/hyperactivity, suspiciousness/persecution,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wash-out before receiving study drug. These parameters were applied in screening the population treated in the Phase 2b trial.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Chemistry, Manufacturing and Controls (CMC) program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CMC scale-up program for roluperidone is ongoing to ensure consistency between the drug batches to be used during pivotal,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BDNF </w:t>
      </w:r>
      <w:r>
        <w:rPr>
          <w:rFonts w:ascii="Arial" w:cs="Arial" w:eastAsia="Arial" w:hAnsi="Arial"/>
          <w:sz w:val="18"/>
          <w:szCs w:val="18"/>
          <w:color w:val="auto"/>
        </w:rPr>
        <w:t>Findings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22, 2018, we announced findings from a pre-clinical study that provide evidence of the effect of roluperidone on BDNF (Brain-Derived Neurotrophic Factor). BDNF is the most widely distributed member of neurotrophins in the brain and has been associated with neurogenesis, neuroplasticity, neuroprotection, synapse regulation, learning and memory. Its involvement in schizophrenia has also been described. In this study, after three days of administration, roluperidone was observed to significantly increase the release of BDNF in cultured brain hippocampal neurons in a dose-dependent manger. We believe these findings, along with the clinical results from the Phase 2b study, suggest the potential of roluperidone to change the overall course of schizophrenia.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Journal of Clinical Psychiatry Publication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announced on May 17, 2018 that The Journal of Clinical Psychiatry has published online results demonstrating cognitive improvements in patients with schizophrenia treated with roluperidone. The results also demonstrated that cognitive improvements correlate with previously reported improvements in negative symptoms.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initiated a Phase 2b trial in MDD in the U.S. and Europe on April 9, 2018. The primary objective of the trial is to evaluate the efficacy of two fixed doses of MIN-117, 5.0 mg and 2.5 mg,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using the Clinical Global Impression of Severity Scale (CGI-S) and Clinical Global Impression of Improvement Scale (CGI-I); and (3) safety over six weeks of treatment.</w:t>
      </w:r>
    </w:p>
    <w:p>
      <w:pPr>
        <w:spacing w:after="0" w:line="17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study population will consist of adults with a diagnosis of moderate or severe MDD with anxious distress and without psychotic features. Based upon previous clinical observations, we believe that patients with MDD who also have symptoms of anxiety may benefit from treatment with MIN-117.</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324 patients are expected to be enrolled at approximately 40 sites in the U.S. and Europe. Patients will be randomized to one of three arms, including placebo and the two dosage arms, in a 2:1:1 ratio, resulting in approximately 162 patients in the placebo group and 81 patients in each of the two MIN-117 treatment groups. The study design includes a screening phase of up to three weeks, a six-week double-blind treatment phase and a two-week post-study follow-up period. Top line results of the trial are expected in the first half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On September 5, 2017, we announced the enrollment of the first patient in a Phase 2b trial of seltorexant as adjunctive therapy to antidepressants in adult patients with MDD who have responded inadequately to antidepressant therapy (the 2001 trial). The primary objectives of this multi-center, double-blind, randomized, parallel group, placebo-controlled, adaptive-dose finding study are to assess the dose-response relationship and antidepressant effects of up to three doses of seltorexant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at approximately 85 clinical sites in the U.S., Europe, Russia and Japan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t>On December 21, 2017, we announced the enrollment of the first patient in a Phase 2b clinical trial comparing seltorexant versus quetiapine as adjunctive therapy in patients with MDD who have responded inadequately to antidepressant therapy (the 2002 trial).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trial consists of three phases: a screening phase lasting up to four weeks, a six-month double-blind treatment phase and a two-week follow-up</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phase. Approximately 100 patients 18 to 64 years of age are planned to be randomized at approximately 34 sites in the U.S. to receive either flexibly dosed seltorexant, 20 mg or 40 mg, or flexibly dosed quetiapine XR, 150 mg or 300 mg. Subjects will continue to take their baseline antidepressant therapy of either an SSRI (selective serotonin reuptake inhibitor) or an SNRI (serotonin-norepinephrine reuptake inhibitor) at the same dose throughout the screening, double-blind and follow-up phases.</w:t>
      </w:r>
    </w:p>
    <w:p>
      <w:pPr>
        <w:spacing w:after="0" w:line="1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Enrollment in the 2002 trial was temporarily suspended during the first quarter of 2018 due to a drug packaging issue. This issue has been resolved, and enrollment was restarted in the second quarter of 2018. We are also conducting preclinical fertility studies in female rats to assess the potential relevance to exposing women of child bearing potential to seltorexant.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expect the top-line results from both Phase 2b trials with seltorexant in MDD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2017, we announced the enrollment of the first patient in a Phase 2b clinical trial of seltorexant in patients with insomnia disorder (the 2005 trial). This multicenter, double-blind, randomized, parallel-group, active- and placebo-controlled dose finding study is designed to assess the efficacy and safety of seltorexant in both adult and elderly subjects with insomnia disorder. The primary objective of this trial is to assess the dose-response of three doses of seltorexant (5, 10 and 20 mg daily) compared to placebo on sleep onset as measured by the latency to persistent sleep (LPS) using polysomnography (PSG). The key secondary objective is to assess the dose-response of these three doses compared to placebo on wake after sleep onset (WASO) over the first six hours using PSG. In addition, the effects of seltorexant on sleep and cognition will be compared to those effects of zolpidem to determine potential differences between the compounds.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total of approximately 360 patients 18 to 85 years of age are expected to be randomized in this study at clinical sites in the United States, European Union and Japan.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expect the top-line results from the Phase 2b trial with seltorexant in insomnia disorder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previously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or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None of our product candidates have been approved for commercialization and we have not received any revenue in connection with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of our product candidates. We are evaluating the revenue implications of our Amendment to Co-Development and License Agreement with Janssen.</w:t>
      </w:r>
    </w:p>
    <w:p>
      <w:pPr>
        <w:spacing w:after="0" w:line="1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180"/>
        <w:spacing w:after="0" w:line="308" w:lineRule="auto"/>
        <w:rPr>
          <w:sz w:val="20"/>
          <w:szCs w:val="20"/>
          <w:color w:val="auto"/>
        </w:rPr>
      </w:pPr>
      <w:r>
        <w:rPr>
          <w:rFonts w:ascii="Arial" w:cs="Arial" w:eastAsia="Arial" w:hAnsi="Arial"/>
          <w:sz w:val="17"/>
          <w:szCs w:val="17"/>
          <w:color w:val="auto"/>
        </w:rPr>
        <w:t>In the future, we expect research and development expenses to continue to be our largest category of operating expenses and to increase as we continue our planned pre-clinical and clinical trials for our product candidates and as we hire additional research and development staff.</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2018 versus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Total research and development expenses were $8.4 million for the three months ended September 30, 2018 compared to $9.0 million for the same period in 2017, a decrease in total expense of $0.6 million. The decrease in research and development expenses was due to lower development expenses for the seltorexant program due to the Amendment to our Co-Development and License Agreement with Janssen. This amount was partially offset by higher development expenses for the Phase 3 clinical trial of roluperidone and the Phase 2b clinical trial of MIN-117. We expect research and development expenses to increase during 2018 as we increase patient enrollment and related support activities for the roluperidone and MIN-117 clinical trials.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general and administrative expenses were $4.1 million for the three months ended September 30, 2018 compared to $2.5 million for the same period in 2017, an increase of approximately $1.6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2018 as we begin to invest in the infrastructure necessary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Foreign exchange losses were $11 thousand for the three months ended September 30, 2018 compared to losses of $9 thousand for the same period in 2017, an increase of $2 thousand. The gain was primarily due to clinical activities denominated in Euros.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Investment income was $0.4 million for the three months ended September 30, 2018 compared to $0.3 million for the same period in 2017, an increase of $0.1 million. This increase was due to an increase in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was $4 thousand for the three months ended September 30, 2018 compared to $138 thousand for the same period in 2017, a decrease of $134 thousand. This decrease was due to a lower outstanding principal balance on our Term A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2018 versus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research and development expenses were $25.9 million for the nine months ended September 30, 2018 compared to $23.7 million for the same period in 2017, an increase in total expense of $2.2 million. The increase in research and development expenses primarily reflects higher development expenses for the Phase 3 clinical trial of roluperidone and the Phase 2b clinical trial of MIN-117. These amounts were partially offset by lower development expenses for the seltorexant program due to the Amendment to our Co-Development and License Agreement with Janssen. We expect research and development expenses to increase during 2018 as we increase patient enrollment and related support activities for the roluperidone and MIN-117 clinical trials.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Total general and administrative expenses were $12.2 million for the nine months ended September 30, 2018 compared to $7.9 million for the same period in 2017, an increase of approximately $4.3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2018 as we begin to invest in the infrastructure necessary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Foreign exchange gains were $0.2 thousand for the nine months ended September 30, 2018 compared to losses of $46 thousand for the same period in 2017, an increase of $46 thousand. The loss was primarily due to certain expenses of Mind-NRG and clinical activities denominated in Euros.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income was $1.2 million for the nine months ended September 30, 2018 compared to $0.5 million for the same period in 2017, an increase of $0.7 million. The increase was due to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was $0.1 million for the nine months ended September 30, 2018 compared to $0.5 million for the same period in 2017, a decrease of $0.4 million. The decrease was due to a lower outstanding principal balance on our Term A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have incurred losses and cumulative negative cash flows from operations since our inception in April 2007 and, as of September 30, 2018, we had an accumulated deficit of approximately $201.3 million. We anticipate that we will continue to incur net losses for the foreseeable future as we continue the development and potential commercialization of our product candidates and to support our operations as a public company. At September 30, 2018, we had approximately $97.7 million in cash, cash equivalents, restricted cash, and marketable securities. We believe that our existing cash, cash equivalents, restricted cash,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will vary depending upon several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Under our $10.0 million Term A Loan, we have made principal repayments of $10.0 million and made a final repayment of all outstanding borrowings on August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significant sources and uses of cash for the nine months ended September 30,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00" w:type="dxa"/>
            <w:vAlign w:val="bottom"/>
            <w:gridSpan w:val="5"/>
          </w:tcPr>
          <w:p>
            <w:pPr>
              <w:jc w:val="center"/>
              <w:ind w:left="402"/>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4"/>
          </w:tcPr>
          <w:p>
            <w:pPr>
              <w:jc w:val="center"/>
              <w:ind w:right="230"/>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1"/>
              </w:rPr>
              <w:t>(107.1)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0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Net cash used in operating activities of approximately $32.1 million during the nine months ended September 30, 2018 was primarily due to our net loss of $37.0 million, an increase in prepaid expense of $2.4 million a decrease in accounts payable of $0.5 million and amortization of investments of $0.1 million, partially offset by stock-based compensation expense of $6.3 million and a $1.6 million increase in accrued expenses.</w:t>
      </w:r>
    </w:p>
    <w:p>
      <w:pPr>
        <w:spacing w:after="0" w:line="16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cash provided by operating activities of approximately $12.0 million during the nine months ended September 30, 2017 was primarily due to a $41.2 million increase in deferred revenue related to the Amendment, stock-based compensation expense of $3.8 million, a $1.2 million increase in accrued expenses and amortization of investments and debt discount of $0.1 million, partially offset by our net loss of $31.7 million, a decrease in accrued collaborative expense of $2.5 million, and an increase in prepaid expenses of $0.1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cash provided by investing activities of approximately $96.9 million during the nine months ended September 30, 2018 was primarily due to the maturity and redemption of marketable securities of $104.9 million, partially offset by the purchase of marketable securities of $7.9 million.</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of approximately $107.1 million during the nine months ended September 30, 2017 was primarily due to the purchase of marketable securities of $134.5 million, partially offset by the redemption of marketable securities of $27.4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cash used in financing activities of $3.5 million during the nine months ended September 30, 2018 was due to principal repayments and payment of an end of term fee under the Term A Loans of $4.0 million, partially offset by the proceeds from the exercise of common stock options of $0.5 million.</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provided by financing activities of $48.4 million during the nine months ended September 30, 2017 was primarily due to the gross proceeds from the July 2017 public stock offering of $44.6 million less costs of $3.0 million, proceeds from the exercise of common stock warrants of $9.4 million and the proceeds from the exercise of common stock options of $1.1 million, partially offset by the principal repayments under the Term A Loans of $3.7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our Annual Report on Form 10-K for the fiscal year ended December 31, 2017, our most critical accounting policies and estimates upon which our financial status depends were identified as those relating to stock-based compensation; research and development costs; in-process research and development; goodwill; income taxes; Jumpstart Our Business Startups Act; net operating losses and tax credit carryforwards; and impairment of long-lived assets. We reviewed our policies and determined that those policies remain our most critical accounting policies for the nine months ended September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2018. Based on the evaluation of our disclosure controls and procedures as of September 30, 2018,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2017, as filed with the SEC on March 12, 2018. The risk factors set forth below are risk factors containing changes, which may be material, from the risk factors previously disclosed in Item 1A of our Annual Report on Form 10-K for the fiscal year ended December 31, 2017,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profitable and have incurred losses in each period since our inception in 2007. For the nine months ended September 30, 2018, and 2017, we reported net losses of $37.0 million and $31.7 million, respectively. As of September 30, 2018, we had an accumulated deficit of $201.3 million.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September 30, 2018, we had cash, cash equivalents, restricted cash, and marketable securities of $97.7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560"/>
        <w:spacing w:after="0" w:line="342" w:lineRule="auto"/>
        <w:rPr>
          <w:sz w:val="20"/>
          <w:szCs w:val="20"/>
          <w:color w:val="auto"/>
        </w:rPr>
      </w:pPr>
      <w:r>
        <w:rPr>
          <w:rFonts w:ascii="Arial" w:cs="Arial" w:eastAsia="Arial" w:hAnsi="Arial"/>
          <w:sz w:val="16"/>
          <w:szCs w:val="16"/>
          <w:color w:val="auto"/>
        </w:rPr>
        <w:t>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820" w:hanging="519"/>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80" w:hanging="519"/>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we had fourteen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did not sell any unregistered securities during the three months ended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repurchase any securities during the three months ended September 30,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6"/>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9"/>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9"/>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80" w:type="dxa"/>
            <w:vAlign w:val="bottom"/>
            <w:tcBorders>
              <w:bottom w:val="single" w:sz="8" w:color="0000EE"/>
            </w:tcBorders>
            <w:gridSpan w:val="7"/>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Amended and Restated Certificate of Incorporation of the Registrant (incorporated by reference to Exhibit 3.1 to the</w:t>
              </w:r>
            </w:hyperlink>
          </w:p>
        </w:tc>
        <w:tc>
          <w:tcPr>
            <w:tcW w:w="860" w:type="dxa"/>
            <w:vAlign w:val="bottom"/>
            <w:gridSpan w:val="6"/>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 xml:space="preserve">Registrant’s registration 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18"/>
                <w:szCs w:val="18"/>
                <w:color w:val="0000EE"/>
                <w:w w:val="96"/>
              </w:rPr>
            </w:pPr>
            <w:hyperlink r:id="rId50">
              <w:r>
                <w:rPr>
                  <w:rFonts w:ascii="Arial" w:cs="Arial" w:eastAsia="Arial" w:hAnsi="Arial"/>
                  <w:sz w:val="18"/>
                  <w:szCs w:val="18"/>
                  <w:color w:val="0000EE"/>
                  <w:w w:val="96"/>
                </w:rPr>
                <w:t xml:space="preserve">Amended and </w:t>
              </w:r>
              <w:r>
                <w:rPr>
                  <w:rFonts w:ascii="Arial" w:cs="Arial" w:eastAsia="Arial" w:hAnsi="Arial"/>
                  <w:sz w:val="18"/>
                  <w:szCs w:val="18"/>
                  <w:color w:val="0000EE"/>
                  <w:highlight w:val="white"/>
                  <w:w w:val="96"/>
                </w:rPr>
                <w:t>Restated Bylaws of</w:t>
              </w:r>
              <w:r>
                <w:rPr>
                  <w:rFonts w:ascii="Arial" w:cs="Arial" w:eastAsia="Arial" w:hAnsi="Arial"/>
                  <w:sz w:val="18"/>
                  <w:szCs w:val="18"/>
                  <w:color w:val="0000EE"/>
                  <w:w w:val="96"/>
                </w:rPr>
                <w:t xml:space="preserve"> the Registrant (incorporated by reference to Exhibit </w:t>
              </w:r>
              <w:r>
                <w:rPr>
                  <w:rFonts w:ascii="Arial" w:cs="Arial" w:eastAsia="Arial" w:hAnsi="Arial"/>
                  <w:sz w:val="18"/>
                  <w:szCs w:val="18"/>
                  <w:color w:val="0000EE"/>
                  <w:highlight w:val="white"/>
                  <w:w w:val="96"/>
                </w:rPr>
                <w:t>3.2 to</w:t>
              </w:r>
              <w:r>
                <w:rPr>
                  <w:rFonts w:ascii="Arial" w:cs="Arial" w:eastAsia="Arial" w:hAnsi="Arial"/>
                  <w:sz w:val="18"/>
                  <w:szCs w:val="18"/>
                  <w:color w:val="0000EE"/>
                  <w:w w:val="96"/>
                </w:rPr>
                <w:t xml:space="preserve"> the Registrant’s registration</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 xml:space="preserve">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w:t>
              </w:r>
              <w:r>
                <w:rPr>
                  <w:rFonts w:ascii="Arial" w:cs="Arial" w:eastAsia="Arial" w:hAnsi="Arial"/>
                  <w:sz w:val="18"/>
                  <w:szCs w:val="18"/>
                  <w:color w:val="0000EE"/>
                  <w:highlight w:val="white"/>
                </w:rPr>
                <w:t>June 10, 2014</w:t>
              </w:r>
              <w:r>
                <w:rPr>
                  <w:rFonts w:ascii="Arial" w:cs="Arial" w:eastAsia="Arial" w:hAnsi="Arial"/>
                  <w:sz w:val="18"/>
                  <w:szCs w:val="18"/>
                  <w:color w:val="0000EE"/>
                </w:rPr>
                <w:t>)</w:t>
              </w:r>
            </w:hyperlink>
          </w:p>
        </w:tc>
        <w:tc>
          <w:tcPr>
            <w:tcW w:w="54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11"/>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20" w:right="3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337" w:right="6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5,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5,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2018,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9" Type="http://schemas.openxmlformats.org/officeDocument/2006/relationships/hyperlink" Target="http://www.sec.gov/Archives/edgar/data/0001598646/000104746914005459/a2219972zex-3_1.htm" TargetMode="External"/><Relationship Id="rId50" Type="http://schemas.openxmlformats.org/officeDocument/2006/relationships/hyperlink" Target="http://www.sec.gov/Archives/edgar/data/0001598646/000104746914005459/a2219972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2019-12-28T18:20:30Z</dcterms:created>
  <dcterms:modified xsi:type="dcterms:W3CDTF">2019-12-28T18:20:30Z</dcterms:modified>
</cp:coreProperties>
</file>