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5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77" w:lineRule="exact"/>
        <w:rPr>
          <w:sz w:val="24"/>
          <w:szCs w:val="24"/>
          <w:color w:val="auto"/>
        </w:rPr>
      </w:pPr>
    </w:p>
    <w:p>
      <w:pPr>
        <w:ind w:left="500" w:right="100" w:hanging="492"/>
        <w:spacing w:after="0" w:line="26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 FOR THE TRANSITION PERIOD FROM TO</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001-36517</w:t>
      </w:r>
    </w:p>
    <w:p>
      <w:pPr>
        <w:spacing w:after="0" w:line="138" w:lineRule="exact"/>
        <w:rPr>
          <w:sz w:val="24"/>
          <w:szCs w:val="24"/>
          <w:color w:val="auto"/>
        </w:rPr>
      </w:pPr>
    </w:p>
    <w:p>
      <w:pPr>
        <w:jc w:val="center"/>
        <w:ind w:right="-99"/>
        <w:spacing w:after="0"/>
        <w:rPr>
          <w:sz w:val="20"/>
          <w:szCs w:val="20"/>
          <w:color w:val="auto"/>
        </w:rPr>
      </w:pPr>
      <w:r>
        <w:rPr>
          <w:rFonts w:ascii="Arial" w:cs="Arial" w:eastAsia="Arial" w:hAnsi="Arial"/>
          <w:sz w:val="38"/>
          <w:szCs w:val="38"/>
          <w:b w:val="1"/>
          <w:bCs w:val="1"/>
          <w:color w:val="auto"/>
        </w:rPr>
        <w:t>Minerva Neurosciences,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-274955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5"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1601 Trapelo Road, Suite 286</w:t>
            </w:r>
          </w:p>
        </w:tc>
        <w:tc>
          <w:tcPr>
            <w:tcW w:w="3120" w:type="dxa"/>
            <w:vAlign w:val="bottom"/>
          </w:tcPr>
          <w:p>
            <w:pPr>
              <w:spacing w:after="0"/>
              <w:rPr>
                <w:sz w:val="22"/>
                <w:szCs w:val="22"/>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39"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88900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160" w:type="dxa"/>
            <w:vAlign w:val="bottom"/>
            <w:tcBorders>
              <w:right w:val="single" w:sz="8" w:color="auto"/>
            </w:tcBorders>
          </w:tcPr>
          <w:p>
            <w:pPr>
              <w:spacing w:after="0"/>
              <w:rPr>
                <w:sz w:val="19"/>
                <w:szCs w:val="19"/>
                <w:color w:val="auto"/>
              </w:rPr>
            </w:pP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440" w:type="dxa"/>
            <w:vAlign w:val="bottom"/>
            <w:tcBorders>
              <w:top w:val="single" w:sz="8" w:color="auto"/>
              <w:bottom w:val="single" w:sz="8" w:color="auto"/>
              <w:right w:val="single" w:sz="8" w:color="auto"/>
            </w:tcBorders>
            <w:gridSpan w:val="4"/>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9"/>
        </w:trPr>
        <w:tc>
          <w:tcPr>
            <w:tcW w:w="1160" w:type="dxa"/>
            <w:vAlign w:val="bottom"/>
            <w:tcBorders>
              <w:right w:val="single" w:sz="8" w:color="auto"/>
            </w:tcBorders>
          </w:tcPr>
          <w:p>
            <w:pPr>
              <w:spacing w:after="0"/>
              <w:rPr>
                <w:sz w:val="18"/>
                <w:szCs w:val="18"/>
                <w:color w:val="auto"/>
              </w:rPr>
            </w:pPr>
          </w:p>
        </w:tc>
        <w:tc>
          <w:tcPr>
            <w:tcW w:w="3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$0.0001 par value per share</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NERV</w:t>
            </w:r>
          </w:p>
        </w:tc>
        <w:tc>
          <w:tcPr>
            <w:tcW w:w="344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6"/>
                <w:szCs w:val="16"/>
                <w:color w:val="auto"/>
                <w:w w:val="96"/>
              </w:rPr>
              <w:t>The NASDAQ Global Market</w:t>
            </w:r>
          </w:p>
        </w:tc>
      </w:tr>
      <w:tr>
        <w:trPr>
          <w:trHeight w:val="274"/>
        </w:trPr>
        <w:tc>
          <w:tcPr>
            <w:tcW w:w="4600" w:type="dxa"/>
            <w:vAlign w:val="bottom"/>
            <w:gridSpan w:val="2"/>
          </w:tcPr>
          <w:p>
            <w:pPr>
              <w:spacing w:after="0"/>
              <w:rPr>
                <w:sz w:val="20"/>
                <w:szCs w:val="20"/>
                <w:color w:val="auto"/>
              </w:rPr>
            </w:pPr>
            <w:r>
              <w:rPr>
                <w:rFonts w:ascii="Arial" w:cs="Arial" w:eastAsia="Arial" w:hAnsi="Arial"/>
                <w:sz w:val="16"/>
                <w:szCs w:val="16"/>
                <w:color w:val="auto"/>
              </w:rPr>
              <w:t xml:space="preserve">Securities registered pursuant to Section 12(g) of the Act: </w:t>
            </w:r>
            <w:r>
              <w:rPr>
                <w:rFonts w:ascii="Arial" w:cs="Arial" w:eastAsia="Arial" w:hAnsi="Arial"/>
                <w:sz w:val="16"/>
                <w:szCs w:val="16"/>
                <w:b w:val="1"/>
                <w:bCs w:val="1"/>
                <w:color w:val="auto"/>
              </w:rPr>
              <w:t>None</w:t>
            </w:r>
          </w:p>
        </w:tc>
        <w:tc>
          <w:tcPr>
            <w:tcW w:w="20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301"/>
        </w:trPr>
        <w:tc>
          <w:tcPr>
            <w:tcW w:w="778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60" w:type="dxa"/>
            <w:vAlign w:val="bottom"/>
          </w:tcPr>
          <w:p>
            <w:pPr>
              <w:ind w:left="40"/>
              <w:spacing w:after="0"/>
              <w:rPr>
                <w:sz w:val="20"/>
                <w:szCs w:val="20"/>
                <w:color w:val="auto"/>
              </w:rPr>
            </w:pPr>
            <w:r>
              <w:rPr>
                <w:rFonts w:ascii="Arial" w:cs="Arial" w:eastAsia="Arial" w:hAnsi="Arial"/>
                <w:sz w:val="16"/>
                <w:szCs w:val="16"/>
                <w:color w:val="auto"/>
                <w:w w:val="93"/>
              </w:rPr>
              <w:t>YES</w:t>
            </w:r>
          </w:p>
        </w:tc>
        <w:tc>
          <w:tcPr>
            <w:tcW w:w="2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1700" w:type="dxa"/>
            <w:vAlign w:val="bottom"/>
          </w:tcPr>
          <w:p>
            <w:pPr>
              <w:ind w:left="10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70"/>
        </w:trPr>
        <w:tc>
          <w:tcPr>
            <w:tcW w:w="7780" w:type="dxa"/>
            <w:vAlign w:val="bottom"/>
            <w:gridSpan w:val="4"/>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15(d) of the Act.  YES</w:t>
            </w:r>
          </w:p>
        </w:tc>
        <w:tc>
          <w:tcPr>
            <w:tcW w:w="36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tcPr>
          <w:p>
            <w:pPr>
              <w:spacing w:after="0"/>
              <w:rPr>
                <w:sz w:val="20"/>
                <w:szCs w:val="20"/>
                <w:color w:val="auto"/>
              </w:rPr>
            </w:pPr>
            <w:r>
              <w:rPr>
                <w:rFonts w:ascii="Arial" w:cs="Arial" w:eastAsia="Arial" w:hAnsi="Arial"/>
                <w:sz w:val="16"/>
                <w:szCs w:val="16"/>
                <w:color w:val="auto"/>
              </w:rPr>
              <w:t>NO</w:t>
            </w:r>
          </w:p>
        </w:tc>
        <w:tc>
          <w:tcPr>
            <w:tcW w:w="170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r>
    </w:tbl>
    <w:p>
      <w:pPr>
        <w:spacing w:after="0" w:line="46" w:lineRule="exact"/>
        <w:rPr>
          <w:sz w:val="24"/>
          <w:szCs w:val="24"/>
          <w:color w:val="auto"/>
        </w:rPr>
      </w:pPr>
    </w:p>
    <w:p>
      <w:pPr>
        <w:jc w:val="both"/>
        <w:ind w:right="42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2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51" w:lineRule="exact"/>
        <w:rPr>
          <w:sz w:val="24"/>
          <w:szCs w:val="24"/>
          <w:color w:val="auto"/>
        </w:rPr>
      </w:pPr>
    </w:p>
    <w:p>
      <w:pPr>
        <w:ind w:right="4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30"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value of the Company’s Common Stock held by non-affiliates of the Company was approximately $211.1 million as of June 28, 2019, when the last reported sales price was $5.63 per share.</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March 5, 2020 was 39,219,134.</w:t>
      </w:r>
    </w:p>
    <w:p>
      <w:pPr>
        <w:spacing w:after="0" w:line="8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DOCUMENTS INCORPORATED BY REFERENCE</w:t>
      </w:r>
    </w:p>
    <w:p>
      <w:pPr>
        <w:spacing w:after="0" w:line="95"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Portions of the Registrant’s Definitive Proxy Statement relating to the 2020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281940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607" w:right="4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00" w:type="dxa"/>
            <w:vAlign w:val="bottom"/>
            <w:gridSpan w:val="10"/>
          </w:tcPr>
          <w:p>
            <w:pPr>
              <w:jc w:val="center"/>
              <w:ind w:right="3420"/>
              <w:spacing w:after="0"/>
              <w:rPr>
                <w:sz w:val="20"/>
                <w:szCs w:val="20"/>
                <w:color w:val="auto"/>
              </w:rPr>
            </w:pPr>
            <w:r>
              <w:rPr>
                <w:rFonts w:ascii="Arial" w:cs="Arial" w:eastAsia="Arial" w:hAnsi="Arial"/>
                <w:sz w:val="18"/>
                <w:szCs w:val="18"/>
                <w:b w:val="1"/>
                <w:bCs w:val="1"/>
                <w:color w:val="auto"/>
              </w:rPr>
              <w:t>MINERVA NEUROSCIENCES,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20" w:type="dxa"/>
            <w:vAlign w:val="bottom"/>
            <w:gridSpan w:val="8"/>
          </w:tcPr>
          <w:p>
            <w:pPr>
              <w:jc w:val="center"/>
              <w:ind w:right="390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8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460" w:type="dxa"/>
            <w:vAlign w:val="bottom"/>
            <w:gridSpan w:val="5"/>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Risk Factors</w:t>
              </w:r>
            </w:hyperlink>
          </w:p>
        </w:tc>
        <w:tc>
          <w:tcPr>
            <w:tcW w:w="8640" w:type="dxa"/>
            <w:vAlign w:val="bottom"/>
            <w:gridSpan w:val="1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Unresolved Staff Comments</w:t>
              </w:r>
            </w:hyperlink>
          </w:p>
        </w:tc>
        <w:tc>
          <w:tcPr>
            <w:tcW w:w="7500" w:type="dxa"/>
            <w:vAlign w:val="bottom"/>
            <w:gridSpan w:val="11"/>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Properties</w:t>
              </w:r>
            </w:hyperlink>
          </w:p>
        </w:tc>
        <w:tc>
          <w:tcPr>
            <w:tcW w:w="8820" w:type="dxa"/>
            <w:vAlign w:val="bottom"/>
            <w:gridSpan w:val="1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56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56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b w:val="1"/>
                <w:bCs w:val="1"/>
                <w:color w:val="0000EE"/>
                <w:w w:val="98"/>
              </w:rPr>
              <w:t>PART II.</w:t>
            </w:r>
          </w:p>
        </w:tc>
        <w:tc>
          <w:tcPr>
            <w:tcW w:w="38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956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3"/>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5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63">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17"/>
                <w:szCs w:val="17"/>
                <w:color w:val="auto"/>
              </w:rPr>
            </w:pPr>
          </w:p>
        </w:tc>
        <w:tc>
          <w:tcPr>
            <w:tcW w:w="3100" w:type="dxa"/>
            <w:vAlign w:val="bottom"/>
            <w:gridSpan w:val="4"/>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4">
              <w:r>
                <w:rPr>
                  <w:rFonts w:ascii="Arial" w:cs="Arial" w:eastAsia="Arial" w:hAnsi="Arial"/>
                  <w:sz w:val="18"/>
                  <w:szCs w:val="18"/>
                  <w:color w:val="0000EE"/>
                  <w:w w:val="89"/>
                </w:rPr>
                <w:t>Financial Statements and Supplementary Data</w:t>
              </w:r>
            </w:hyperlink>
          </w:p>
        </w:tc>
        <w:tc>
          <w:tcPr>
            <w:tcW w:w="6220" w:type="dxa"/>
            <w:vAlign w:val="bottom"/>
            <w:gridSpan w:val="8"/>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560" w:type="dxa"/>
            <w:vAlign w:val="bottom"/>
            <w:gridSpan w:val="2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080" w:type="dxa"/>
            <w:vAlign w:val="bottom"/>
            <w:gridSpan w:val="3"/>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560" w:type="dxa"/>
            <w:vAlign w:val="bottom"/>
            <w:gridSpan w:val="2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Other Information</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b w:val="1"/>
                <w:bCs w:val="1"/>
                <w:color w:val="0000EE"/>
              </w:rPr>
              <w:t>PART III.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auto"/>
              </w:rPr>
              <w:t>Item 10.</w:t>
            </w:r>
          </w:p>
        </w:tc>
        <w:tc>
          <w:tcPr>
            <w:tcW w:w="320" w:type="dxa"/>
            <w:vAlign w:val="bottom"/>
            <w:gridSpan w:val="2"/>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Directors, Executive Officers and Corporate Governance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460" w:type="dxa"/>
            <w:vAlign w:val="bottom"/>
            <w:gridSpan w:val="7"/>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9">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9560" w:type="dxa"/>
            <w:vAlign w:val="bottom"/>
            <w:gridSpan w:val="20"/>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Certain Relationships and Related Person Transactions and Director Independence</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9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Principal Accountant Fees and Services</w:t>
              </w:r>
            </w:hyperlink>
          </w:p>
        </w:tc>
        <w:tc>
          <w:tcPr>
            <w:tcW w:w="3620" w:type="dxa"/>
            <w:vAlign w:val="bottom"/>
            <w:gridSpan w:val="5"/>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94"/>
              </w:rPr>
              <w:t>PART IV.</w:t>
            </w:r>
          </w:p>
        </w:tc>
        <w:tc>
          <w:tcPr>
            <w:tcW w:w="34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56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Exhibits and Financial Statement Schedules</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Exhibit Index</w:t>
            </w: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9560" w:type="dxa"/>
            <w:vAlign w:val="bottom"/>
            <w:gridSpan w:val="2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Form 10-K Summary</w:t>
              </w:r>
            </w:hyperlink>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Signatures</w:t>
            </w:r>
          </w:p>
        </w:tc>
        <w:tc>
          <w:tcPr>
            <w:tcW w:w="32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right="80"/>
        <w:spacing w:after="0" w:line="283"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10-K under Part I, Item IA, “Risk Factors.</w:t>
      </w:r>
      <w:r>
        <w:rPr>
          <w:rFonts w:ascii="Arial" w:cs="Arial" w:eastAsia="Arial" w:hAnsi="Arial"/>
          <w:sz w:val="21"/>
          <w:szCs w:val="21"/>
          <w:i w:val="1"/>
          <w:iCs w:val="1"/>
          <w:color w:val="auto"/>
        </w:rPr>
        <w:t>”</w:t>
      </w:r>
    </w:p>
    <w:p>
      <w:pPr>
        <w:spacing w:after="0" w:line="2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(“CNS”) diseases. Leveraging our scientific insights and clinical experience, we have acquired or in-licensed three proprietary compounds that are currently in development. We believe these compounds have innovative mechanisms of action and therapeutic profiles that potentially address the unmet needs of patients with these diseases.</w:t>
      </w:r>
    </w:p>
    <w:p>
      <w:pPr>
        <w:spacing w:after="0" w:line="187"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Our product portfolio and potential indications include: roluperidone (also known as MIN-101) for the treatment of negative symptoms in patients with schizophrenia; seltorexant (also known as MIN-202 or JNJ-42847922), which we are co-developing with Janssen Pharmaceutica NV (“Janssen”) for the treatment of insomnia disorder and adjunctive treatment of Major Depressive Disorder (“MDD”); and MIN-301 for the treatment of Parkinson’s disease.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believe our product candidates have significant potential to improve the lives of a large number of affected patients and their families who are currently not well-served by available therapies. According to Datamonitor, an independent market research firm, in 2019 approximately 2.9 million people suffered from schizophrenia and 2.1 million suffered from Parkinson’s disease in the United States (“U.S.”), Japan and the five major European Union (“EU”) markets of France, Germany, Italy, Spain and the United Kingdom. Approximately 30% of the adult U.S. population suffer from symptoms of insomnia and 10% are likely to suffer from chronic insomnia, making it the most common sleep disorder, and approximately 40% of all insomnia patients have a coexisting psychiatric condition. Comorbid mood and anxiety disorders are associated with high rates of severe insomnia complaints, which were independently associated with substantial functional impairment.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222" w:lineRule="exact"/>
        <w:rPr>
          <w:sz w:val="20"/>
          <w:szCs w:val="20"/>
          <w:color w:val="auto"/>
        </w:rPr>
      </w:pPr>
    </w:p>
    <w:p>
      <w:pPr>
        <w:ind w:left="1000" w:right="160" w:hanging="493"/>
        <w:spacing w:after="0" w:line="258"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Identify, acquire and develop differentiated products with innovative mechanisms of action based on biological and clinical insights into the unmet needs of patients;</w:t>
      </w:r>
    </w:p>
    <w:p>
      <w:pPr>
        <w:spacing w:after="0" w:line="1" w:lineRule="exact"/>
        <w:rPr>
          <w:rFonts w:ascii="Arial" w:cs="Arial" w:eastAsia="Arial" w:hAnsi="Arial"/>
          <w:sz w:val="18"/>
          <w:szCs w:val="18"/>
          <w:color w:val="auto"/>
        </w:rPr>
      </w:pPr>
    </w:p>
    <w:p>
      <w:pPr>
        <w:ind w:left="1000" w:right="80" w:hanging="493"/>
        <w:spacing w:after="0" w:line="26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Leverage the randomized, double-blind, placebo-controlled data from completed trials to advance the clinical development of our product candidates in multiple regulatory jurisdictions;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ind w:left="1000" w:right="40" w:hanging="493"/>
        <w:spacing w:after="0" w:line="271"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Prepare for the commercialization of our lead product, roluperidone, which will potentially be the first product approved to treat negative symptoms in patients with schizophrenia and, in the longer term as a potential treatment for other neuro-degenerative brain disorders in which negative symptoms represent a significant debilitating, unmet need;</w:t>
      </w:r>
    </w:p>
    <w:p>
      <w:pPr>
        <w:jc w:val="both"/>
        <w:ind w:left="1000" w:right="540" w:hanging="493"/>
        <w:spacing w:after="0" w:line="300" w:lineRule="auto"/>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w:t>
      </w:r>
    </w:p>
    <w:p>
      <w:pPr>
        <w:ind w:left="1000" w:right="520" w:hanging="493"/>
        <w:spacing w:after="0" w:line="290"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 November 2013, Cyrenaic Pharmaceuticals, Inc., or Cyrenaic, and Sonkei Pharmaceuticals, Inc., or Sonkei, merged, and the combined company was renamed Minerva Neurosciences, Inc. Cyrenaic had been incorporated in 2007 and had exclusively licensed roluperidone and other compounds with a similar structure and intended purpose from Mitsubishi Tanabe Pharma Corporation, or MTPC. Sonkei had been incorporated in 2008 and had exclusively licensed from MTPC a compound known as MIN-117 for which we recently discontinued development. We saw the merger as an opportunity to better serve underserved patient populations through combining a portfolio of promising product candidates targeting multiple CNS diseases. As a result of the merger, we have the rights to develop and commercialize roluperidone and MIN-117 globally, excluding most of Asia, where MTPC has retained commercialization rights.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further expanded our product candidate portfolio in February 2014 by acquiring the shares of Mind-NRG Sarl, or Mind-NRG, which had exclusive rights to develop and commercialize MIN-301 globally. In addition, in February 2014 we entered into a co-development and license agreement with Janssen, one of the Janssen Pharmaceutical Companies of Johnson &amp; Johnson. Pursuant to this agreement, subsequently amended in June 2017, we are co-developing seltorexant and have the right to commercialize this compound in the European Union, Switzerland, Liechtenstein, Iceland and Norway, or the Minerva Territory, subject to royalty payments to Janssen, with Janssen having commercialization rights outside of the Minerva Territory, subject to royalty payments to us.</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 of Advanced Clinical-Stage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171450</wp:posOffset>
            </wp:positionV>
            <wp:extent cx="6163310" cy="256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6331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Roluperidone is a compound that has been shown to block serotonin receptors and sigma receptors, two receptors in the brain that are involved in the regulation of mood, cognition, sleep and anxiety. We are developing roluperidone to treat patients with schizophrenia. Roluperidone has been designed to block a specific subtype of serotonin receptor called 5-HT</w:t>
      </w:r>
      <w:r>
        <w:rPr>
          <w:rFonts w:ascii="Arial" w:cs="Arial" w:eastAsia="Arial" w:hAnsi="Arial"/>
          <w:sz w:val="14"/>
          <w:szCs w:val="14"/>
          <w:color w:val="auto"/>
        </w:rPr>
        <w:t>2A</w:t>
      </w:r>
      <w:r>
        <w:rPr>
          <w:rFonts w:ascii="Arial" w:cs="Arial" w:eastAsia="Arial" w:hAnsi="Arial"/>
          <w:sz w:val="17"/>
          <w:szCs w:val="17"/>
          <w:color w:val="auto"/>
        </w:rPr>
        <w:t>. When 5-HT</w:t>
      </w:r>
      <w:r>
        <w:rPr>
          <w:rFonts w:ascii="Arial" w:cs="Arial" w:eastAsia="Arial" w:hAnsi="Arial"/>
          <w:sz w:val="14"/>
          <w:szCs w:val="14"/>
          <w:color w:val="auto"/>
        </w:rPr>
        <w:t>2A</w:t>
      </w:r>
      <w:r>
        <w:rPr>
          <w:rFonts w:ascii="Arial" w:cs="Arial" w:eastAsia="Arial" w:hAnsi="Arial"/>
          <w:sz w:val="17"/>
          <w:szCs w:val="17"/>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Arial" w:cs="Arial" w:eastAsia="Arial" w:hAnsi="Arial"/>
          <w:sz w:val="14"/>
          <w:szCs w:val="14"/>
          <w:color w:val="auto"/>
        </w:rPr>
        <w:t>2A</w:t>
      </w:r>
      <w:r>
        <w:rPr>
          <w:rFonts w:ascii="Arial" w:cs="Arial" w:eastAsia="Arial" w:hAnsi="Arial"/>
          <w:sz w:val="17"/>
          <w:szCs w:val="17"/>
          <w:color w:val="auto"/>
        </w:rPr>
        <w:t xml:space="preserve"> promotes slow wave sleep, a sleep stage often disrupted in patients with schizophrenia. Roluperidone has also been designed to block a specific subtype of sigma receptor called sigma</w:t>
      </w:r>
      <w:r>
        <w:rPr>
          <w:rFonts w:ascii="Arial" w:cs="Arial" w:eastAsia="Arial" w:hAnsi="Arial"/>
          <w:sz w:val="14"/>
          <w:szCs w:val="14"/>
          <w:color w:val="auto"/>
        </w:rPr>
        <w:t>2</w:t>
      </w:r>
      <w:r>
        <w:rPr>
          <w:rFonts w:ascii="Arial" w:cs="Arial" w:eastAsia="Arial" w:hAnsi="Arial"/>
          <w:sz w:val="17"/>
          <w:szCs w:val="17"/>
          <w:color w:val="auto"/>
        </w:rPr>
        <w:t>, which is involved in movement control, psychotic symptom control and learning and memory. Blocking sigma</w:t>
      </w:r>
      <w:r>
        <w:rPr>
          <w:rFonts w:ascii="Arial" w:cs="Arial" w:eastAsia="Arial" w:hAnsi="Arial"/>
          <w:sz w:val="14"/>
          <w:szCs w:val="14"/>
          <w:color w:val="auto"/>
        </w:rPr>
        <w:t>2</w:t>
      </w:r>
      <w:r>
        <w:rPr>
          <w:rFonts w:ascii="Arial" w:cs="Arial" w:eastAsia="Arial" w:hAnsi="Arial"/>
          <w:sz w:val="17"/>
          <w:szCs w:val="17"/>
          <w:color w:val="auto"/>
        </w:rPr>
        <w:t xml:space="preserve"> also increases calcium levels in neurons in the brain, which can improve memory. Recent pre-clinical findings provide evidence of the effect of roluperidone on Brain-Derived Neurotrophic Factor (“BDNF”), which has been associated with neurogenesis, neuroplasticity, neuroprotection, synapse regulation, learning and memory.</w:t>
      </w:r>
    </w:p>
    <w:p>
      <w:pPr>
        <w:spacing w:after="0" w:line="18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We believe the scientifically supported and innovative mechanisms of action of roluperidone may potentially address the unmet needs of schizophrenic patients, which include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6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Beyond schizophrenia, we believe roluperidone may possess therapeutic utility in brain disorders where negative symptoms are a significant unmet need and a core feature of the disease associated with a range of poor clinical outcomes. These potential indications include apathy in dementia, for which we have filed an Investigational New Drug (“IND”) application, Alzheimer’s disease, Parkinson’s disease and depression.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Clinical Trial</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December 2017, the first patient was screened in the pivotal Phase 3 clinical trial of roluperidone (Study “MIN-101C07”) as monotherapy for negative symptoms in patients diagnosed with schizophrenia. The trial is a multicenter, randomized, double-blind, parallel-group, placebo-controlled, 12-week study to evaluate the efficacy and safety of 32 milligrams (“mg”) and 64 mg of roluperidone as compared to placebo in adult patients with negative symptoms of schizophrenia. The 12-week study is being followed by a 40-week, open-label extension period during which patients on roluperidone will continue receiving their original dose and patients on placebo will receive either 32 mg or 64 mg doses of roluperidone.</w:t>
      </w:r>
    </w:p>
    <w:p>
      <w:pPr>
        <w:spacing w:after="0" w:line="17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have completed enrollment and a total of 515 patients were randomized in this trial at clinical sites in the U.S. and Europe. We anticipate top-line results from the 12-week, double-blind portion of the study to be available in the second quarter of 2020.</w:t>
      </w:r>
    </w:p>
    <w:p>
      <w:pPr>
        <w:spacing w:after="0" w:line="170"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The primary endpoint of this trial is improvement in negative symptoms in patients treated with roluperidone compared to placebo as measured by the change in the Positive and Negative Syndrome Scale, or PANSS, Marder negative symptoms factor score (“NSFS”) over the 12-week double-blind treatment period. The key secondary endpoint is the effect of roluperidone compared to placebo as measured by the Personal and Social Performance, or PSP, total score over the same period. Additional secondary endpoints include the effect of roluperidone compared to placebo on the Clinical Global Impression of Severity (“CGI-S”) score, the PANSS total and subscale scores, the remaining Marder 4 factor scores, and safety and tolerability.</w:t>
      </w:r>
    </w:p>
    <w:p>
      <w:pPr>
        <w:spacing w:after="0" w:line="16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Patients admitted into the trial had a documented diagnosis of schizophrenia for at least one year and been symptomatically stable for at least 6 months with moderate to severe negative symptoms (&gt;20 on the PANSS negative symptom subscale)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Chemistry, Manufacturing and Controls program</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chemistry, manufacturing and controls (“CMC”) scale-up program for roluperidone is ongoing to ensure consistency between the drug batches used during Phase 3 testing and those that will be available for potential marketing and commercialization pending the completion of our Phase 3 trial and subsequent regulatory submission and review of a New Drug Application (“NDA”) for roluperidone. The CMC program requires validation of all aspects of the manufacturing processes required to result in a drug product that consistently meets approved quality standards.</w:t>
      </w:r>
    </w:p>
    <w:p>
      <w:pPr>
        <w:spacing w:after="0" w:line="17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On September 23, 2019, we announced that we have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will manufacture and package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Drug-Drug Interaction Studies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have recently completed certain pharmacology trials that include a Drug-Drug Interaction (“DDI”) study, which comprise a standard part of the NDA. We have studied interactions separately with molecules inhibiting two subtypes of the cytochrome P450 (CYP2D6 and CYP3A4). The data from this study show minimal to no interaction with the CYP3A4 inhibitor, and some interaction (&lt; 1.6 folds increase in exposure) with the CYP2D6 inhibitor.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Dose Escalation Study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being used in the ongoing Phase 3 trial.</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Data from this trial demonstrated the following:</w:t>
      </w:r>
    </w:p>
    <w:p>
      <w:pPr>
        <w:spacing w:after="0" w:line="25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The pharmacokinetics of roluperidone and its metabolites were dose proportional.</w:t>
      </w:r>
    </w:p>
    <w:p>
      <w:pPr>
        <w:spacing w:after="0" w:line="15" w:lineRule="exact"/>
        <w:rPr>
          <w:rFonts w:ascii="Arial" w:cs="Arial" w:eastAsia="Arial" w:hAnsi="Arial"/>
          <w:sz w:val="20"/>
          <w:szCs w:val="20"/>
          <w:color w:val="auto"/>
        </w:rPr>
      </w:pPr>
    </w:p>
    <w:p>
      <w:pPr>
        <w:ind w:left="1000" w:hanging="493"/>
        <w:spacing w:after="0" w:line="235" w:lineRule="auto"/>
        <w:tabs>
          <w:tab w:leader="none" w:pos="1000" w:val="left"/>
        </w:tabs>
        <w:numPr>
          <w:ilvl w:val="0"/>
          <w:numId w:val="5"/>
        </w:numPr>
        <w:rPr>
          <w:rFonts w:ascii="Arial" w:cs="Arial" w:eastAsia="Arial" w:hAnsi="Arial"/>
          <w:sz w:val="19"/>
          <w:szCs w:val="19"/>
          <w:color w:val="auto"/>
        </w:rPr>
      </w:pPr>
      <w:r>
        <w:rPr>
          <w:rFonts w:ascii="Arial" w:cs="Arial" w:eastAsia="Arial" w:hAnsi="Arial"/>
          <w:sz w:val="17"/>
          <w:szCs w:val="17"/>
          <w:color w:val="auto"/>
        </w:rPr>
        <w:t>No QTcF duration &gt; 480 milliseconds (“msec”) or increases &gt; 60 msec compared to baseline values were observed in any subject.</w:t>
      </w:r>
    </w:p>
    <w:p>
      <w:pPr>
        <w:spacing w:after="0" w:line="15" w:lineRule="exact"/>
        <w:rPr>
          <w:rFonts w:ascii="Arial" w:cs="Arial" w:eastAsia="Arial" w:hAnsi="Arial"/>
          <w:sz w:val="19"/>
          <w:szCs w:val="19"/>
          <w:color w:val="auto"/>
        </w:rPr>
      </w:pPr>
    </w:p>
    <w:p>
      <w:pPr>
        <w:ind w:left="1000" w:right="80" w:hanging="493"/>
        <w:spacing w:after="0" w:line="236"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160 mg was the only roluperidone dose to show an adjusted QTcF mean increase from baseline of 10.7 msec. All other doses showed means below 10 msec that ranged from -1.3 to 5 msec.</w:t>
      </w:r>
    </w:p>
    <w:p>
      <w:pPr>
        <w:ind w:left="1000" w:hanging="493"/>
        <w:spacing w:after="0" w:line="225"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No significant change in repolarization was observed.</w:t>
      </w:r>
    </w:p>
    <w:p>
      <w:pPr>
        <w:spacing w:after="0" w:line="15" w:lineRule="exact"/>
        <w:rPr>
          <w:rFonts w:ascii="Arial" w:cs="Arial" w:eastAsia="Arial" w:hAnsi="Arial"/>
          <w:sz w:val="20"/>
          <w:szCs w:val="20"/>
          <w:color w:val="auto"/>
        </w:rPr>
      </w:pPr>
    </w:p>
    <w:p>
      <w:pPr>
        <w:ind w:left="1000" w:right="580" w:hanging="493"/>
        <w:spacing w:after="0" w:line="236"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Two subjects (11%) in the placebo group and nine subjects (13%) in the roluperidone group reported adverse events that were mild to moderate in severity and resolved without sequelae.</w:t>
      </w:r>
    </w:p>
    <w:p>
      <w:pPr>
        <w:ind w:left="1000" w:right="700" w:hanging="493"/>
        <w:spacing w:after="0" w:line="237"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Doses up to 160 mg or 2.5 multiples of the highest dose being tested in the ongoing Phase 3 trial had no effect on any cardiac safety parameters.</w:t>
      </w:r>
    </w:p>
    <w:p>
      <w:pPr>
        <w:ind w:left="1000" w:hanging="493"/>
        <w:spacing w:after="0" w:line="225"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Slight but not clinically relevant increases in heart rate were observed in the placebo group and some of the roluperidone doses.</w:t>
      </w:r>
    </w:p>
    <w:p>
      <w:pPr>
        <w:spacing w:after="0" w:line="15" w:lineRule="exact"/>
        <w:rPr>
          <w:rFonts w:ascii="Arial" w:cs="Arial" w:eastAsia="Arial" w:hAnsi="Arial"/>
          <w:sz w:val="20"/>
          <w:szCs w:val="20"/>
          <w:color w:val="auto"/>
        </w:rPr>
      </w:pPr>
    </w:p>
    <w:p>
      <w:pPr>
        <w:ind w:left="1000" w:hanging="493"/>
        <w:spacing w:after="0" w:line="223" w:lineRule="auto"/>
        <w:tabs>
          <w:tab w:leader="none" w:pos="1000" w:val="left"/>
        </w:tabs>
        <w:numPr>
          <w:ilvl w:val="0"/>
          <w:numId w:val="5"/>
        </w:numPr>
        <w:rPr>
          <w:rFonts w:ascii="Arial" w:cs="Arial" w:eastAsia="Arial" w:hAnsi="Arial"/>
          <w:sz w:val="20"/>
          <w:szCs w:val="20"/>
          <w:color w:val="auto"/>
        </w:rPr>
      </w:pPr>
      <w:r>
        <w:rPr>
          <w:rFonts w:ascii="Arial" w:cs="Arial" w:eastAsia="Arial" w:hAnsi="Arial"/>
          <w:sz w:val="18"/>
          <w:szCs w:val="18"/>
          <w:color w:val="auto"/>
        </w:rPr>
        <w:t>No serious adverse events were reported.</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 w:name="page7"/>
    <w:bookmarkEnd w:id="6"/>
    <w:p>
      <w:pPr>
        <w:ind w:right="160"/>
        <w:spacing w:after="0" w:line="257" w:lineRule="auto"/>
        <w:rPr>
          <w:sz w:val="20"/>
          <w:szCs w:val="20"/>
          <w:color w:val="auto"/>
        </w:rPr>
      </w:pPr>
      <w:r>
        <w:rPr>
          <w:rFonts w:ascii="Arial" w:cs="Arial" w:eastAsia="Arial" w:hAnsi="Arial"/>
          <w:sz w:val="18"/>
          <w:szCs w:val="18"/>
          <w:color w:val="auto"/>
        </w:rPr>
        <w:t>We believe these findings suggest an expanded therapeutic window and a significantly improved safety margin for roluperidone. They provide further evidence that the formulation being used in the Phase 3 trial has a significantly reduced maximum concentration (“Cmax”) of the BFB-520 metabolite when compared to the formulation used in the Phase 2b trial, thereby reducing the potential for transient QTc increases at the doses currently tested in the Phase 3 trial. Furthermore, we believe these data suggest the potential for future testing of roluperidone in schizophrenic patients with an exacerbation of psychosis at higher doses than those being used in the Phase 3 trial.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Brain-Derived Neurotrophic Factor (“BDNF”) Findings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completed non-clinical studies that provides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sigma2, serotoninergic 5-HT2A, and possibly α1-adrenergic neurotransmitter pathways.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18, 2019, we announced that our Phase 2b trial of MIN-117 in adult patients suffering from moderate to severe major depressive disorder (“MDD”) and presenting with symptoms of anxious distress failed to meet its primary and key secondary endpoints. Neither the 5.0 mg nor the 2.5 mg dose of MIN-117 tested in this trial showed a statistically significant separation from placebo on the reduction in the symptoms of MDD over the 6-week treatment period as measured by the change in the Montgomery–Åsberg Depression Rating Scale (“MADRS”). In addition, neither dose showed a statistically significant separation from placebo on the key secondary endpoint, reduction of symptoms of anxiety as measured by Hamilton Anxiety Rating Scale (“HAM-A”) over the 6-week treatment period. Patients treated with the 2.5 mg dose experienced an improvement of 1.6 points compared to placebo at Week 2 (p≤ 0.029). No other statistically significant separation from placebo on HAM-A was observed.</w:t>
      </w:r>
    </w:p>
    <w:p>
      <w:pPr>
        <w:spacing w:after="0" w:line="17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MIN-117 was generally well tolerated, and the incidence of patients who reported treatment emergent adverse events over the duration of 6 weeks of treatment and 2 weeks of follow-up were 37% for the 2.5 mg, 39% for the 5 mg, and 38% for placebo. Only headaches were reported at ≥5% in this study at 12% for both the 2.5 and 5 mg, and 7% for placebo. There were no deaths, and only 5 patients in total discontinued from the study due to TEAE (2 for 2.5 mg, 1 for 5 mg, and 2 for placebo).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these findings, we have no plans for the further clinical development of MIN-117 in MDD.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(MIN-202)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Seltorexant is an innovative selective orexin 2 receptor antagonist we are co-developing with Janssen for the treatment of insomnia and aMDD.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brain, the orexin system is involved in the control of several key functions, including metabolism and wakefulness. Seltorexant seeks to inhibit the activity of the neurons that promote wakefulness by selectively blocking the orexin 2 receptor. Rather than making an individual sleepier as is the case with many commercially available therapies that mediate their effect via the Gamma-Aminobutyric Acid (“GABA”) neurotransmitter pathway, blocking the orexin 2 receptor reduces the level of the neurotransmitters that signal the brain to maintain vigilance and wakefulness, which can be helpful for patients with insomnia.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We are co-developing seltorexant with Janssen and own the exclusive rights to develop and commercialize the compound in the Minerva Territory subject to royalty payments to Janssen and we have the right to receive royalties on any sales outside the Minerva Territory.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Two Phase 2b Trials in MDD</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13, 2019, we announced positive top-line results from a Phase 2b trial of seltorexant (the “MDD2001 Trial”) as adjunctive therapy to antidepressants in adult patients with MDD who have responded inadequately to antidepressant therapy, including selective serotonin reuptake inhibitors (“SSRIs”) and/or serotonin-norepinephrine reuptake inhibitors (“SNRIs”). In this dose finding study, the 20 mg dose of seltorexant showed a statistically significant improvement in the MADRS score compared to placebo. The least squares mean (LS mean) difference from placebo of the change in MADRS total score at the end of week 6 was 3.1 for the 20 mg dose of seltorexant, and the 2-sided p-value was 0.083, which is below the pre-specified 2-sided type I error level of 0.1.</w:t>
      </w:r>
    </w:p>
    <w:p>
      <w:pPr>
        <w:spacing w:after="0" w:line="1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After three weeks of treatment, seltorexant at the 20 mg dose also showed a statistically significant improvement over placebo, highlighting its short onset of action time. In addition, a key secondary outcome measure, which was based on patient stratification according to baseline Insomnia Severity Index (“ISI”), showed an even greater difference from placebo for the seltorexant 20 mg arm in patients with clinically significant insomnia (ISI ≥ 15) with LS mean difference versus placebo of 4.9 on the MADRS total score and a 2-sided p-value of 0.050 compared to the overall patient population in this trial.</w:t>
      </w:r>
    </w:p>
    <w:p>
      <w:pPr>
        <w:spacing w:after="0" w:line="15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40 mg dose, to which further enrollment was stopped following the interim analysis, showed an improvement in the MADRS total score versus placebo at the end of week 6 but did not reach statistical significance. Results for the 10 mg dose were not interpretable due to the small sample size of patients receiving this dose.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Seltorexant was well tolerated, and observed adverse events were comparable to those seen in previous studies and similar to or lower than those observed in the placebo group.</w:t>
      </w:r>
    </w:p>
    <w:p>
      <w:pPr>
        <w:spacing w:after="0" w:line="17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will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October 1, 2019, we announced top-line results from a Phase 2b clinical trial in which flexibly dosed seltorexant (20 mg or 40 mg) was compared to flexibly dosed quetiapine XR (150 mg or 300 mg) for adjunctive treatment of patients with MDD (the “MDD2002 Trial”).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Europe.</w:t>
      </w:r>
    </w:p>
    <w:p>
      <w:pPr>
        <w:spacing w:after="0" w:line="178"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Seltorexant showed a quantitative advantage in the number of discontinuations due to all causes, with 41% discontinuation in the seltorexant arm versus 47% in the quetiapine XR arm. As expected, there was not a statistical separation between the two treatment arms.</w:t>
      </w:r>
    </w:p>
    <w:p>
      <w:pPr>
        <w:spacing w:after="0" w:line="146"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Mood improvement as measured by MADRS total score showed patients treated with seltorexant 20 mg dose experienced a greater improvement at week 24 (-22.7 points), compared to those treated with seltorexant 40 mg dose (-7.9 points), quetiapine 150 mg dose (-17.0 points) and quetiapine 300 mg dose (-14.8 points). As was shown in previous trials of seltorexant in MDD, a greater improvement in MADRS total score was observed in patients with sleep disturbance (ISI ≥15) who received the 20 mg seltorexant dose. In these patients with insomnia, the improvements observed were -26.5 for the 20 mg seltorexant dose, -7.0 for the 40 mg seltorexant dose, -18.2 for the 150 mg quetiapine dose and -13.8 for the 300 mg quetiapine dose.</w:t>
      </w:r>
    </w:p>
    <w:p>
      <w:pPr>
        <w:spacing w:after="0" w:line="16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overall safety profile of the seltorexant groups was favorable compared to quetiapine, consistent with prior seltorexant studies, and extended to longer-term exposure over 6 months. Patients receiving seltorexant also experienced fewer potentially treatment-related discontinuations than did patients receiving quetiapine (29.4% vs 47.1%).</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 w:name="page9"/>
    <w:bookmarkEnd w:id="8"/>
    <w:p>
      <w:pPr>
        <w:ind w:right="100"/>
        <w:spacing w:after="0" w:line="308" w:lineRule="auto"/>
        <w:rPr>
          <w:sz w:val="20"/>
          <w:szCs w:val="20"/>
          <w:color w:val="auto"/>
        </w:rPr>
      </w:pPr>
      <w:r>
        <w:rPr>
          <w:rFonts w:ascii="Arial" w:cs="Arial" w:eastAsia="Arial" w:hAnsi="Arial"/>
          <w:sz w:val="17"/>
          <w:szCs w:val="17"/>
          <w:color w:val="auto"/>
        </w:rPr>
        <w:t>The results of this study, taken with the results of the two previous studies (MDD2001 in MDD patients and ISM2005 in patients with insomnia), will help to define a Phase 3 clinical development program for seltorexant that potentially will encompass both MDD and insomnia.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1b trial in MDD</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We have recently analyzed data from an exploratory, biomarker, multicenter, placebo-controlled, randomized, double-blind Phase 1b trial of seltorexant (the “MDD1009 Trial”), administered at doses of 20 and 40 mg, as monotherapy in 128 subjects with moderate to severe MDD. The primary objective of this study was to analyze the treatment effect of seltorexant versus placebo on symptoms of depression as measured by the Hamilton Rating Scale for Depression (HDRS). The presence of subjective sleep disturbance (subjective sleep assessment, ISI, and Ruminative Response Scale (“RRS”)) as a possible indicator of hyper-arousal was used as a stratification factor in patient randomization.</w:t>
      </w:r>
    </w:p>
    <w:p>
      <w:pPr>
        <w:spacing w:after="0" w:line="1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Results of the primary endpoint analysis showed a significant positive treatment effect at week 5 for seltorexant versus placebo. The efficacy signal for the 20 mg dose was statistically significant and more pronounced in the MDD population with sleep disorder, measured as having an ISI &gt; 15 and subjective sleep onset latency &gt;30 min during at least 3 nights over 7 recorded days, and in MDD patients with higher rumination, measured as a having RRS ≥ 50.</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seltorexant 40 mg dose did not show a statistically significant effect at week 5, although the efficacy signal was also more pronounced in the subgroups (MDD patients with presence of subjective sleep disorder, measured as having an ISI &gt;15 or RRS ≥ 50). We believe these data further characterize the mechanism of seltorexant as an antagonist of the orexin system, which is involved in the control of several key functions in the brain, including mood, metabolism and wakefulness.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2b Trial in Insomnia Disorder</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June 24, 2019, we announced positive top-line results from a Phase 2b clinical trial of seltorexant in patients with insomnia disorder (the “ISM2005 Trial”) that demonstrated highly statistically significant (p ≤ 0.001) and clinically meaningful improvement on Latency to Persistent Sleep (“LPS”) at Night 1, the primary endpoint of the study. The mean decrease from baseline at Night 1 in LPS was 15 minutes for placebo, 30 minutes for seltorexant 5 mg, 50 minutes for seltorexant 10 mg, and 48 minutes for seltorexant 20 mg.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key secondary endpoint, defined as Wake After Sleep Onset over the first 6 hours (“WASO-6”) at Night 1, showed improvement with a p-value ≤</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0.005 after treatment with 10 and 20 mg doses of seltorexant. The mean improvement from baseline at Night 1 was 15 minutes for placebo, 23 minutes for seltorexant 5 mg, 43 minutes for 10 mg, and 45 minutes for 20 mg of seltorexant. Furthermore, multiple secondary endpoints were also improved versus placebo and standard of care zolpidem, which is available under the brand name Ambien.</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believe these findings demonstrate that seltorexant significantly improves sleep induction and maintenance, while also showing a significantly greater improvement in these sleep parameters compared to zolpidem. In addition, the beneficial effects on LPS and WASO of seltorexant in elderly patients in the study, in conjunction with a favorable tolerability profile, suggest its potential benefit in the large and growing population of elderly patients whose prevalence of insomnia is higher than in younger patients, thus representing an important therapeutic option.</w:t>
      </w:r>
    </w:p>
    <w:p>
      <w:pPr>
        <w:spacing w:after="0" w:line="171"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Based on the results from the ISM2005 Trial, observations of seltorexant include a clinically meaningful effect on insomnia in a wide age range of patients. We believe this demonstration of a significant benefit across a broad spectrum of patients who suffer with insomnia who have not responded adequately to existing therapies reflects a differentiated clinical profile and suggests a new potential way to address these unmet medical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development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After reviewing the data from the Phase 2b trials already conducted, we are not in agreement with Janssen that Decision Point 4 under the Agreement has been reached. Under the Agreement, our cost-sharing obligations do not begin until Decision Point 4 has been reached. Following occurrence of Decision Point 4, Janssen is responsible for 60% of the cost of Phase 3 development in all indications except insomnia and Minerva is responsible for 40%. We have the right to opt-out of the Agreement at any time after Decision Point 4, and if we opt-out, we collect a royalty on worldwide sales of seltorexant in the mid-single digits with no further obligations to Janssen. In January 2020, Janssen invoiced us for $3.4 million, representing our 40% portion of the Phase 3 development costs through December 31, 2019. Janssen estimates it will spend approximately $100 million in Phase 3 development costs in 2020. We have been conducting discussions with Janssen regarding this disagreement and have not accrued any Phase 3 development costs incurred by Janssen.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right="140"/>
        <w:spacing w:after="0" w:line="259" w:lineRule="auto"/>
        <w:rPr>
          <w:sz w:val="20"/>
          <w:szCs w:val="20"/>
          <w:color w:val="auto"/>
        </w:rPr>
      </w:pPr>
      <w:r>
        <w:rPr>
          <w:rFonts w:ascii="Arial" w:cs="Arial" w:eastAsia="Arial" w:hAnsi="Arial"/>
          <w:sz w:val="18"/>
          <w:szCs w:val="18"/>
          <w:color w:val="auto"/>
        </w:rPr>
        <w:t>Janssen has proposed a Phase 3 development program with a target indication of “adjunctive treatment of MDD (aMDD) in patients with insomnia symptoms” and clinical trials to support that target indication. We and Janssen are consulting with FDA and EMA/CHMP about this target indication and these trials. We believe that under the terms of the Agreement we have the right to strategic control of the proposed development program, and this matter is part of the ongoing discussions that we are conducting with Janssen.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June 2017, we entered into an amendment (the “Amendment”) to the co-development and license agreement with Janssen dated February 13, 2014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We retain all of our rights to seltorexant, including commercialization of the molecule for the treatment of insomnia and aMDD, which include an exclusive license in the Minerva Territory, with royalties payable by us to Janssen on seltorexant sales outside of the insomnia indication. Royalties on sales outside of the Minerva Territory are payable by Janssen to us. Janssen made an upfront payment to us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us until completion of the Phase 2b development milestone, which is referred to as “Decision Point 4.”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our balance sheet at December 31, 2019 and 2018. If we opt out of the program, then any remaining deferred revenue would be recognized at the time of the opt out. In connection with the Amendment, we repurchased all of the approximately 3.9 million shares of our common stock previously owned by Johnson &amp; Johnson Innovation-JJDC Inc. at a per share price of $0.0001, for an aggregate purchase price of approximately $389.</w:t>
      </w:r>
    </w:p>
    <w:p>
      <w:pPr>
        <w:spacing w:after="0" w:line="18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As a result of the Amendment, we assumed strategic control of matters relating to the clinical development of seltorexant for insomnia and have no further financial obligations until after Decision Point 4. After Decision Point 4, both we and Janssen have the right to opt-out of the Agreement.</w:t>
      </w:r>
    </w:p>
    <w:p>
      <w:pPr>
        <w:spacing w:after="0" w:line="146"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opt-out, we collect a royalty on worldwide sales of seltorexant in the single digits with no further obligations to Janssen. If Janssen opts-out, the Minerva Territory would be expanded to include North America and we would pay Janssen royalties on sales of seltorexant outside of the insomnia indication in the single digits.</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both parties elect to continue past Decision Point 4 into Phase 3, we would be obligated to fund the clinical trials related to insomnia, receive up to $40 million in milestone payments from Janssen, and be responsible for 40% of all costs incurred in the Phase 3 aMDD program.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developing MIN-301, a soluble recombinant form of the Neuregulin-1b1, or NRG-1b1, protein, for the treatment of Parkinson’s disease and potentially for other neurodegenerative disorders. We believe MIN-301 has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reverse the damage caused by Parkinson’s disease.</w:t>
      </w:r>
    </w:p>
    <w:p>
      <w:pPr>
        <w:spacing w:after="0" w:line="1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 neurological deficits, we believe MIN-301 has the potential to address these unmet needs of patients and, if approved, may be used as an early-stage monotherapy as well as a complementary therapy to existing treatments.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Pre-clinical Development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studies in preparation for an IND or Investigational Medicinal Product Dossier (“IMPD”) filing, with a Phase 1 study expected to commence thereafter.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License Agreement with MTPC</w:t>
      </w:r>
    </w:p>
    <w:p>
      <w:pPr>
        <w:spacing w:after="0" w:line="22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have entered into a license agreement with MTPC dated as of August 30, 2007, as amended, or the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 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has a term of the later of 12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roluperidone in each country in our territory.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 License Agreement with MTPC</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Sonkei entered into a license agreement with MTPC dated September 1, 2008, as amended, or the MIN-117 License Agreement. Under the terms of the MIN-117 License Agreement, we acquired an exclusive license to the lead compound known as SON-117 (subsequently renamed MIN-117) and other data included within the valid claims of certain patents licensed to us under the MIN-117 License Agreement. Sonkei paid MTPC an initial license fee of $0.5 million. The license is for world-wide rights other than certain countries in Asia, including China, Japan, India and South Korea. We will pay a tiered royalty for net sales of product by it or any of its affiliates or sublicensees containing the licensed compound ranging from the high single digits to the low teens depending on net sales of products under the MIN-117 License Agreement. Through the date of the agreement, as amended, we were required to make payments up to $57.5 million upon the achievement of certain commercial milestones.</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January 2014, we renegotiated the structure of the license for MIN-117 such that we are required to make certain milestone payments upon the achievement of certain commercial milestones up to $47.5 million. In addition, in the event that we sell the rights to the license, MTPC will be entitled to a percentage of milestone payments in the low teens and a percentage of royalties received by us in the low double digits. This license agreement has a term of the later of 10 years from the launch of the product in each country in our territory, or the expiration of our obligation to pay royalties, upon which we will have a fully paid-up, non-exclusive, perpetual, irrevocable license. Our obligation to pay royalties continues, on a country-by-country basis, until the expiration of the last-to-expire patent that covers MIN-117 in each country in our territory. In April 2015, we amended the diligence milestone obligation under the license agreement for MIN-117 to extend the deadline from April 30, 2015 to June 30, 2015 to begin enrollment in a Phase 2a or Phase 2b study with MIN-117 in patients suffering major mood disorders. As consideration for the two-month extension, we paid MTPC, and recorded an expense for, $80,000 in the year ended December 31, 2015. We met the enrollment milestone obligation in June 2015.</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Seltorexant Co-Development and License Agreement with Janssen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13, 2014, we signed a co-development and license agreement (the “Agreement”) with Janssen, which became effective upon completion of our initial public offering and the payment of a $22.0 million license fee. Under the Agreement, Janssen, the licensor, granted us an exclusive license, with the right to sublicense, in the Minerva Territory, under (i) certain patent and patent applications to sell products containing any orexin 2 compound, controlled by the licensor and claimed in a licensor patent right as an active ingredient and (ii) seltorexant for any use in humans. In addition, upon regulatory approval in the Minerva Territory (and earlier if certain default events occur), we will have rights to manufacture seltorexant, also known as JNJ-42847922. We have granted to the licensor an exclusive license, with the right to sublicense, under all patent rights and know-how controlled by us related to seltorexant to sell seltorexant outside the Minerva Territory. In consideration of the licenses granted on July 7, 2014, we made a license fee payment of $22.0 million, which was included as a component of research and development expense in 2014.</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Agreement contains certain provisions, which include our ability to opt-out of the Agreement upon completion of certain milestones. If we elect to participate in the development program through to the potential commercial approval of seltorexant we will pay a quarterly royalty percentage to the licensor in the high single digits on aggregate net sales for seltorexant products sold by us, our affiliates and sublicensees in the Minerva Territory. The licensor will pay a quarterly royalty percentage to us in the high single digits on aggregate net sales for seltorexant products sold by the licensor outside the Minerva Territory.</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account for the Agreement as a joint risk-sharing collaboration in accordance with ASC 808, “Collaborative Arrangements”. Payments between us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July 6, 2016, we and Janssen agreed that “Decision Point 2” had been reached as defined under the Agreement. As neither party exercised their right to withdraw from the Agreement, we paid Janssen $3.5 million and have incurred direct expenses of $0.3 million related to development activities under the current phase of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June 2017, we entered into an amendment (“the Amendment”) to the co-development and license agreement with Janssen dated February 13, 2014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effectiveness of the Amendment was contingent upon approval of its terms by the European Commission and the closing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acquisition of Actelion Ltd. by affiliates of Janssen. These conditions were subsequently met, and the Amendment became effective on August 29, 2017.</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Amendment, Janssen has waived its right to royalties on seltorexant insomnia sales in the Minerva Territory. We retain all of our rights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seltorexant, including commercialization of the molecule for the treatment of insomnia and as an adjunctive therapy for MDD, which include an exclusive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in the Minerva Territory, with royalties payable by us to Janssen on seltorexant sales outside of the insomnia indication. Royalties on sales outside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Minerva Territory are payable by Janssen to us. Janssen made an upfront payment to us of $30 million upon the effectiveness of the Amendment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agreed to make a $20 million payment at the start of a Phase 3 insomnia trial for seltorexant and a $20 million payment when 50% of the patients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enrolled in this trial. Janssen further agreed to waive development payments from us until completion of the Phase 2b development milestone, which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as “Decision Point 4.” The $30 million payment and $11.2 million in previously accrued collaborative expenses, which were forgiven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the Amendment, are earned and recognized as revenue as the services are performed from the commencement of Phase 3 development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completion of the development activities using the proportional performance method. The $30 million payment along with the $11.2 million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previously accrued collaborative expenses have been included under deferred revenue on our balance sheet at December 31, 2019 and 2018. If we opt 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program, then any remaining deferred revenue would be recognized at the time of the opt out. In connection with the Amendment, we repurchased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of the approximately 3.9 million shares of our common stock previously owned by Johnson &amp; Johnson Innovation-JJDC Inc. at a per share price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for an aggregate purchase price of approximately $389. As a result of the Amendment, we did not incur any development expense during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2019 or 2018.</w:t>
      </w:r>
    </w:p>
    <w:p>
      <w:pPr>
        <w:spacing w:after="0" w:line="211"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Also as result of the Amendment, we assumed strategic control of matters relating to the clinical development of seltorexant for insomnia and have no further financial obligations until after Decision Point 4. After Decision Point 4, both we and Janssen have the right to opt-out of the Agreement.</w:t>
      </w:r>
    </w:p>
    <w:p>
      <w:pPr>
        <w:spacing w:after="0" w:line="124"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If we opt-out, we collect a royalty on worldwide sales of seltorexant in the single digits with no further obligations to Janssen. If Janssen opts-out, the Minerva Territory would be expanded to include North America and we would pay Janssen royalties on sales of seltorexant outside of the insomnia indication in the single digits.</w:t>
      </w:r>
    </w:p>
    <w:p>
      <w:pPr>
        <w:spacing w:after="0" w:line="1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both parties elect to continue past Decision Point 4 into Phase 3, we would be obligated to fund the clinical trials related to insomnia, receive up to $40 million in milestone payments from Janssen, and be responsible for 40% of all costs incurred in the Phase 3 MDD program.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Competition in the Pharmaceutical Market for the Treatment of Schizophrenia</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Johnson &amp; Johnson’s Haldol (haloperidol), or second-generation “atypical antipsychotics,” such as Novartis’ Clozaril (clozapine), Johnson &amp; Johnson’s Risperdal (risperidone), AstraZeneca’s Seroquel (quetiapine), Eli Lilly’s Zyprexa (olanzapine) and Bristol-Myers Squibb’s Abilify (aripiprazole).</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Given the focus of currently approved drug therapies for positive symptoms and their side effect profiles, we believe these therapies are unlikely to be directly competitive with roluperidone, which is intended to target primarily negative symptoms and cognitive impairment.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Specific compounds under late-stage development that include negative symptoms as a target include Acadia Pharmaceuticals’ Pimavanserin, a selective serotonin 5HT</w:t>
      </w:r>
      <w:r>
        <w:rPr>
          <w:rFonts w:ascii="Arial" w:cs="Arial" w:eastAsia="Arial" w:hAnsi="Arial"/>
          <w:sz w:val="15"/>
          <w:szCs w:val="15"/>
          <w:color w:val="auto"/>
        </w:rPr>
        <w:t>2a</w:t>
      </w:r>
      <w:r>
        <w:rPr>
          <w:rFonts w:ascii="Arial" w:cs="Arial" w:eastAsia="Arial" w:hAnsi="Arial"/>
          <w:sz w:val="18"/>
          <w:szCs w:val="18"/>
          <w:color w:val="auto"/>
        </w:rPr>
        <w:t xml:space="preserve"> inverse agonist (“SSIA”) that is approved for the treatment of hallucinations and delusions associated with Parkinson’s disease psychosis. In January 2019, Lundbeck indicated they would begin proof of concept studies for Lu AF11167, a PDE-10 inhibitor for the treatment of persistent negative symptoms in schizophrenia. Other products in clinical development whose targets include negative symptoms (although not necessarily defined as a primary outcome of their clinical trials) are Roche’s RO6889450/RG-7906, Takeda’s TAK-831, SyneuRx’s NaBen, and Avanir Pharmaceuticals’ AVP-786.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 Competition in the Pharmaceutical Market for the Treatment of Insomnia</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Most of the pharmaceuticals on the market for insomnia target neurotransmitter pathways involved in depressing the brain activity, such as the histamine and GABA pathways, to induce a decrease in vigilance and attention, leading to sedation and sleep induction. The leading molecule among the current third generation of GABAergic drugs is Sanofi’s zolpidem, often marketed under the name Ambien, and is available in generic form. However, zolpidem requires careful utilization to avoid tolerance and drug abuse and extensive sleep studies have demonstrated that zolpidem does not restore physiological sleep and does not allow restorative sleep, which prevents good daytime performance.</w:t>
      </w:r>
    </w:p>
    <w:p>
      <w:pPr>
        <w:spacing w:after="0" w:line="17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Unlike existing therapies, seltorexant, if approved, is expected to inhibit wakefulness-promoting neurotransmitters, rather than activating sleep-promoting neurotransmitters. In August 2014, Merck &amp; Co.’s dual orexin receptor antagonist, suvorexant, was approved by the FDA and is currently marketed under the name Belsomra®. In December 2019, Eisai announced U.S. FDA approval of DAYVIGO™ (lemborexant), a dual orexin receptor antagonist for the treatment of insomnia in adult patients. If approved, we believe seltorexant, which is a single orexin receptor antagonist that targets orexin 2 pathways only and has a different pharmacokinetic profile from Belsomra and Dayvigo, may have equal or superior efficacy, less residual sedation and impaired daytime functioning, and superior preservation of appropriate levels of rapid eye movement sleep as compared to Belsomra.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 Competition in the Pharmaceutical Market for the Treatment of Parkinson’s Disease</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ind w:right="40"/>
        <w:spacing w:after="0" w:line="296" w:lineRule="auto"/>
        <w:rPr>
          <w:sz w:val="20"/>
          <w:szCs w:val="20"/>
          <w:color w:val="auto"/>
        </w:rPr>
      </w:pPr>
      <w:r>
        <w:rPr>
          <w:rFonts w:ascii="Arial" w:cs="Arial" w:eastAsia="Arial" w:hAnsi="Arial"/>
          <w:sz w:val="16"/>
          <w:szCs w:val="16"/>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Parkinson’s disease are still in the pre-clinical stage.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portfolios for our product candidates, which we own or are exclusively licensed to us,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our agreement with MTPC, we have an exclusive license to U.S. Patent No. 7,166,617, which claims the roluperidone compound, as well as to corresponding patents in the following countries: Australia, Canada, Europe (Albania, Austria, Belgium, Republic of Cyprus, Denmark, Finland, France, Germany, Greece, Ireland, Italy, Latvia, Liechtenstein, Lithuania, Luxembourg, Macedonia, Monaco, Netherlands, Portugal, Romania, Slovenia, Spain, Sweden, Switzerland, Turkey, and United Kingdom), Israel, New Zealand, and Russia. The U.S. patent is scheduled to expire no earlier than May 17, 2021, and a patent term extension of up to 5 years may be available. The foreign patents are scheduled to expire no earlier than February 26, 2021.</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U.S. Patent No. 7,166,617, Minerva also owns numerous other granted patents and patent applications worldwide that provide strong protection for roluperidone. These include patents and applications directed to pharmaceutical compositions comprising roluperidone and methods of using roluperidone.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Compositions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own three granted U.S. patents, U.S. Patent Nos. 9,458,130, 9,730,920 and 10,258,614, and pending applications in the U.S., Australia, Brazil, Canada, Chile, Colombia, Eurasia, Europe, Israel, Mexico, New Zealand, Peru,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These patents are listable in the FDA's Orange Book and would, we believe, bar generic competition during their terms. In addition to the patent terms referenced above, a patent term extension of up to 5 years may also be available.</w:t>
      </w:r>
    </w:p>
    <w:p>
      <w:pPr>
        <w:spacing w:after="0" w:line="192"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also own pending applications in the U.S., Australia, Brazil, Canada, Chile, Colombia, Eurasia, Europe, Israel, Mexico, New Zealand, Peru, Ukraine, and South Africa that cover gastro-resistant, controlled release dosage formulations of roluperidone. The terms of any future granted patents in this patent family would expire no earlier than June 21, 2038.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own U.S. Patent No. 9,732,059, two granted patents in Russia, and a single patent in Europe (Austria, Belgium, Denmark, Finland, France, Germany, Greece, Ireland, Italy, Luxembourg, Netherlands, Norway, Poland, Portugal, Spain, Sweden, Switzerland, Turkey, and United Kingdom), as well as pending applications in United States, Brazil, Canada, 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This patent is listable in the FDA's Orange Book and would, we believe, bar generic competition during their terms. A patent term extension of up to 5 years may also be available. The foreign patents, as well as any future U.S. or foreign patents granting in these families, are scheduled to expire no earlier than July 20, 2031.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340"/>
        <w:spacing w:after="0" w:line="277" w:lineRule="auto"/>
        <w:rPr>
          <w:sz w:val="20"/>
          <w:szCs w:val="20"/>
          <w:color w:val="auto"/>
        </w:rPr>
      </w:pPr>
      <w:r>
        <w:rPr>
          <w:rFonts w:ascii="Arial" w:cs="Arial" w:eastAsia="Arial" w:hAnsi="Arial"/>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we own U.S. and PCT applications directed to the use of roluperidone to treat negative symptoms, various disorders (including autism disorders, amblyopia, personality disorders, traumatic brain injury), as well as increasing neuroplasticity and promoting neuroprotection in subjects in need thereof. Any patents granting from the U.S. application, or any national phase applications that may be filed based upon the PCT application, would expire no earlier than August 21, 2039.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MIN-117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Under our agreement with MTPC, we have an exclusive license to U.S. Patent No. 6,720,320, which claims the MIN-117 compound, as well as to corresponding patents in Canada and Europe (Germany, France, Italy, Netherlands, Spain and United Kingdom). The U.S. patent expires no earlier than August 13, 2020, and a patent term extension of up to 5 years may be available. The foreign patents are scheduled to expire no earlier than May 22,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Compositions and Methods of Use</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own granted patents in Australia and Chile, as well as several pending applications in the United States, Europe, Australia, Brazil, Canada, Colombia, Israel, Mexico, New Zealand, Peru, Russia, and South Africa that cover compositions comprising a low dose of MIN-117 and their use for treating depression, sleep disorders, and improving cognitive impairment in patients with depression. Patents that grant from these applications will expire no earlier than January 24, 2034. A patent term extension of up to five years may be available in the United States.</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also own U.S. and EP patent applications directed to the use of MIN-117 to treat anxiety disorders. Any patents granting from these applications would expire no earlier than May 23, 2037.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Patent Application Related to Pain</w:t>
      </w:r>
    </w:p>
    <w:p>
      <w:pPr>
        <w:spacing w:after="0" w:line="225" w:lineRule="exact"/>
        <w:rPr>
          <w:sz w:val="20"/>
          <w:szCs w:val="20"/>
          <w:color w:val="auto"/>
        </w:rPr>
      </w:pPr>
    </w:p>
    <w:p>
      <w:pPr>
        <w:jc w:val="both"/>
        <w:ind w:right="440"/>
        <w:spacing w:after="0" w:line="279" w:lineRule="auto"/>
        <w:rPr>
          <w:sz w:val="20"/>
          <w:szCs w:val="20"/>
          <w:color w:val="auto"/>
        </w:rPr>
      </w:pPr>
      <w:r>
        <w:rPr>
          <w:rFonts w:ascii="Arial" w:cs="Arial" w:eastAsia="Arial" w:hAnsi="Arial"/>
          <w:sz w:val="17"/>
          <w:szCs w:val="17"/>
          <w:color w:val="auto"/>
        </w:rPr>
        <w:t>We also own U.S. patent application and PCT application directed to the use of MIN-117 to treat pain. Pre-clinical rat models submitted in the patent application included peripheral motoneuropathy, inflammatory pain and chemotherapy-induced peripheral neuropathic pain. Findings in these models showed that MIN-117 restored approximately 60 percent of the nociceptive pain threshold after peripheral motoneuropathy or inflammatory pain and significantly reduced, in a dose-dependent manner, chemotherapy-induced peripheral neuropathic pain.</w:t>
      </w:r>
    </w:p>
    <w:p>
      <w:pPr>
        <w:spacing w:after="0" w:line="171"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These results suggest that MIN-117 may be a candidate for study in the treatment of diseases with chronic pain symptoms and may have the potential to address the urgent need for non-opioid therapeutic options for the treatment of pain. Furthermore, the currently available treatments for chronic pain are often not satisfactory and may be associated with adverse reactions, tolerance, dependence and reductions in the quality of life for patients. Any patents granting from the U.S. application, or any national phase applications that may be filed based upon the PCT application, would expire no earlier than September 4, 2039.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our agreement with Janssen, we are an exclusive licensee of European Patent EP2491038, which claims the seltorexant compound and was validated in 39 European countries. These patents will expire no earlier than October 21, 2030.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We also have rights to a PCT application filed in 2017, which is directed to the use of seltorexant to treat depression. National phase applications based upon this PCT application were filed in 2018, and the terms of any patents issuing from these applications will expire no earlier than March 9, 2037.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own a patent family that is directed to the use of MIN-301 for treating neurologic and psychiatric diseases, including Parkinson’s disease. This patent family includes patents granted in the U.S., Australia, Canada, Europe (Austria, Belgium, Denmark, France, Germany, Greece, Ireland, Italy, Netherlands, Norway, Portugal, Spain, Sweden, Switzerland, Turkey and United Kingdom), Japan, Mexico and Russia. Applications are also pending in the United States and Brazil. Any existing and future granted patents in this family will expire no earlier than November 17, 2028. A patent term extension of up to five years may be available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patent protection, our product candidates may also be eligible for data and marketing exclusivity protection in the U.S., EU and certain other countries. If this protection is available, no competitor may use the data in our marketing application to obtain marketing approval of a generic product during the exclusivity period.</w:t>
      </w:r>
    </w:p>
    <w:p>
      <w:pPr>
        <w:spacing w:after="0" w:line="184"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For small molecules, such as roluperidone, seltorexant and MIN-117, the data and marketing exclusivity period is generally five years in the U.S. and ten years in the EU, measured from the FDA and EU approval dates, respectively. If MIN-301 is approved as a biologic product, it may be eligible for a data and marketing exclusivity period of twelve years in the U.S. and ten years in the EU. The data and marketing exclusivity periods in the U.S. may be extended by 6 months of pediatric exclusivity if a qualifying pediatric study is performed or in the EU by 12 months if approval for a new indication is obtained during the initial 8 year data exclusivity period and there are no existing therapies for that indication, or there are existing therapies for that indication, but there is a significant clinical benefit to using the drug for which the extra market protection is sought.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began to expand our internal capabilities related to commercial planning, strategic product development and product marketing in late 2017. Except for most of Asia, we have global commercialization rights for two of our product candidates, roluperidone and MIN-117, and European Union commercialization rights for seltorexant. We have worldwide rights for MIN-301. We believe that it will be possible for us to access European and, in the case of roluperidone, MIN-117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marketing approval.</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and Marketing Authorization in the European Union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Europe, a clinical trial application, or CTA, must currently be submitted to the competent national regulatory authority and to independent ethics committees in each country in which we intend to conduct clinical trials. Once the CTA is approved in accordance with that country’s requirements, clinical trial development may proceed in that country. Under the new Regulation on Clinical Trials, which is expected to take effect in 2020,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In all cases, the clinical trials must be conducted in accordance with good clinical practices and other applicable regulatory requirements and medicines used in clinical trials must be manufactured in accordance with good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manufacturing practices. A clinical trial may only be undertaken subject to certain conditions. The relevant ethics committee must give its opinion, before a clinical trial commences, on any issue requested. Clinical trials information must be entered into a European database. There are strict requirements in relation to the labeling and packaging of our product candidates, the verification of compliance with the provisions on good clinical and manufacturing practice and the notification of adverse events and serious adverse reactions.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Under European Union regulatory systems, a company may not market a medicinal product without marketing authorization.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are four procedures for submitting a Marketing Authorization Application, or MAA, in the EU: (i) the national procedure, (ii) the mutual recognition procedure, or MRP; (iii) the decentralized, or DCP and (iv) the centralized procedure, or CP. The submission strategy for a given product will depend on the nature of the product, the target indication(s), the history of the product, and the marketing plan. The centralized procedure is compulsory for certain medicinal products which are produced by biotechnology processes, advanced therapy medicinal products and for those which are designated as orphan medicinal products. Besides the products falling under the mandatory scope, the centralized procedure is also optional for medicinal products that constitute a significant therapeutic, scientific or technical innovation i.e. new active substances or other medicinal products that constitute a significant therapeutic, scientific or technical innovation that contain an active substance not authorized in the European Union before May 20, 2004 or for which a centralized procedure would be in the interest of patients.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centralized procedure leads to approval of the product in all 27 EU member states and in Norway, Iceland and Liechtenstein, collectively referred to herein as the EEA. Submission of one MAA thus leads to one assessment process and one authorization that allows access to the market of the entire EEA. The process of the centralized procedure is triggered when the applicant submits an MAA to the EMA. The letter of intent also initiates the assignment of the Rapporteur and Co-Rapporteur, who are the two appointed members of the Committee for Human Medicinal Products, or CHMP, representing two EU member states. Under the centralized procedure, the maximum timeframe for the evaluation of an MAA by the EMA is 210 days. This excludes so-called clock stops, during which additional written or oral information is to be provided by the applicant in response to questions asked by the Committee for Human Medicinal Products, or CHMP. At the end of the review period, the CHMP provides an opinion to the European Commission. If this is opinion favorable, the Commission may then adopt a decision to grant a marketing authorization. In exceptional cases, the CHMP might perform an accelerated review of an MAA in no more than 150 days. This is usually when the product is of major interest from the point of view of public health and, in particular, from the viewpoint of therapeutic innovation.</w:t>
      </w:r>
    </w:p>
    <w:p>
      <w:pPr>
        <w:spacing w:after="0" w:line="18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When using the MRP or DCP, the applicant must select which and how many EU member states in which to seek approval. In the case of an MRP, the applicant must initially receive national approval in one EU member state. This will be the so-called reference member state, or RMS, for the MRP. Then, the applicant seeks approval for the product in other EU member states, the so-called concerned member states, or CMS, in a second step: the mutual recognition process. For the DCP, the applicant will approach all chosen member states at the same time. To do so, the applicant will identify the RMS that will assess the submitted MAA and provide the other selected member states with the conclusions and results of the assessment.</w:t>
      </w:r>
    </w:p>
    <w:p>
      <w:pPr>
        <w:spacing w:after="0" w:line="16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European Union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innovator company enjoys a period of “data exclusivity” during which their pre-clinical and clinical trials data may not be referenced in the regulatory filings of another company (typically a generic company) for the same drug substance.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Data exclusivity in Europe is 8 years from the date of first authorization in Europe with an additional period of 2 years of “market exclusivity.” This is the period of time during which a generic company may not market an equivalent generic version of the originator’s pharmaceutical product. An additional 1 year may be obtained where the innovator company is granted a marketing authorization within the above 8-year period for a significant new indication for the relevant medicinal product.</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Pediatric Regulation provides that an application for a new marketing authorization must include the results of all trials performed and details of all information collected in compliance with an agreed pediatric investigation plan, or PIP, unless a deferral or waiver applies on the basis that pediatric use is not relevant - also the requirement can be deferred by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00"/>
        <w:spacing w:after="0" w:line="275" w:lineRule="auto"/>
        <w:rPr>
          <w:sz w:val="20"/>
          <w:szCs w:val="20"/>
          <w:color w:val="auto"/>
        </w:rPr>
      </w:pPr>
      <w:r>
        <w:rPr>
          <w:rFonts w:ascii="Arial" w:cs="Arial" w:eastAsia="Arial" w:hAnsi="Arial"/>
          <w:sz w:val="17"/>
          <w:szCs w:val="17"/>
          <w:color w:val="auto"/>
        </w:rPr>
        <w:t>When the application for marketing authorization is made, the competent authority responsible for granting a marketing authorization must verify whether the application complies with the relevant requirements, including compliance with the agreed PIP. Assuming it does, the marketing authorization may be granted and the relevant results are included in the summary of product characteristics, or SmPC, for the product, along with a statement indicating compliance with the agreed PIP. The applicant then receives the six month extension to the SPC. It is not necessary for the product actually to be indicated for use in the pediatric population (for example, if the results show that that would not be appropriate).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Approval Process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or the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or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6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9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 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a qualified investigator. Clinical trials must be conducted in compliance with federal regulations, good clinical practices, or GCP, which include the ethical principles that all research subjects provide their informed consent in writing for their participation in any clinical trial, and that all trials be approved and monitored on an ongoing basis by an institutional review board, or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or NIH, for public dissemination on their clinicaltrials.gov website.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140"/>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is subject to the Current Good Manufacturing Practices, or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FDA may suspend or terminate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under the Pediatric Research Equity Act, or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6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either during the application process or after the approval of the drug to mitigate any identified or suspected serious risks, and to identify any new risks that were not apparent 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8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20"/>
        <w:spacing w:after="0" w:line="270" w:lineRule="auto"/>
        <w:rPr>
          <w:sz w:val="20"/>
          <w:szCs w:val="20"/>
          <w:color w:val="auto"/>
        </w:rPr>
      </w:pPr>
      <w:r>
        <w:rPr>
          <w:rFonts w:ascii="Arial" w:cs="Arial" w:eastAsia="Arial" w:hAnsi="Arial"/>
          <w:sz w:val="17"/>
          <w:szCs w:val="17"/>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black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FDA review and approval.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announced and unannounced inspections by the FDA and these state agencies for compliance with cGMP and other regulatory requirements. Changes to the manufacturing process are strictly regulated and may require prior FDA approval or notification before being implemented. FDA regulations also require investigation and correction of any deviations from cGMP and impose reporting and documentation requirements upon the sponsor and any third-party manufacturers that the sponsor may decide to use.</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trials or clinical trials to assess new safety risks; or imposition of distribution or other restrictions under a REMS program. Other potential consequences include, among other things:</w:t>
      </w:r>
    </w:p>
    <w:p>
      <w:pPr>
        <w:spacing w:after="0" w:line="214"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fines, Untitled Letters, Warning Letters or holds on post-approval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32" w:lineRule="exact"/>
        <w:rPr>
          <w:rFonts w:ascii="Arial" w:cs="Arial" w:eastAsia="Arial" w:hAnsi="Arial"/>
          <w:sz w:val="16"/>
          <w:szCs w:val="16"/>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injunctions or the imposition of administrative civil or criminal penalties, including fines and imprisonment.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agencies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Moreover, the Drug Quality and Security Act imposes obligations on manufacturers of pharmaceutical products, among others, related to product and tracking and tracing.</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the European Union, holders of a marketing authorization must establish and maintain a pharmacovigilance system and appoint an individual qualified person for pharmacovigilance, or QPPV, who is responsible for oversight of that system. Key obligations include expedited reporting of suspected serious adverse reactions and submission of periodic safety update reports, or PSURs.</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new European marketing authorization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 Applicable state anti-kickback and false claims laws may be broader in scope than federal law and may apply regardless of payor, in addition to items and services reimbursed under Medicaid and other state programs.</w:t>
      </w:r>
    </w:p>
    <w:p>
      <w:pPr>
        <w:spacing w:after="0" w:line="188"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We may also be subject to state laws governing the privacy and security of health information in certain circumstances, many of which differ from each other in significant ways and often are not preempted by the Health Insurance and Portability and Accountability Act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7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 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spacing w:after="0" w:line="273" w:lineRule="auto"/>
        <w:rPr>
          <w:sz w:val="20"/>
          <w:szCs w:val="20"/>
          <w:color w:val="auto"/>
        </w:rPr>
      </w:pPr>
      <w:r>
        <w:rPr>
          <w:rFonts w:ascii="Arial" w:cs="Arial" w:eastAsia="Arial" w:hAnsi="Arial"/>
          <w:sz w:val="17"/>
          <w:szCs w:val="17"/>
          <w:color w:val="auto"/>
        </w:rPr>
        <w:t>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78"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8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the United States, the pharmaceutical industry has been a particular focus of these efforts and has been significantly affected by major legislative initiatives, including the Patient Protection and Affordable Care Act of 2010, as amended by the Health Care and Education Reconciliation Act of 2010, or collectively,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judicial and congressional challenges to the ACA,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While Congress has not passed comprehensive repeal legislation, two bills affecting the implementation of certain taxes under the ACA have been signed into law, including the repeal, effective January 1, 2019, of the tax-based shared responsibility payment imposed by the ACA on certain individuals who fail to maintain qualifying health coverage for all or part of a year that is commonly referred to as the “individual mandate” and delays in the implementation of the so-called “Cadillac” tax on certain high cost employer-sponsored insurance plans, the annual fee imposed on certain health insurance providers based on market share, and the medical device excise tax on imposed on certain non-exempt medical devices. Further, the Bipartisan Budget Act of 2018, or the BBA, among other things, amends the ACA, effective January 1, 2019, to increase from 50% to 70% the point-of-sale discount that is owed by pharmaceutical manufacturers who participate in Medicare Part D and to close the coverage gap in most Medicare drug plans, commonly referred to as the ‘‘donut hole.’’ More recently, in July 2018, CMS published a final rule permitting further collections and payments to and from certain ACA qualified health plans and health insurance issuers under the ACA adjustment program in response to the outcome of federal district court litigation regarding the method CMS uses to determine this risk adjustment. Congress could still consider other legislation to repeal or repeal and replace all or portions of the ACA. Additionally, on December 14, 2018, a Texas U.S. District Court Judge ruled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240"/>
        <w:spacing w:after="0" w:line="275" w:lineRule="auto"/>
        <w:rPr>
          <w:sz w:val="20"/>
          <w:szCs w:val="20"/>
          <w:color w:val="auto"/>
        </w:rPr>
      </w:pPr>
      <w:r>
        <w:rPr>
          <w:rFonts w:ascii="Arial" w:cs="Arial" w:eastAsia="Arial" w:hAnsi="Arial"/>
          <w:sz w:val="17"/>
          <w:szCs w:val="17"/>
          <w:color w:val="auto"/>
        </w:rPr>
        <w:t>that the 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Foreign Corrupt Practices Act</w:t>
      </w:r>
    </w:p>
    <w:p>
      <w:pPr>
        <w:spacing w:after="0" w:line="22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Brexit and the Regulatory Framework in the United Kingdom</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and the United Kingdom officially withdrew from the European Union on January 31, 2020. The United Kingdom and the European Union are currently in a transition period during which the United Kingdom and the European Union are negotiating additional arrangements, including their future trading arrangement. The United Kingdom has stated that it wants the transition period to expire, and the future trading terms to be agreed, by December 31, 2020.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immediately following Brexit, it is expected that the United Kingdom’s regulatory regime will remain aligned to European regulations. It remains to be seen how, if at all, Brexit will impact regulatory requirements for product candidates and products in the United Kingdom. In the longer term, Brexit could materially impact the future regulatory regime which applies to products and the approval of product candidates in the United Kingdom.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2019, we had 13 full-time employees. In addition, we are or have engaged with a number of consultants and companies, including Pharma Partnering in Research &amp; Strategy SAS, or PPRS, that provide expertise in the key functions involved with the development of our products. None of our employees is subject to a collective bargaining agreement and we consider our relationship with our employees to be good.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file reports with the Securities and Exchange Commission (“SEC”), including annual reports on Form 10-K, quarterly reports on Form 10-Q, current reports on Form 8-K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23" w:name="page24"/>
    <w:bookmarkEnd w:id="23"/>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are not profitable and have incurred losses in each period since our inception in 2007. For the year ended December 31, 2019, and 2018, we reported net losses of $72.2 million and $50.2 million, respectively. As of December 31, 2019, we had an accumulated deficit of $286.7 million.</w:t>
      </w:r>
    </w:p>
    <w:p>
      <w:pPr>
        <w:spacing w:after="0" w:line="14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and the historic operations of Sonkei and Mind-NRG have consumed substantial amounts of cash since inception. We expect our research and development expenses to increase substantially in connection with our ongoing activities to develop and commercialize products.</w:t>
      </w:r>
    </w:p>
    <w:p>
      <w:pPr>
        <w:spacing w:after="0" w:line="1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December 31, 2019, we had cash, cash equivalents, restricted cash, and marketable securities of $46.0 million. We believe that our existing cash, cash equivalents, restricted cash, and marketable securities will be sufficient to meet our cash commitments for at least the next 12 months after the date that the year-end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25" w:lineRule="exact"/>
        <w:rPr>
          <w:sz w:val="20"/>
          <w:szCs w:val="20"/>
          <w:color w:val="auto"/>
        </w:rPr>
      </w:pPr>
    </w:p>
    <w:p>
      <w:pPr>
        <w:ind w:left="1000" w:right="580" w:hanging="493"/>
        <w:spacing w:after="0" w:line="258"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1" w:lineRule="exact"/>
        <w:rPr>
          <w:rFonts w:ascii="Arial" w:cs="Arial" w:eastAsia="Arial" w:hAnsi="Arial"/>
          <w:sz w:val="18"/>
          <w:szCs w:val="18"/>
          <w:color w:val="auto"/>
        </w:rPr>
      </w:pPr>
    </w:p>
    <w:p>
      <w:pPr>
        <w:ind w:left="1000" w:right="660" w:hanging="493"/>
        <w:spacing w:after="0" w:line="281"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340" w:hanging="493"/>
        <w:spacing w:after="0" w:line="25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right="20" w:hanging="493"/>
        <w:spacing w:after="0" w:line="260"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estimates regarding fair value of intangible assets may result in an adverse impact on our results of operations.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22, 2017, President Trump signed into law new legislation that significantly revises the Internal Revenue Code of 1986, as amended (the “Code”). The newly enacted federal income tax law,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newly enacted federal tax law.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240"/>
        <w:spacing w:after="0" w:line="263"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existing NOL carryforwards may be limited as a result of issuance of equity securities.</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of December 31, 2019, we had approximately $75.9 million of Federal NOL carryforwards. These Federal NOL carryforwards will begin to expire at various dates beginning in 2027, if not utilized. Under the newly enacted Federal income tax law, Federal NOLs incurred in 2018 and in future years may be carried forward indefinitely, but the deductibility of such Federal NOLs is limited. We plan to use our operating losses to offset any potential future taxable income generated from operations or collaborations. To the extent we generate taxable income, we plan to use our existing NOL carryforwards and future losses to offset income that would otherwise be taxable. If substantial changes in ownership have occurred, there could be annual limitations on the amount of carryforwards that can be realized in future periods. We have not performed a detailed analysis to determine whether an ownership change occurred upon consummation of the merger between us and Sonkei, upon the acquisition of Mind-NRG or our initial public offering, the concurrent private placements or our subsequent public offerings. However, as a result of these transactions, it is likely that an ownership change has occurred. Therefore, it is likely that some or all of our existing NOL carryforwards would be limited by the provisions of Section 382 of the Code. Further, state NOL carryforwards may be similarly limited. We had approximately $71.6 million of state net operating carryforwards at December 31, 2019. It is also possible that future changes in ownership, including as a result of subsequent sales of securities by us or our stockholders, could similarly limit our ability to utilize NOL carryforwards. It is possible that all of our existing NOL carryforwards have been or will be disallowed.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(“NDA”), or Biologics License Application, or BLA, requires a payment of a significant user fee upon submission. The filing of marketing applications for our product candidates may be delayed due to our lack of financial resources to pay such user fee.</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7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00" w:right="120" w:hanging="493"/>
        <w:spacing w:after="0" w:line="268"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spacing w:after="0" w:line="2" w:lineRule="exact"/>
        <w:rPr>
          <w:rFonts w:ascii="Arial" w:cs="Arial" w:eastAsia="Arial" w:hAnsi="Arial"/>
          <w:sz w:val="17"/>
          <w:szCs w:val="17"/>
          <w:color w:val="auto"/>
        </w:rPr>
      </w:pPr>
    </w:p>
    <w:p>
      <w:pPr>
        <w:ind w:left="1000" w:right="360" w:hanging="493"/>
        <w:spacing w:after="0" w:line="260"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FDA or other regulatory authorities that a product candidate is safe and effective for its proposed indication.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6" w:name="page27"/>
    <w:bookmarkEnd w:id="26"/>
    <w:p>
      <w:pPr>
        <w:ind w:left="1000" w:right="260" w:hanging="493"/>
        <w:spacing w:after="0" w:line="25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1000" w:right="340" w:hanging="493"/>
        <w:spacing w:after="0" w:line="25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ind w:left="1000" w:right="20" w:hanging="493"/>
        <w:spacing w:after="0" w:line="25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EMA, FDA or other regulatory authorities may fail to approve the manufacturing processes or facilities of third-party manufacturers with which we contract for clinical and commercial supplies.</w:t>
      </w:r>
    </w:p>
    <w:p>
      <w:pPr>
        <w:ind w:left="1000" w:right="320" w:hanging="493"/>
        <w:spacing w:after="0" w:line="26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approval policies or regulations of the EMA, FDA or other regulatory authorities may significantly change in a manner rendering our clinical data insufficient for approval.</w:t>
      </w:r>
    </w:p>
    <w:p>
      <w:pPr>
        <w:spacing w:after="0" w:line="18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commencement and completion of clinical development can be delayed or halted for a number of reasons, including:</w:t>
      </w:r>
    </w:p>
    <w:p>
      <w:pPr>
        <w:spacing w:after="0" w:line="225" w:lineRule="exact"/>
        <w:rPr>
          <w:sz w:val="20"/>
          <w:szCs w:val="20"/>
          <w:color w:val="auto"/>
        </w:rPr>
      </w:pPr>
    </w:p>
    <w:p>
      <w:pPr>
        <w:ind w:left="1000" w:right="560" w:hanging="493"/>
        <w:spacing w:after="0" w:line="258"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spacing w:after="0" w:line="1"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00" w:right="720" w:hanging="493"/>
        <w:spacing w:after="0" w:line="25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failing to conduct the trial in accordance with regulatory requirements;</w:t>
      </w: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of our third parties, such as CROs, to satisfy their contractual duties or meet expected deadlines;</w:t>
      </w:r>
    </w:p>
    <w:p>
      <w:pPr>
        <w:spacing w:after="0" w:line="9" w:lineRule="exact"/>
        <w:rPr>
          <w:rFonts w:ascii="Arial" w:cs="Arial" w:eastAsia="Arial" w:hAnsi="Arial"/>
          <w:sz w:val="18"/>
          <w:szCs w:val="18"/>
          <w:color w:val="auto"/>
        </w:rPr>
      </w:pPr>
    </w:p>
    <w:p>
      <w:pPr>
        <w:ind w:left="1000" w:right="120" w:hanging="493"/>
        <w:spacing w:after="0" w:line="281"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identification and auditing of central or other laboratories and the transfer and validation of assays or tests to be used;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9" w:lineRule="exact"/>
        <w:rPr>
          <w:rFonts w:ascii="Arial" w:cs="Arial" w:eastAsia="Arial" w:hAnsi="Arial"/>
          <w:sz w:val="18"/>
          <w:szCs w:val="18"/>
          <w:color w:val="auto"/>
        </w:rPr>
      </w:pPr>
    </w:p>
    <w:p>
      <w:pPr>
        <w:ind w:left="1000" w:hanging="493"/>
        <w:spacing w:after="0" w:line="25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 or complying with conditions imposed by IRBs or ethics committees;</w:t>
      </w:r>
    </w:p>
    <w:p>
      <w:pPr>
        <w:ind w:left="1000" w:right="20" w:hanging="493"/>
        <w:spacing w:after="0" w:line="25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competition from other programs for the treatment of similar conditions;</w:t>
      </w: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9" w:lineRule="exact"/>
        <w:rPr>
          <w:rFonts w:ascii="Arial" w:cs="Arial" w:eastAsia="Arial" w:hAnsi="Arial"/>
          <w:sz w:val="18"/>
          <w:szCs w:val="18"/>
          <w:color w:val="auto"/>
        </w:rPr>
      </w:pPr>
    </w:p>
    <w:p>
      <w:pPr>
        <w:ind w:left="1000" w:right="200" w:hanging="493"/>
        <w:spacing w:after="0" w:line="25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two of our product candidates, roluperidone and MIN-117;</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clinical holds or termination imposed by the European Union national regulatory authorities, the FDA or IRBs or ethics committees.</w:t>
      </w:r>
    </w:p>
    <w:p>
      <w:pPr>
        <w:spacing w:after="0" w:line="22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184"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the trial protocols and applicable laws;</w:t>
      </w:r>
    </w:p>
    <w:p>
      <w:pPr>
        <w:spacing w:after="0" w:line="23" w:lineRule="exact"/>
        <w:rPr>
          <w:rFonts w:ascii="Arial" w:cs="Arial" w:eastAsia="Arial" w:hAnsi="Arial"/>
          <w:sz w:val="18"/>
          <w:szCs w:val="18"/>
          <w:color w:val="auto"/>
        </w:rPr>
      </w:pPr>
    </w:p>
    <w:p>
      <w:pPr>
        <w:ind w:left="1000" w:right="72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no experience in advancing product candidates beyond Phase 2, which makes it difficult to assess our ability to develop and commercialize our product candidates.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no experience in progressing clinical trials past Phase 2,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subject enrollment. Many factors affect subject enrollment, including:</w:t>
      </w:r>
    </w:p>
    <w:p>
      <w:pPr>
        <w:spacing w:after="0" w:line="22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size and nature of the subject population;</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subjects;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obtain and maintain subject consents;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9" w:lineRule="exact"/>
        <w:rPr>
          <w:rFonts w:ascii="Arial" w:cs="Arial" w:eastAsia="Arial" w:hAnsi="Arial"/>
          <w:sz w:val="18"/>
          <w:szCs w:val="18"/>
          <w:color w:val="auto"/>
        </w:rPr>
      </w:pPr>
    </w:p>
    <w:p>
      <w:pPr>
        <w:ind w:left="1000" w:right="240" w:hanging="493"/>
        <w:spacing w:after="0" w:line="26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our MIN-117 Phase 2b trial in MDD failed to achieve its primary endpoint and we have decided to discontinue development of MIN-117 for MDD. Furthermore, although we believe our Phase 2b trial with roluperidone met its primary endpoint as we observed the statistically significant benefit of roluperidone over placebo in improving negative symptoms in patients with schizophrenia, our Phase 3 trial with roluperidone, may fail to demonstrate safety and efficacy.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case of our product candidate roluperidone, we are seeking to develop a treatment for schizophrenia, which adds a layer of complexity to our clinical trials and may delay regulatory approval. We do not fully understand the cause and pathophysiology of schizophrenia, and our results will rely on subjective subject feedback,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our product candidates.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roluperidone. As a result, we may forego or delay pursuit of opportunities with other product candidates, including MIN-117, seltorexant and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9" w:name="page30"/>
    <w:bookmarkEnd w:id="29"/>
    <w:p>
      <w:pPr>
        <w:ind w:right="8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marketing approval to commercialize a product candidate or the approval may be for a more narrow indication than we expect.</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6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6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84"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9" w:lineRule="exact"/>
        <w:rPr>
          <w:rFonts w:ascii="Arial" w:cs="Arial" w:eastAsia="Arial" w:hAnsi="Arial"/>
          <w:sz w:val="18"/>
          <w:szCs w:val="18"/>
          <w:color w:val="auto"/>
        </w:rPr>
      </w:pPr>
    </w:p>
    <w:p>
      <w:pPr>
        <w:ind w:left="1000" w:right="400" w:hanging="493"/>
        <w:spacing w:after="0" w:line="25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EMA, FDA or other comparable foreign regulatory bodies may issue safety alerts, Dear Healthcare Provider letters, press releases or other communications containing warnings about such product;</w:t>
      </w:r>
    </w:p>
    <w:p>
      <w:pPr>
        <w:ind w:left="1000" w:right="40" w:hanging="493"/>
        <w:spacing w:after="0" w:line="281" w:lineRule="auto"/>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185"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9" w:lineRule="exact"/>
        <w:rPr>
          <w:rFonts w:ascii="Arial" w:cs="Arial" w:eastAsia="Arial" w:hAnsi="Arial"/>
          <w:sz w:val="18"/>
          <w:szCs w:val="18"/>
          <w:color w:val="auto"/>
        </w:rPr>
      </w:pPr>
    </w:p>
    <w:p>
      <w:pPr>
        <w:ind w:left="1000" w:right="300" w:hanging="493"/>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right="100"/>
        <w:spacing w:after="0" w:line="296"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7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product candidates are intended for the treatment of schizophrenia, insomnia,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7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plan to seek regulatory approval to commercialize our product candidates in the European Union and, other than seltorexant, in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46"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24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78"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efficacy and perceived and potential advantages compared to alternative treatments, including any similar generics and biosimilars;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of market introduction relative to alternative treatment;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 relative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9"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unfavorable publicity relating to the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65"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8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187"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00" w:right="560" w:hanging="49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clinical benefits of our products to achieve market acceptance;</w:t>
      </w:r>
    </w:p>
    <w:p>
      <w:pPr>
        <w:ind w:left="1000" w:right="200" w:hanging="49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associated with training sales personnel on legal compliance matters and monitoring their actions;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liability for sales personnel failing to comply with the applicable legal requirements;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failure or delay in the development of our internal sales, marketing and distribution capabilities would adversely impact the commercialization of these products.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20"/>
        <w:spacing w:after="0" w:line="254" w:lineRule="auto"/>
        <w:rPr>
          <w:sz w:val="20"/>
          <w:szCs w:val="20"/>
          <w:color w:val="auto"/>
        </w:rPr>
      </w:pPr>
      <w:r>
        <w:rPr>
          <w:rFonts w:ascii="Arial" w:cs="Arial" w:eastAsia="Arial" w:hAnsi="Arial"/>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5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4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some of the proposed measures will require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8"/>
          <w:szCs w:val="18"/>
          <w:color w:val="auto"/>
        </w:rPr>
        <w:t>authorization through additional legislation to become effective, U.S. Congress and the Trump administration have indicated that they will continue to seek new legislative and/or administrative measures to control drug costs.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8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At the federal level,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For example, in March 2010, President Obama signed into law the Patient Protection and Affordable Care Act, as amended by the Health Care and Education Reconciliation Act of 2010, or, collectively, the ACA, a law intended to, among other things,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Since the ACA’s enactment, there have been judicial and Congressional challenges to certain aspects of the ACA, and we expect there will be additional challenges and amendments to the ACA in the future. For example, the Tax Cuts and Jobs Act of 2017, or the Tax Act, was enacted, which includes a provision repealing, effective January 1, 2019, the tax-based shared responsibility payment imposed by the ACA on certain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right="140"/>
        <w:spacing w:after="0" w:line="254" w:lineRule="auto"/>
        <w:rPr>
          <w:sz w:val="20"/>
          <w:szCs w:val="20"/>
          <w:color w:val="auto"/>
        </w:rPr>
      </w:pPr>
      <w:r>
        <w:rPr>
          <w:rFonts w:ascii="Arial" w:cs="Arial" w:eastAsia="Arial" w:hAnsi="Arial"/>
          <w:sz w:val="18"/>
          <w:szCs w:val="18"/>
          <w:color w:val="auto"/>
        </w:rPr>
        <w:t>individuals who fail to maintain qualifying health coverage for all or part of a year that is commonly referred to as the “individual mandate”. Since the enactment of the Tax Act, there have been additional amendments to certain provisions of the ACA, and we expect the current Trump administration and Congress will likely continue to seek to modify, repeal or otherwise invalidate the entirety, or certain provisions of the ACA. Additionally, on December 14, 2018, a Texas U.S. District Court Judge ruled that the ACA is unconstitutional in its entirety because the “individual mandate” was repealed by Congress as part of the Tax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currency and exchange rate risks.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000" w:right="80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or public health issues or pandemics, such as the coronavirus;</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000" w:right="42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9" w:lineRule="exact"/>
        <w:rPr>
          <w:rFonts w:ascii="Arial" w:cs="Arial" w:eastAsia="Arial" w:hAnsi="Arial"/>
          <w:sz w:val="18"/>
          <w:szCs w:val="18"/>
          <w:color w:val="auto"/>
        </w:rPr>
      </w:pPr>
    </w:p>
    <w:p>
      <w:pPr>
        <w:ind w:left="1000" w:right="160" w:hanging="493"/>
        <w:spacing w:after="0" w:line="26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7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December 31, 2019, we had 13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84"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9" w:lineRule="exact"/>
        <w:rPr>
          <w:rFonts w:ascii="Arial" w:cs="Arial" w:eastAsia="Arial" w:hAnsi="Arial"/>
          <w:sz w:val="18"/>
          <w:szCs w:val="18"/>
          <w:color w:val="auto"/>
        </w:rPr>
      </w:pPr>
    </w:p>
    <w:p>
      <w:pPr>
        <w:ind w:left="1000" w:right="40" w:hanging="493"/>
        <w:spacing w:after="0" w:line="250"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00" w:right="140" w:hanging="493"/>
        <w:spacing w:after="0" w:line="260"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spacing w:after="0"/>
        <w:rPr>
          <w:sz w:val="20"/>
          <w:szCs w:val="20"/>
          <w:color w:val="auto"/>
        </w:rPr>
      </w:pPr>
      <w:r>
        <w:rPr>
          <w:rFonts w:ascii="Arial" w:cs="Arial" w:eastAsia="Arial" w:hAnsi="Arial"/>
          <w:sz w:val="15"/>
          <w:szCs w:val="15"/>
          <w:b w:val="1"/>
          <w:bCs w:val="1"/>
          <w:i w:val="1"/>
          <w:iCs w:val="1"/>
          <w:color w:val="auto"/>
        </w:rPr>
        <w:t>We are party to a loan and security agreement that contains operating and financial covenants that may restrict our business and financing activities.</w:t>
      </w:r>
    </w:p>
    <w:p>
      <w:pPr>
        <w:spacing w:after="0" w:line="26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January 16, 2015, we entered into a Loan and Security Agreement with Oxford Finance LLC and Silicon Valley Bank, providing for term loans to us in an aggregate principal amount of up to $15 million (the “Term Loans”), in two tranches of $10 million and $5 million, respectively. We borrowed the first tranche in January 2015. In June 2016, we irrevocably elected not to borrow the additional $5 million available under the Term Loans. Borrowings under this loan and security agreement are secured by substantially all of our assets, excluding certain intellectual property rights. The loan and security agreement restricts our ability, among other things, to:</w:t>
      </w:r>
    </w:p>
    <w:p>
      <w:pPr>
        <w:spacing w:after="0" w:line="188"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transfer or otherwise dispose of any of our business or property, subject to limited exceptions;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material changes to our business or management;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resulting in significant changes to the voting control of our stock;</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changes to our organizational structure;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consolidate or merge with other entities or acquire other entities;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 or create encumbrances on our assets;</w:t>
      </w:r>
    </w:p>
    <w:p>
      <w:pPr>
        <w:spacing w:after="0" w:line="9" w:lineRule="exact"/>
        <w:rPr>
          <w:rFonts w:ascii="Arial" w:cs="Arial" w:eastAsia="Arial" w:hAnsi="Arial"/>
          <w:sz w:val="18"/>
          <w:szCs w:val="18"/>
          <w:color w:val="auto"/>
        </w:rPr>
      </w:pPr>
    </w:p>
    <w:p>
      <w:pPr>
        <w:ind w:left="1000" w:right="80" w:hanging="493"/>
        <w:spacing w:after="0" w:line="25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 other than dividends paid solely in shares of our common stock, or make distributions on and, in certain cases, repurchase our stock;</w:t>
      </w: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our affiliates;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repay subordinated indebtedness;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we are required under our loan agreement to comply with various affirmative operating covenants. The operating covenants and restrictions and obligations in our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If we are unable to generate sufficient cash available to repay our debt obligations when they become due and payable, either as when such obligations become due, when they mature, or in the event of a default, we may not be able to obtain additional debt or equity financing on favorable terms, if at all, which may negatively impact our business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Term Loans matured on August 1, 2018 and we made a final repayment in the amount of $510 thousand on such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mergers or joint ventures could disrupt our business and otherwise harm our business.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18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9" w:lineRule="exact"/>
        <w:rPr>
          <w:rFonts w:ascii="Arial" w:cs="Arial" w:eastAsia="Arial" w:hAnsi="Arial"/>
          <w:sz w:val="18"/>
          <w:szCs w:val="18"/>
          <w:color w:val="auto"/>
        </w:rPr>
      </w:pPr>
    </w:p>
    <w:p>
      <w:pPr>
        <w:ind w:left="1000" w:right="320" w:hanging="493"/>
        <w:spacing w:after="0" w:line="25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9" w:name="page40"/>
    <w:bookmarkEnd w:id="39"/>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192"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marketing or promotional restrictions;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0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0" w:name="page41"/>
    <w:bookmarkEnd w:id="40"/>
    <w:p>
      <w:pPr>
        <w:ind w:right="160"/>
        <w:spacing w:after="0" w:line="270" w:lineRule="auto"/>
        <w:rPr>
          <w:sz w:val="20"/>
          <w:szCs w:val="20"/>
          <w:color w:val="auto"/>
        </w:rPr>
      </w:pPr>
      <w:r>
        <w:rPr>
          <w:rFonts w:ascii="Arial" w:cs="Arial" w:eastAsia="Arial" w:hAnsi="Arial"/>
          <w:sz w:val="17"/>
          <w:szCs w:val="17"/>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ind w:right="140"/>
        <w:spacing w:after="0" w:line="296" w:lineRule="auto"/>
        <w:rPr>
          <w:sz w:val="20"/>
          <w:szCs w:val="20"/>
          <w:color w:val="auto"/>
        </w:rPr>
      </w:pPr>
      <w:r>
        <w:rPr>
          <w:rFonts w:ascii="Arial" w:cs="Arial" w:eastAsia="Arial" w:hAnsi="Arial"/>
          <w:sz w:val="16"/>
          <w:szCs w:val="16"/>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217" w:lineRule="exact"/>
        <w:rPr>
          <w:sz w:val="20"/>
          <w:szCs w:val="20"/>
          <w:color w:val="auto"/>
        </w:rPr>
      </w:pPr>
    </w:p>
    <w:p>
      <w:pPr>
        <w:ind w:left="1000" w:right="100" w:hanging="493"/>
        <w:spacing w:after="0" w:line="285"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1" w:lineRule="exact"/>
        <w:rPr>
          <w:rFonts w:ascii="Arial" w:cs="Arial" w:eastAsia="Arial" w:hAnsi="Arial"/>
          <w:sz w:val="16"/>
          <w:szCs w:val="16"/>
          <w:color w:val="auto"/>
        </w:rPr>
      </w:pPr>
    </w:p>
    <w:p>
      <w:pPr>
        <w:ind w:left="1000" w:right="340" w:hanging="493"/>
        <w:spacing w:after="0" w:line="26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ind w:left="1000" w:right="200" w:hanging="493"/>
        <w:spacing w:after="0" w:line="25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00" w:right="280" w:hanging="493"/>
        <w:spacing w:after="0" w:line="25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Arial" w:cs="Arial" w:eastAsia="Arial" w:hAnsi="Arial"/>
          <w:sz w:val="18"/>
          <w:szCs w:val="18"/>
          <w:color w:val="auto"/>
        </w:rPr>
      </w:pPr>
    </w:p>
    <w:p>
      <w:pPr>
        <w:ind w:left="1000" w:hanging="493"/>
        <w:spacing w:after="0" w:line="26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rFonts w:ascii="Arial" w:cs="Arial" w:eastAsia="Arial" w:hAnsi="Arial"/>
          <w:sz w:val="17"/>
          <w:szCs w:val="17"/>
          <w:color w:val="auto"/>
        </w:rPr>
      </w:pPr>
    </w:p>
    <w:p>
      <w:pPr>
        <w:ind w:left="1000" w:right="60" w:hanging="493"/>
        <w:spacing w:after="0" w:line="26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ind w:left="1000" w:right="240" w:hanging="493"/>
        <w:spacing w:after="0" w:line="28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2" w:lineRule="exact"/>
        <w:rPr>
          <w:rFonts w:ascii="Arial" w:cs="Arial" w:eastAsia="Arial" w:hAnsi="Arial"/>
          <w:sz w:val="16"/>
          <w:szCs w:val="16"/>
          <w:color w:val="auto"/>
        </w:rPr>
      </w:pPr>
    </w:p>
    <w:p>
      <w:pPr>
        <w:ind w:left="1000" w:right="480" w:hanging="493"/>
        <w:spacing w:after="0" w:line="26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and other activities that potentially harm consumers.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2" w:name="page43"/>
    <w:bookmarkEnd w:id="42"/>
    <w:p>
      <w:pPr>
        <w:ind w:left="1000" w:right="60" w:hanging="493"/>
        <w:spacing w:after="0" w:line="287"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spacing w:after="0" w:line="2" w:lineRule="exact"/>
        <w:rPr>
          <w:rFonts w:ascii="Arial" w:cs="Arial" w:eastAsia="Arial" w:hAnsi="Arial"/>
          <w:sz w:val="16"/>
          <w:szCs w:val="16"/>
          <w:color w:val="auto"/>
        </w:rPr>
      </w:pPr>
    </w:p>
    <w:p>
      <w:pPr>
        <w:ind w:left="1000" w:right="140"/>
        <w:spacing w:after="0" w:line="268" w:lineRule="auto"/>
        <w:rPr>
          <w:rFonts w:ascii="Arial" w:cs="Arial" w:eastAsia="Arial" w:hAnsi="Arial"/>
          <w:sz w:val="16"/>
          <w:szCs w:val="16"/>
          <w:color w:val="auto"/>
        </w:rPr>
      </w:pPr>
      <w:r>
        <w:rPr>
          <w:rFonts w:ascii="Arial" w:cs="Arial" w:eastAsia="Arial" w:hAnsi="Arial"/>
          <w:sz w:val="17"/>
          <w:szCs w:val="17"/>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Foreign Corrupt Practices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Foreign Corrupt Practices Act, or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7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October 2015, the Court of Justice of the European Union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(“EEA”) and the U.S. to ensure that all data transfers to us comply with EU data protection laws. In February 2016, the EU Commission announced that it had reached agreement with the U.S. replacement regime to the Safe Harbor Framework.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right="20"/>
        <w:spacing w:after="0" w:line="293" w:lineRule="auto"/>
        <w:rPr>
          <w:sz w:val="20"/>
          <w:szCs w:val="20"/>
          <w:color w:val="auto"/>
        </w:rPr>
      </w:pPr>
      <w:r>
        <w:rPr>
          <w:rFonts w:ascii="Arial" w:cs="Arial" w:eastAsia="Arial" w:hAnsi="Arial"/>
          <w:sz w:val="16"/>
          <w:szCs w:val="16"/>
          <w:color w:val="auto"/>
        </w:rPr>
        <w:t>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 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8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jc w:val="both"/>
        <w:ind w:right="80"/>
        <w:spacing w:after="0" w:line="259" w:lineRule="auto"/>
        <w:rPr>
          <w:sz w:val="20"/>
          <w:szCs w:val="20"/>
          <w:color w:val="auto"/>
        </w:rPr>
      </w:pPr>
      <w:r>
        <w:rPr>
          <w:rFonts w:ascii="Arial" w:cs="Arial" w:eastAsia="Arial" w:hAnsi="Arial"/>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7"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depend on our collaborations with Mitsubishi Tanabe Pharma Corporation, or MTPC, and Janssen Pharmaceutica NV (“Janssen”) and could be seriously harmed if our license agreements with MTPC and Janssen were terminated.</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exclusively license roluperidone and MIN-117 from MTPC, with the rights to develop, sell and import roluperidone and MIN-117 globally, excluding most of Asia.</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co-development and license agreement with Janssen provides us with European Union commercialization rights for seltorexant and the right to royalties on any sales of seltorexant outside of the European Union. We have assumed strategic control for matters related to the clinical development of seltorexant in insomnia and all financial responsibility for Phase 3 development costs for seltorexant in this indication and will only realize revenues from seltorexant if it is approved and if our license agreement with Janssen is not terminated by Janssen. Janssen may terminate our license agreement following a material breach by us or certain insolvency events, including if we are unable to fund our portion of the development costs. As a result, we may never realize any revenues from the commercialization of seltorexant, even if approved. In addition, at certain development milestones, including the completion of a single dose Phase 1 clinical trial of seltorexant in patients with MDD, Janssen has the right to opt out of its obligation to fund further development, and we may be unable to fund such development without Janssen’s financial support.</w:t>
      </w:r>
    </w:p>
    <w:p>
      <w:pPr>
        <w:spacing w:after="0" w:line="17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Even if we receive revenues on European Union sales or royalties on sales outside of the European Union under the Janssen license agreement, we may not receive revenues that equal or exceed the amount we are obligated to invest in seltorexant’s clinical development under the agreement. As a result, the license agreement for seltorexant may never result in any profits to us and may have a material adverse effect on us or our business prospects.</w:t>
      </w:r>
    </w:p>
    <w:p>
      <w:pPr>
        <w:spacing w:after="0" w:line="1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disagree with Janssen on certain payment obligations arising out of the co-development and license agreement that we entered into with Janssen on February 13, 2014, and was subsequently amended in June 2017 (the “Agreement”), which disagreement could lead to us incurring significant payment obligations, us becoming involved in legal actions or the termination of the Agreement, any of which could have a material adverse effect on us.</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are currently engaged in a disagreement with Janssen regarding the achievement of a certain development milestone, which is referred to as “Decision Point 4” in the Agreement. As discussed in greater detail in the “Business” section, Janssen has asserted that Decision Point 4 has been reached, which subsequently requires that we share in 40% of the Phase 3 development costs. Janssen has already invoiced us $3.4 million for our alleged share of the Phase 3 development costs in 2019, and Janssen estimates it will have approximately $100 million in further Phase 3 development costs in 2020. We have the right to opt-out of the Agreement after Decision Point 4, and if we opt-out, we collect a royalty on worldwide sales of seltorexant in the single digits with no further obligations to Janssen.</w:t>
      </w:r>
    </w:p>
    <w:p>
      <w:pPr>
        <w:spacing w:after="0" w:line="192"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it is determined that we are required to make a significant payment to Janssen, we may not have sufficient cash to make such payment and may be required to incur additional indebtedness or to raise additional funds via an equity financing in order to make such payment to Janssen. We cannot be certain that we will be able to borrow or raise sufficient funds for this purpose under terms acceptable to us, if at all. While we are engaged in ongoing discussions with Janssen concerning the Agreement and our continued business relationship, we cannot assure you that we will be able to resolve this disagreement to our satisfaction, or at all. Although we do not believe Janssen has grounds to terminate the Agreement, we may have to take legal action to preserve our rights under the Agreement. Any such action may be costly and time consuming and there can be no assurance of the outcome. If we are unable to resolve this disagreement to our satisfaction, it may have a material adverse impact on our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ind w:right="72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7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collaborating with Janssen on the development of seltorexant. We may also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6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7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260"/>
        <w:spacing w:after="0" w:line="277" w:lineRule="auto"/>
        <w:rPr>
          <w:sz w:val="20"/>
          <w:szCs w:val="20"/>
          <w:color w:val="auto"/>
        </w:rPr>
      </w:pPr>
      <w:r>
        <w:rPr>
          <w:rFonts w:ascii="Arial" w:cs="Arial" w:eastAsia="Arial" w:hAnsi="Arial"/>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roluperidone, respectively, are expected to expire as soon as 2021. In addition, our in-licensed U.S. and European patents relating to pharmaceutical compositions and uses of MIN-117 to treat depression are expected to expire as soon as 2020.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8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license or acquire additional patents and intellectual property rights.</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our patent rights relating to our product candidates may limit our ability to prevent third parties from competing against us.</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6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23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7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70" w:lineRule="exact"/>
        <w:rPr>
          <w:sz w:val="20"/>
          <w:szCs w:val="20"/>
          <w:color w:val="auto"/>
        </w:rPr>
      </w:pPr>
    </w:p>
    <w:p>
      <w:pPr>
        <w:ind w:left="1000" w:right="20" w:hanging="493"/>
        <w:spacing w:after="0" w:line="258"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1" w:lineRule="exact"/>
        <w:rPr>
          <w:rFonts w:ascii="Arial" w:cs="Arial" w:eastAsia="Arial" w:hAnsi="Arial"/>
          <w:sz w:val="18"/>
          <w:szCs w:val="18"/>
          <w:color w:val="auto"/>
        </w:rPr>
      </w:pPr>
    </w:p>
    <w:p>
      <w:pPr>
        <w:ind w:left="1000" w:right="12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make the inventions covered by the issued patents or pending patent applications that we own or have exclusively licensed.</w:t>
      </w:r>
    </w:p>
    <w:p>
      <w:pPr>
        <w:ind w:left="1000" w:hanging="493"/>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or our licensors or strategic partners might not have been the first to file patent applications covering certain of our inventions.</w:t>
      </w:r>
    </w:p>
    <w:p>
      <w:pPr>
        <w:spacing w:after="0" w:line="20" w:lineRule="exact"/>
        <w:rPr>
          <w:rFonts w:ascii="Arial" w:cs="Arial" w:eastAsia="Arial" w:hAnsi="Arial"/>
          <w:sz w:val="17"/>
          <w:szCs w:val="17"/>
          <w:color w:val="auto"/>
        </w:rPr>
      </w:pPr>
    </w:p>
    <w:p>
      <w:pPr>
        <w:ind w:left="1000" w:right="10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1000" w:right="480" w:hanging="493"/>
        <w:spacing w:after="0" w:line="250"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ind w:left="1000" w:right="700" w:hanging="493"/>
        <w:spacing w:after="0" w:line="265"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cannot predict what the market price of our common stock will be and, as a result, it may be difficult for you to sell your shares of our common stock.</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7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1000" w:right="680" w:hanging="493"/>
        <w:spacing w:after="0" w:line="250"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reimbursement;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To our knowledge, our executive officers, directors, holders of 5% or more of our capital stock and their respective affiliates beneficially own approximately 34% of our voting stock as of December 31, 2019.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we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Pursuant to our Amended and Restated 2013 Equity Incentive Plan, our management is authorized to grant up to 9,031,333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80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 classified board of directors such that not all members of the board are elected at one time;</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allowing the authorized number of directors to be changed only by resolution of our board of directors;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9" w:lineRule="exact"/>
        <w:rPr>
          <w:rFonts w:ascii="Arial" w:cs="Arial" w:eastAsia="Arial" w:hAnsi="Arial"/>
          <w:sz w:val="18"/>
          <w:szCs w:val="18"/>
          <w:color w:val="auto"/>
        </w:rPr>
      </w:pPr>
    </w:p>
    <w:p>
      <w:pPr>
        <w:ind w:left="1000" w:right="34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than can be acted upon at stockholder meetings; and</w:t>
      </w:r>
    </w:p>
    <w:p>
      <w:pPr>
        <w:ind w:left="1000" w:right="140" w:hanging="493"/>
        <w:spacing w:after="0" w:line="26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66 2/3% of the votes that all of our stockholders would be entitled to cast to amend or repeal our bylaws.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principal executive offices are located at 1601 Trapelo Road, Suite 286, Waltham, Massachusetts 02451. We lease this facility, which consists of approximately 5,923 square feet of office space, and the term of our Sublease expires on July 27, 2021. We believe that our existing facility is sufficient for our current needs for the foreseeable future.</w:t>
      </w:r>
    </w:p>
    <w:p>
      <w:pPr>
        <w:spacing w:after="0" w:line="3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Form 10-K,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33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traded on the Nasdaq Global Market under the symbol “NERV” since our initial public offering on July 1, 2014.</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5, 2020, there were approximately 131 holders of record of our common stock. We believe that the number of beneficial owners of our common stock at that date was substantially greater.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2019,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quarter ended December 31, 2019.</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three proprietary compounds that are currently in development. We believe these compounds have innovative mechanisms of action and therapeutic profiles that potentially address the unmet needs of patients with these diseases.</w:t>
      </w:r>
    </w:p>
    <w:p>
      <w:pPr>
        <w:spacing w:after="0" w:line="18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Our product portfolio and potential indications include: roluperidone for the treatment of schizophrenia; seltorexant (also known as MIN-202 or JNJ-42847922), which we are co-developing with Janssen Pharmaceutica NV (“Janssen”), for the treatment of insomnia disorder and Major Depressive Disorder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November 2013, Cyrenaic Pharmaceuticals, Inc. (“Cyrenaic”), and Sonkei Pharmaceuticals, Inc. (“Sonkei”), merged, and the combined company was renamed Minerva Neurosciences, Inc. Cyrenaic had been incorporated in 2007 and had exclusively licensed roluperidone from Mitsubishi Tanabe Pharma Corporation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roluperidone and MIN-117 globally, excluding most of Asia.</w:t>
      </w:r>
    </w:p>
    <w:p>
      <w:pPr>
        <w:spacing w:after="0" w:line="16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further expanded our product candidate portfolio in February 2014 by acquiring the shares of Mind-NRG SA (“Mind-NRG”), which had exclusive rights to develop and commercialize MIN-301. In addition, in February 2014 we entered into a co-development and license agreement with Janssen, one of the Janssen Pharmaceutical Companies of Johnson &amp; Johnson, for the co-development of seltorexant. We entered into an amendment to this agreement in June 2017 that took effect on August 29, 2017. Under the amended agreement, we gained global strategic control of the development of seltorexant to treat insomnia, and Janssen waived its right to royalties on seltorexant insomnia sales in the Minerva territory, which includes the European Union, Switzerland, Liechtenstein, Iceland and Norway (the “Minerva Territory”). We retain our rights to seltorexant as adjunctive therapy for MDD, which include an exclusive license in the Minerva Territory with royalties payable by us to Janssen, and royalties on sales payable by Janssen to Minerva elsewhere worldwide. (See Seltorexant – Amendment to Co-Development and License Agreement below.)</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 As a result of the Amendment to our Co-Development and License Agreement with Janssen, we have Deferred Revenue that will be recognized in future periods, the timing of which is subject to certain future events that will be evaluated in conjunction with the relevant revenue recognition pronouncements.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Research and development expenses consists of costs incurred in connection with the development of our product 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historic direct costs relating to each of our product candidates are summarized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616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2"/>
                <w:szCs w:val="12"/>
                <w:b w:val="1"/>
                <w:bCs w:val="1"/>
                <w:color w:val="auto"/>
              </w:rPr>
              <w:t>(1)</w:t>
            </w:r>
          </w:p>
        </w:tc>
        <w:tc>
          <w:tcPr>
            <w:tcW w:w="20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20"/>
                <w:szCs w:val="20"/>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Roluperidone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25,071</w:t>
            </w:r>
          </w:p>
        </w:tc>
        <w:tc>
          <w:tcPr>
            <w:tcW w:w="100" w:type="dxa"/>
            <w:vAlign w:val="bottom"/>
            <w:shd w:val="clear" w:color="auto" w:fill="CFF0FC"/>
          </w:tcPr>
          <w:p>
            <w:pPr>
              <w:spacing w:after="0"/>
              <w:rPr>
                <w:sz w:val="19"/>
                <w:szCs w:val="19"/>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MIN-117</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29,007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7,081</w:t>
            </w:r>
          </w:p>
        </w:tc>
        <w:tc>
          <w:tcPr>
            <w:tcW w:w="100" w:type="dxa"/>
            <w:vAlign w:val="bottom"/>
          </w:tcPr>
          <w:p>
            <w:pPr>
              <w:spacing w:after="0"/>
              <w:rPr>
                <w:sz w:val="19"/>
                <w:szCs w:val="19"/>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Seltorexant</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MIN-301</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55,478</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300" w:hanging="508"/>
        <w:spacing w:after="0" w:line="25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expense for the years ended December 31, 2019 and 2018 excludes non cash stock-based compensation expense of $2.646 million and $2.257 million, respectively.</w:t>
      </w:r>
    </w:p>
    <w:p>
      <w:pPr>
        <w:spacing w:after="0" w:line="1" w:lineRule="exact"/>
        <w:rPr>
          <w:rFonts w:ascii="Arial" w:cs="Arial" w:eastAsia="Arial" w:hAnsi="Arial"/>
          <w:sz w:val="18"/>
          <w:szCs w:val="18"/>
          <w:color w:val="auto"/>
        </w:rPr>
      </w:pPr>
    </w:p>
    <w:p>
      <w:pPr>
        <w:ind w:left="880" w:right="40" w:hanging="508"/>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MIN-117 expenses for the year ended December 31, 2019 includes a $19.0 million expense for the impairment of the MIN-117 in-process research and development asset.</w:t>
      </w:r>
    </w:p>
    <w:p>
      <w:pPr>
        <w:ind w:left="880" w:hanging="508"/>
        <w:spacing w:after="0"/>
        <w:tabs>
          <w:tab w:leader="none" w:pos="8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a result of the Amendment with Janssen, we did not incur any development expense during the year ended December 31, 2019 or 2018.</w:t>
      </w:r>
    </w:p>
    <w:p>
      <w:pPr>
        <w:spacing w:after="0" w:line="23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test goodwill and in-process research and development for impairment annually on November 30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consist principally of costs for functions in executive, finance, legal, auditing 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Foreign exchange (losses) gains are comprised primarily of losses and gains of foreign currency transactions related to 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Interest expense consists of interest incurred under our former loan with Oxford Finance LLC (“Oxford”), and Silicon Valley Bank (“SVB”). During the year ended December 31, 2019, there was no debt outstanding and no interest expense recorded. During the year ended December 31, 2018, interest expense was related primarily to our loan with Oxford and SVB.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and Tax Carryforwards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2019, we had approximately $75.9 million of federal net operating loss carryforwards. These federal net operating loss carryforwards will begin to expire at various dates beginning in 2027, if not utilized. As of December 31, 2019, we had approximately $71.6 million of state net operating loss carryforwards. During the year ended December 31, 2019, no state operating loss carryforwards had expired.</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22, 2017, the President signed into law the tax legislation commonly known as the Tax Cuts and Jobs Act. As part of the legislation, net operating losses created after December 31, 2017 will have an indefinite carryforward period. Additionally, these future net operating losses will be limited to 80% of taxable income for any future period in which they might be used. The legislation does not alter the amount or ability to utilize net operating losses created prior to December 31, 2017.</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legislative change regarding the carryforward period of net operating losses impacts our indefinite lived deferred tax liabilities related to our in-process research and development, or IPR&amp;D intangibles. Prior to the change in tax law, our net operating losses could not be used to offset deferred tax liabilities resulting from taxable temporary differences with an indefinite life. After the legislative change, federal net operating loss incurred after December 31, 2017 will have an indefinite life. As a result, our deductible temporary differences will reverse and create unlimited lived deferred tax assets which may be available to offset indefinite lived deferred tax liabilities. Accordingly, we have recognized a tax benefit for the period ending December 31, 2017 to reflect this reversal pattern.</w:t>
      </w:r>
    </w:p>
    <w:p>
      <w:pPr>
        <w:spacing w:after="0" w:line="192"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Internal Revenue Code, or IRC, limits the amounts of net operating loss carryforwards that a company may use in any one year in the event of certain cumulative changes in ownership over a three</w:t>
      </w:r>
      <w:r>
        <w:rPr>
          <w:rFonts w:ascii="MS PGothic" w:cs="MS PGothic" w:eastAsia="MS PGothic" w:hAnsi="MS PGothic"/>
          <w:sz w:val="16"/>
          <w:szCs w:val="16"/>
          <w:color w:val="auto"/>
        </w:rPr>
        <w:t>‑</w:t>
      </w:r>
      <w:r>
        <w:rPr>
          <w:rFonts w:ascii="Arial" w:cs="Arial" w:eastAsia="Arial" w:hAnsi="Arial"/>
          <w:sz w:val="16"/>
          <w:szCs w:val="16"/>
          <w:color w:val="auto"/>
        </w:rPr>
        <w:t>year period as described in Section 382 of the IRC. We have not performed a detailed analysis to determine whether an ownership change occurred upon consummation of the merger between us and Sonkei or the acquisition of Mind</w:t>
      </w:r>
      <w:r>
        <w:rPr>
          <w:rFonts w:ascii="MS PGothic" w:cs="MS PGothic" w:eastAsia="MS PGothic" w:hAnsi="MS PGothic"/>
          <w:sz w:val="16"/>
          <w:szCs w:val="16"/>
          <w:color w:val="auto"/>
        </w:rPr>
        <w:t>‑</w:t>
      </w:r>
      <w:r>
        <w:rPr>
          <w:rFonts w:ascii="Arial" w:cs="Arial" w:eastAsia="Arial" w:hAnsi="Arial"/>
          <w:sz w:val="16"/>
          <w:szCs w:val="16"/>
          <w:color w:val="auto"/>
        </w:rPr>
        <w:t>NRG. However, as a result of these transactions, our initial public offering and the shares issued to Johnson &amp; Johnson Innovation-JJDC Inc. and shareholders of Mind</w:t>
      </w:r>
      <w:r>
        <w:rPr>
          <w:rFonts w:ascii="MS PGothic" w:cs="MS PGothic" w:eastAsia="MS PGothic" w:hAnsi="MS PGothic"/>
          <w:sz w:val="16"/>
          <w:szCs w:val="16"/>
          <w:color w:val="auto"/>
        </w:rPr>
        <w:t>‑</w:t>
      </w:r>
      <w:r>
        <w:rPr>
          <w:rFonts w:ascii="Arial" w:cs="Arial" w:eastAsia="Arial" w:hAnsi="Arial"/>
          <w:sz w:val="16"/>
          <w:szCs w:val="16"/>
          <w:color w:val="auto"/>
        </w:rPr>
        <w:t>NRG as part of the private placements consummated concurrently with our initial public offering, it is likely that an ownership change would occur or has occurred. Such an ownership change could also be triggered by subsequent sales of securities by us or our stockholders. Such a change in ownership would limit the utilization of our net operating losses. As a result, we may not be able to take full advantage of these tax carryforwards for federal tax purposes.</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2019 and December 31, 2018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Borders>
              <w:bottom w:val="single" w:sz="8" w:color="CFF0FC"/>
            </w:tcBorders>
          </w:tcPr>
          <w:p>
            <w:pPr>
              <w:spacing w:after="0"/>
              <w:rPr>
                <w:sz w:val="13"/>
                <w:szCs w:val="13"/>
                <w:color w:val="auto"/>
              </w:rPr>
            </w:pPr>
          </w:p>
        </w:tc>
        <w:tc>
          <w:tcPr>
            <w:tcW w:w="19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1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58,124</w:t>
            </w:r>
          </w:p>
        </w:tc>
        <w:tc>
          <w:tcPr>
            <w:tcW w:w="200" w:type="dxa"/>
            <w:vAlign w:val="bottom"/>
          </w:tcPr>
          <w:p>
            <w:pPr>
              <w:spacing w:after="0"/>
              <w:rPr>
                <w:sz w:val="19"/>
                <w:szCs w:val="19"/>
                <w:color w:val="auto"/>
              </w:rPr>
            </w:pP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FF0FC"/>
            </w:tcBorders>
          </w:tcPr>
          <w:p>
            <w:pPr>
              <w:ind w:left="460"/>
              <w:spacing w:after="0"/>
              <w:rPr>
                <w:sz w:val="20"/>
                <w:szCs w:val="20"/>
                <w:color w:val="auto"/>
              </w:rPr>
            </w:pPr>
            <w:r>
              <w:rPr>
                <w:rFonts w:ascii="Arial" w:cs="Arial" w:eastAsia="Arial" w:hAnsi="Arial"/>
                <w:sz w:val="18"/>
                <w:szCs w:val="18"/>
                <w:color w:val="auto"/>
              </w:rPr>
              <w:t>Total expenses</w:t>
            </w:r>
          </w:p>
        </w:tc>
        <w:tc>
          <w:tcPr>
            <w:tcW w:w="19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(75,865)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1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Investment income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60"/>
              <w:spacing w:after="0"/>
              <w:rPr>
                <w:sz w:val="20"/>
                <w:szCs w:val="20"/>
                <w:color w:val="auto"/>
              </w:rPr>
            </w:pPr>
            <w:r>
              <w:rPr>
                <w:rFonts w:ascii="Arial" w:cs="Arial" w:eastAsia="Arial" w:hAnsi="Arial"/>
                <w:sz w:val="18"/>
                <w:szCs w:val="18"/>
                <w:color w:val="auto"/>
              </w:rPr>
              <w:t>Loss before income taxes</w:t>
            </w:r>
          </w:p>
        </w:tc>
        <w:tc>
          <w:tcPr>
            <w:tcW w:w="19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Benefit for income taxes</w:t>
            </w:r>
          </w:p>
        </w:tc>
        <w:tc>
          <w:tcPr>
            <w:tcW w:w="1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(2,255)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6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Total Research and development expenses were $58.1 million for the year ended December 31, 2019 compared to $34.9 million for the same period in 2018, an increase of $23.2 million. The increase in research and development expenses primarily reflects a $19.0 million expense for the impairment of the MIN-117 In-process research and development asset and higher development expenses for the Phase 3 clinical trial of roluperidone and the Phase 2b clinical trial of MIN-117.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Total general and administrative expenses were $17.7 million for the year ended December 31, 2019 compared to $16.8 million for the same period in 2018, an increase of approximately $0.9 million. This increase in general and administrative expenses was primarily due to an increase in non-cash stock-based compensation expenses and higher professional fees to support pre-commercial activities.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Foreign exchange losses were $29 thousand for the year ended December 31, 2019 compared to a loss of $5 thousand for the same period in 2018, an increased loss of $24 thousand. The loss was primarily due to clinical activities denominated in Euros.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Investment income was $1.5 million for the year ended December 31, 2019 compared to $1.7 million for the same period in 2018, a decrease of $0.2 million. The decrease was due to a decrease in investment income on cash equivalents and marketable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Interest expense was zero for the year ended December 31, 2019 compared to $0.1 million for the same period in 2018, a decrease of $0.1 million. The decrease was due to the repayment of principal on our Term A Loans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Benefit for income taxes was $2.3 million and zero for the years ended December 31, 2019 and 2018, respectively. The $2.3 million benefit was a result of lowering the deferred tax liability due to the impairment of the MIN-117 IPR&amp;D asset.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incurred losses and cumulative negative cash flows from operations since our inception in April 2007 and, as of December 31, 2019, we had an accumulated deficit of approximately $286.7 million. We anticipate that we will continue to incur net losses for the foreseeable future as we continue the development and potential commercialization of our product candidates and to support our operations as a public company. At December 31, 2019, we had approximately $46.0 million in cash, cash equivalents, restricted cash, and marketable securities. We believe that our existing cash, cash equivalents, restricted cash, and marketable securities will be sufficient to meet our cash commitments for at least the next 12 months after the date that the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 We have the ability to adjust our operating plan spending levels based on the timing of future clinical trials which will be predicated upon adequate funding to complete the trials.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Co-Development and License Agreement with Janssen</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August 29, 2017, the European Commission approved the Amendment to our Co-Development and License Agreement with Janssen under which Janssen made an upfront payment to us of $30 million in August 2017 and agreed to make a $20 million payment at the start of a Phase 3 insomnia trial for seltorexant and a $20 million payment when 50% of the patients are enrolled in this trial. Janssen further agreed to waive the remaining payments due from us until the completion of certain Phase 2b trials, including $11.2 million in previously accrued collaborative expenses. In connection with the Amendment, we also repurchased all of the approximately 3.9 million shares of our stock previously owned by Johnson &amp; Johnson Innovation-JJDC Inc. at a per share price of $0.0001, for an aggregate purchase price of approximately $389.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 of Common Stock</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$3.0 million in underwriting discounts and commissions and transaction costs, which will be included as a component of additional paid-in capital, resulting in net proceeds of approximately $41.6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If it is determined that we are required to make a significant payment to Janssen, we may not have sufficient cash to make such payment and may be required to incur additional indebtedness or to raise additional funds via an equity financing in order to make such payment to Janssen. We cannot be certain that we will be able to borrow or raise sufficient funds for this purpose under terms acceptable to us, if at all. While we are engaged in ongoing discussions with Janssen concerning the Agreement and our continued business relationship, there can be no assurance that we will be able to resolve this disagreement to our satisfaction, or at all.</w:t>
      </w:r>
    </w:p>
    <w:p>
      <w:pPr>
        <w:spacing w:after="0" w:line="188"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8"/>
          <w:szCs w:val="18"/>
          <w:color w:val="auto"/>
        </w:rPr>
        <w:t>‑</w:t>
      </w:r>
      <w:r>
        <w:rPr>
          <w:rFonts w:ascii="Arial" w:cs="Arial" w:eastAsia="Arial" w:hAnsi="Arial"/>
          <w:sz w:val="18"/>
          <w:szCs w:val="18"/>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p>
      <w:pPr>
        <w:spacing w:after="0" w:line="217" w:lineRule="exact"/>
        <w:rPr>
          <w:sz w:val="20"/>
          <w:szCs w:val="20"/>
          <w:color w:val="auto"/>
        </w:rPr>
      </w:pPr>
      <w:r>
        <w:rPr>
          <w:rFonts w:ascii="Arial" w:cs="Arial" w:eastAsia="Arial" w:hAnsi="Arial"/>
          <w:sz w:val="16"/>
          <w:szCs w:val="16"/>
          <w:color w:val="auto"/>
        </w:rPr>
        <w:t>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6"/>
          <w:szCs w:val="16"/>
          <w:color w:val="auto"/>
        </w:rPr>
        <w:t>‑</w:t>
      </w:r>
      <w:r>
        <w:rPr>
          <w:rFonts w:ascii="Arial" w:cs="Arial" w:eastAsia="Arial" w:hAnsi="Arial"/>
          <w:sz w:val="16"/>
          <w:szCs w:val="16"/>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restricted cash, and marketable securities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 set forth below.</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80" w:type="dxa"/>
            <w:vAlign w:val="bottom"/>
            <w:gridSpan w:val="5"/>
          </w:tcPr>
          <w:p>
            <w:pPr>
              <w:jc w:val="right"/>
              <w:ind w:right="250"/>
              <w:spacing w:after="0" w:line="155" w:lineRule="exact"/>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7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(43.4)</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1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1960" w:type="dxa"/>
            <w:vAlign w:val="bottom"/>
            <w:vMerge w:val="restart"/>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vMerge w:val="continue"/>
            <w:shd w:val="clear" w:color="auto" w:fill="CFF0FC"/>
          </w:tcPr>
          <w:p>
            <w:pPr>
              <w:spacing w:after="0"/>
              <w:rPr>
                <w:sz w:val="19"/>
                <w:szCs w:val="19"/>
                <w:color w:val="auto"/>
              </w:rPr>
            </w:pPr>
          </w:p>
        </w:tc>
        <w:tc>
          <w:tcPr>
            <w:tcW w:w="1960" w:type="dxa"/>
            <w:vAlign w:val="bottom"/>
            <w:vMerge w:val="continue"/>
            <w:shd w:val="clear" w:color="auto" w:fill="CFF0FC"/>
          </w:tcPr>
          <w:p>
            <w:pPr>
              <w:spacing w:after="0"/>
              <w:rPr>
                <w:sz w:val="19"/>
                <w:szCs w:val="19"/>
                <w:color w:val="auto"/>
              </w:rPr>
            </w:pPr>
          </w:p>
        </w:tc>
        <w:tc>
          <w:tcPr>
            <w:tcW w:w="800" w:type="dxa"/>
            <w:vAlign w:val="bottom"/>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cash used in operating activities of approximately $43.4 million during the year ended December 31, 2019 was primarily due to our net loss of $72.2 million, a decrease of $2.2 million in deferred taxes, and amortization of investments of $0.8 million, partially offset by an impairment expense of in-process research and development assets of $19.0 million, stock-based compensation expense of $9.2 million, an increase in accrued expenses $2.3 million, a decrease in prepaid expenses of $0.7 million, and an increase in accounts payable of $0.6 million.</w:t>
      </w:r>
    </w:p>
    <w:p>
      <w:pPr>
        <w:spacing w:after="0" w:line="17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Net cash used in operating activities of approximately $41.9 million during the year ended December 31, 2018 was primarily due to our net loss of $50.2 million, an increase in prepaid expenses of $0.6 million and amortization of investments of $0.1 million, partially offset by stock-based compensation expense of $8.2 million, an increase in accounts payable of $0.4 million and an increase in accrued expenses $0.4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provided by investing activities of approximately $14.1 million during the year ended December 31, 2019 was primarily due to the maturity and redemption of marketable securities of $75.2 million, partially offset by the purchase of marketable securities of $61.1 million.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Net cash provided by investing activities of approximately $69.5 million during the year ended December 31, 2018 was primarily due to the maturity and redemption of marketable securities of $110.2 million, partially offset by the purchase of marketable securities of $40.7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provided by financing activities of $0.5 million during the year ended December 31, 2019 was due to the proceeds from the exercise of common stock options of $0.5 million.</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Net cash used in financing activities of $3.4 million during the year ended December 31, 2018 was due to principal repayments and payment of an end of term fee under the Term A Loans of $4.0 million, partially offset by the proceeds from the exercise of common stock options of $0.6 million.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7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In-process research and development, or IPR&amp;D, assets represent capitalized incomplete research projects that we acquired through business combinations. Such assets are initially measured at their acquisition date fair values. The initial fair value of the research projects is recorded as intangible assets on the balance sheet, rather than expensed, regardless of whether these assets have an alternative future use.</w:t>
      </w:r>
    </w:p>
    <w:p>
      <w:pPr>
        <w:spacing w:after="0" w:line="16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then remaining useful life of the intangible asset and begin amortization. We test our indefinite-lived intangibles, IPR&amp;D assets, for impairment annually on November 30 and more frequently if events or changes in circumstances indicate that it is more likely than not that the asset is impaired. In estimating the fair value of IPR&amp;D, an income approach was used with a discounted cash flow analysis. Many assumptions and estimates are included in this analysis including revenue and expense projections, probability of success factors, expected product launch date and a weighted average cost of capital of 20.0%.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spacing w:after="0" w:line="217" w:lineRule="exact"/>
        <w:rPr>
          <w:sz w:val="20"/>
          <w:szCs w:val="20"/>
          <w:color w:val="auto"/>
        </w:rPr>
      </w:pPr>
      <w:r>
        <w:rPr>
          <w:rFonts w:ascii="Arial" w:cs="Arial" w:eastAsia="Arial" w:hAnsi="Arial"/>
          <w:sz w:val="17"/>
          <w:szCs w:val="17"/>
          <w:color w:val="auto"/>
        </w:rPr>
        <w:t>Potential triggering events that could indicate whether an impairment to the IPR&amp;D may have occurred include: clinical trial results where the compound under investigation did not meet pre</w:t>
      </w:r>
      <w:r>
        <w:rPr>
          <w:rFonts w:ascii="MS PGothic" w:cs="MS PGothic" w:eastAsia="MS PGothic" w:hAnsi="MS PGothic"/>
          <w:sz w:val="17"/>
          <w:szCs w:val="17"/>
          <w:color w:val="auto"/>
        </w:rPr>
        <w:t>‑</w:t>
      </w:r>
      <w:r>
        <w:rPr>
          <w:rFonts w:ascii="Arial" w:cs="Arial" w:eastAsia="Arial" w:hAnsi="Arial"/>
          <w:sz w:val="17"/>
          <w:szCs w:val="17"/>
          <w:color w:val="auto"/>
        </w:rPr>
        <w:t>established criteria or clinical endpoints, failure to obtain regulatory approval, the inability to fund future clinical trials, failure to obtain patent protection, adverse changes in the regulatory environment, the approval of competing therapies or compounds, adverse changes in applicable laws or regulations and a variety of other circumstances. The impairment of IPR&amp;D could have a material adverse impact on our financial condition. In order to determine whether an impairment has occurred, management must evaluate the events and incorporate multiple assumptions including: costs associated with continuing the development program, competing therapies or compounds, potential market size, estimated future cash flows and other factors.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 We test our IPR&amp;D for impairment as of November 30. There was no impairment of the Mind-NRG IPR&amp;D asset for the years ended December 31, 2019 or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a result of our Phase 2b trial of MIN-117 in adult patients suffering from moderate to severe MDD not meeting its primary and key secondary endpoints and our decision not to further the clinical development of MIN-117 in MDD, we determined that the MIN-117 IPR&amp;D is fully impaired and recognized a $19.0 million expense, which was included as a component of research and development expense, during the year ended December 31, 2019. There was no impairment of the MIN-117 IPR&amp;D for the year ended December 31,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test our goodwill for impairment as of November 30. There was no impairment of goodwill for the years ended December 31, 2019 or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2019 or 2018.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From time to time, new accounting pronouncements are issued by Financial Accounting Standards Board (“FASB”) and are adopted by us as of the specified effective date. Unless otherwise disclosed in the notes to the financial statements appearing elsewhere in this Form 10-K, we believe that the impact of other recently issued, but not yet adopted, accounting pronouncements will not have a material impact on the financial position, results of operations or cash flows, or do not apply to our operations.</w:t>
      </w:r>
    </w:p>
    <w:p>
      <w:pPr>
        <w:spacing w:after="0" w:line="3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364"/>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385"/>
        </w:trPr>
        <w:tc>
          <w:tcPr>
            <w:tcW w:w="10680" w:type="dxa"/>
            <w:vAlign w:val="bottom"/>
            <w:gridSpan w:val="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560" w:type="dxa"/>
            <w:vAlign w:val="bottom"/>
          </w:tcPr>
          <w:p>
            <w:pPr>
              <w:ind w:left="320"/>
              <w:spacing w:after="0"/>
              <w:rPr>
                <w:sz w:val="20"/>
                <w:szCs w:val="20"/>
                <w:color w:val="auto"/>
              </w:rPr>
            </w:pPr>
            <w:r>
              <w:rPr>
                <w:rFonts w:ascii="Arial" w:cs="Arial" w:eastAsia="Arial" w:hAnsi="Arial"/>
                <w:sz w:val="18"/>
                <w:szCs w:val="18"/>
                <w:color w:val="auto"/>
                <w:w w:val="81"/>
              </w:rPr>
              <w:t>F-1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66">
              <w:r>
                <w:rPr>
                  <w:rFonts w:ascii="Arial" w:cs="Arial" w:eastAsia="Arial" w:hAnsi="Arial"/>
                  <w:sz w:val="18"/>
                  <w:szCs w:val="18"/>
                  <w:color w:val="0000EE"/>
                  <w:w w:val="88"/>
                </w:rPr>
                <w:t>Consolidated Balance Sheets as of December 31, 2019 and 2018</w:t>
              </w:r>
            </w:hyperlink>
          </w:p>
        </w:tc>
        <w:tc>
          <w:tcPr>
            <w:tcW w:w="6020" w:type="dxa"/>
            <w:vAlign w:val="bottom"/>
            <w:gridSpan w:val="4"/>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F-2</w:t>
            </w:r>
          </w:p>
        </w:tc>
      </w:tr>
      <w:tr>
        <w:trPr>
          <w:trHeight w:val="196"/>
        </w:trPr>
        <w:tc>
          <w:tcPr>
            <w:tcW w:w="10680" w:type="dxa"/>
            <w:vAlign w:val="bottom"/>
            <w:gridSpan w:val="8"/>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for the Years Ended December 31, 2019 and 2018</w:t>
              </w:r>
            </w:hyperlink>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F-3</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Consolidated Statements of Stockholders’ Equity for the Years Ended December 31, 2019 and 2018</w:t>
              </w:r>
            </w:hyperlink>
          </w:p>
        </w:tc>
        <w:tc>
          <w:tcPr>
            <w:tcW w:w="348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Consolidated Statements of Cash Flows for the Years Ended December 31, 2019 and 2018</w:t>
              </w:r>
            </w:hyperlink>
          </w:p>
        </w:tc>
        <w:tc>
          <w:tcPr>
            <w:tcW w:w="4160" w:type="dxa"/>
            <w:vAlign w:val="bottom"/>
            <w:gridSpan w:val="2"/>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Notes to Consolidated Financial Statements</w:t>
              </w:r>
            </w:hyperlink>
          </w:p>
        </w:tc>
        <w:tc>
          <w:tcPr>
            <w:tcW w:w="7520" w:type="dxa"/>
            <w:vAlign w:val="bottom"/>
            <w:gridSpan w:val="6"/>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Minerva Neurosciences,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Minerva Neurosciences, Inc. and subsidiaries (the "Company") as of December 31, 2019 and 2018, the related consolidated statements of operations, shareholders'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9, 2020, expressed an unqualified opinion on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Disagreement with Co-Development and License Agreement Counterparty</w:t>
      </w:r>
    </w:p>
    <w:p>
      <w:pPr>
        <w:spacing w:after="0" w:line="2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As discussed in Note 9 to the financial statements, the Company is in a dispute with the counterparty to its co-development and license agreement as to whether amounts are owed to that counterparty under the terms of the agreement. Our opinion is not modified with respect to this matter.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50,234,871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24,441,520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37,762,439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1,182,483</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1,921,050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47,136,626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90,018,360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Equipment, net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33,478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14,808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14,808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261,952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15,200,000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34,200,000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14,869,399</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77,498,796</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139,136,045</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2,317,004</w:t>
            </w:r>
          </w:p>
        </w:tc>
        <w:tc>
          <w:tcPr>
            <w:tcW w:w="2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1,799,666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172,901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6,629,068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3,609,198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1,803,356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4,057,488</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Noncurrent operating leases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111,229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49,719,253</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48,871,276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100,000,000 shares authorized; none issued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or outstanding as of December 31, 2019 and 2018, respectively</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125,000,000 shares authorized; 39,084,121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38,937,971 shares issued and outstanding as of December 31, 2019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2018,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314,511,853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304,813,603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(286,736,218)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(214,552,728)</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27,779,543</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90,264,769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77,498,796</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139,136,045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58,124,354</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34,888,574</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17,740,742</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16,841,308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75,865,096</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51,729,882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(75,865,096)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(51,729,882)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losses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(28,545)</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(4,847)</w:t>
            </w: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Investment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1,456,019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1,673,890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(110,448)</w:t>
            </w: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Loss before income taxes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(74,437,622)</w:t>
            </w: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(50,171,287)</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Benefit for income taxes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(2,254,132)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(72,183,490)</w:t>
            </w:r>
          </w:p>
        </w:tc>
        <w:tc>
          <w:tcPr>
            <w:tcW w:w="2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(50,171,287)</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772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(1.29)</w:t>
            </w:r>
          </w:p>
        </w:tc>
      </w:tr>
      <w:tr>
        <w:trPr>
          <w:trHeight w:val="210"/>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39,014,302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38,792,581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24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240" w:type="dxa"/>
            <w:vAlign w:val="bottom"/>
            <w:gridSpan w:val="2"/>
          </w:tcPr>
          <w:p>
            <w:pPr>
              <w:jc w:val="right"/>
              <w:ind w:right="20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740" w:type="dxa"/>
            <w:vAlign w:val="bottom"/>
          </w:tcPr>
          <w:p>
            <w:pPr>
              <w:spacing w:after="0"/>
              <w:rPr>
                <w:sz w:val="13"/>
                <w:szCs w:val="13"/>
                <w:color w:val="auto"/>
              </w:rPr>
            </w:pPr>
          </w:p>
        </w:tc>
        <w:tc>
          <w:tcPr>
            <w:tcW w:w="1120" w:type="dxa"/>
            <w:vAlign w:val="bottom"/>
          </w:tcPr>
          <w:p>
            <w:pPr>
              <w:jc w:val="right"/>
              <w:ind w:right="27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30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rPr>
              <w:t>Paid-In Capital</w:t>
            </w:r>
          </w:p>
        </w:tc>
        <w:tc>
          <w:tcPr>
            <w:tcW w:w="1240" w:type="dxa"/>
            <w:vAlign w:val="bottom"/>
            <w:gridSpan w:val="2"/>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2018</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38,749,343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3,875</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295,975,010</w:t>
            </w:r>
          </w:p>
        </w:tc>
        <w:tc>
          <w:tcPr>
            <w:tcW w:w="2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4"/>
              </w:rPr>
              <w:t>$ (164,381,441)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131,597,444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129,978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655,921</w:t>
            </w:r>
          </w:p>
        </w:tc>
        <w:tc>
          <w:tcPr>
            <w:tcW w:w="2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655,934</w:t>
            </w:r>
          </w:p>
        </w:tc>
        <w:tc>
          <w:tcPr>
            <w:tcW w:w="10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12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8,182,678</w:t>
            </w:r>
          </w:p>
        </w:tc>
        <w:tc>
          <w:tcPr>
            <w:tcW w:w="20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8,182,678</w:t>
            </w:r>
          </w:p>
        </w:tc>
        <w:tc>
          <w:tcPr>
            <w:tcW w:w="100" w:type="dxa"/>
            <w:vAlign w:val="bottom"/>
          </w:tcPr>
          <w:p>
            <w:pPr>
              <w:spacing w:after="0"/>
              <w:rPr>
                <w:sz w:val="19"/>
                <w:szCs w:val="19"/>
                <w:color w:val="auto"/>
              </w:rPr>
            </w:pPr>
          </w:p>
        </w:tc>
      </w:tr>
      <w:tr>
        <w:trPr>
          <w:trHeight w:val="229"/>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(50,171,287)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7"/>
              </w:rPr>
              <w:t>(50,171,287)</w:t>
            </w:r>
          </w:p>
        </w:tc>
      </w:tr>
      <w:tr>
        <w:trPr>
          <w:trHeight w:val="263"/>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December 31, 2018</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38,937,971</w:t>
            </w:r>
          </w:p>
        </w:tc>
        <w:tc>
          <w:tcPr>
            <w:tcW w:w="24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3,894</w:t>
            </w:r>
          </w:p>
        </w:tc>
        <w:tc>
          <w:tcPr>
            <w:tcW w:w="22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304,813,603</w:t>
            </w:r>
          </w:p>
        </w:tc>
        <w:tc>
          <w:tcPr>
            <w:tcW w:w="200" w:type="dxa"/>
            <w:vAlign w:val="bottom"/>
            <w:tcBorders>
              <w:bottom w:val="single" w:sz="8" w:color="CFF0FC"/>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(214,552,728</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90,264,769</w:t>
            </w:r>
          </w:p>
        </w:tc>
        <w:tc>
          <w:tcPr>
            <w:tcW w:w="100" w:type="dxa"/>
            <w:vAlign w:val="bottom"/>
            <w:tcBorders>
              <w:bottom w:val="single" w:sz="8" w:color="CFF0FC"/>
            </w:tcBorders>
          </w:tcPr>
          <w:p>
            <w:pPr>
              <w:spacing w:after="0"/>
              <w:rPr>
                <w:sz w:val="22"/>
                <w:szCs w:val="22"/>
                <w:color w:val="auto"/>
              </w:rPr>
            </w:pPr>
          </w:p>
        </w:tc>
      </w:tr>
      <w:tr>
        <w:trPr>
          <w:trHeight w:val="21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524,991</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524,999</w:t>
            </w:r>
          </w:p>
        </w:tc>
        <w:tc>
          <w:tcPr>
            <w:tcW w:w="100" w:type="dxa"/>
            <w:vAlign w:val="bottom"/>
            <w:shd w:val="clear" w:color="auto" w:fill="CFF0FC"/>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58,650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9,173,265</w:t>
            </w:r>
          </w:p>
        </w:tc>
        <w:tc>
          <w:tcPr>
            <w:tcW w:w="2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9,173,265</w:t>
            </w:r>
          </w:p>
        </w:tc>
        <w:tc>
          <w:tcPr>
            <w:tcW w:w="100" w:type="dxa"/>
            <w:vAlign w:val="bottom"/>
            <w:shd w:val="clear" w:color="auto" w:fill="CFF0FC"/>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Arial" w:cs="Arial" w:eastAsia="Arial" w:hAnsi="Arial"/>
                <w:sz w:val="18"/>
                <w:szCs w:val="18"/>
                <w:color w:val="auto"/>
              </w:rPr>
              <w:t>Net loss</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
              <w:spacing w:after="0"/>
              <w:rPr>
                <w:sz w:val="20"/>
                <w:szCs w:val="20"/>
                <w:color w:val="auto"/>
              </w:rPr>
            </w:pPr>
            <w:r>
              <w:rPr>
                <w:rFonts w:ascii="Arial" w:cs="Arial" w:eastAsia="Arial" w:hAnsi="Arial"/>
                <w:sz w:val="18"/>
                <w:szCs w:val="18"/>
                <w:color w:val="auto"/>
              </w:rPr>
              <w:t>(72,183,490)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(72,183,490)</w:t>
            </w:r>
          </w:p>
        </w:tc>
      </w:tr>
      <w:tr>
        <w:trPr>
          <w:trHeight w:val="223"/>
        </w:trPr>
        <w:tc>
          <w:tcPr>
            <w:tcW w:w="4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1"/>
              </w:rPr>
              <w:t>314,511,853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(286,736,218</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(72,183,490)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(50,171,287)</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Impairment of in-process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19,000,000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debt discount recorded as interest expense</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(764,057)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(119,614)</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144,040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9,173,265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8,182,678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(2,254,132)</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723,266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(621,866)</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517,338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2,329,631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37,351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(172,902)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(43,432,223)</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(41,941,756)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(61,094,024)</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(40,661,424)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75,179,000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110,151,000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14,084,976</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69,489,576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524,999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655,934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Repayments of notes payable</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(4,000,704)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524,999</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(3,344,770)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(28,822,248)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24,203,050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50,334,871</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26,131,821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50,334,871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paid for interest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Reconciliation of the Condensed Consolidated Statements of Cash Flows to the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21,412,623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50,234,871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21,512,623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50,334,871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2019 and 2018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Minerva Neurosciences, Inc. (“Minerva” or the “Company”) is a clinical-stage biopharmaceutical company focused on the development and commercialization of a portfolio of product candidates to treat patients suffering from central nervous system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roluperidone (also known as MIN-101), a compound the Company is developing for the treatment of schizophrenia. In addition, the Company’s portfolio includes seltorexant (also known as MIN-202 or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roluperidone and MIN-117 from Mitsubishi Tanabe Pharma Corporation (“MTPC”) with the rights to develop, sell and import roluperidone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seltorexant in the European Union, Switzerland, Liechtenstein, Iceland and Norway (the “Minerva Territory”), subject to certain royalty payments to Janssen, and royalty rights for any sales outside the Minerva Territory.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2019, the Company has an accumulated deficit of approximately $286.7 million and net cash used in operating activities was approximately $43.4 million during the year ended December 31, 2019. The Company’s management team expects to continue to incur operating losses and negative cash flows from operations. The Company has financed its operations to date from proceeds from the sale of common stock, warrants, loans and convertible promissory notes.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December 31, 2019, the Company had cash, cash equivalents, restricted cash, and marketable securities of $46.0 million. The Company believes that its existing cash, cash equivalents, restricted cash, and marketable securities will be sufficient to meet its cash commitments for at least the next 12 months after the date that the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resolution of the Company’s dispute with Janssen as described in Notes 5 and 9, the infrastructure to support a commercial enterprise, the cost of a commercial product launch, and the level of financial resources available. If it is determined that we are required to make a significant payment to Janssen, we may not have sufficient cash to make such payment and may be required to incur additional indebtedness or to raise additional funds via an equity financing in order to make such payment to Janssen. The Company has the ability to adjust its operating plan spending levels based on the timing of future clinical trials which will be predicated upon adequate funding to complete the trials.</w:t>
      </w:r>
    </w:p>
    <w:p>
      <w:pPr>
        <w:spacing w:after="0" w:line="182"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December 31, 2019 and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661" w:right="399" w:bottom="1440" w:gutter="0" w:footer="0" w:header="0"/>
        </w:sectPr>
      </w:pPr>
    </w:p>
    <w:bookmarkStart w:id="71" w:name="page72"/>
    <w:bookmarkEnd w:id="71"/>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Marketable securities consists of corporate and U.S. government debt securities maturing in four months or less. Based on the Company’s intentions regarding its marketable securities, all marketable securities are classified as held-to-maturity and are carried under the amortized cost approach. The Company’s investments in marketable securities are classified as Level 2 within the fair value hierarchy. As of December 31, 2019, remaining final maturities of marketable securities ranged from January 2020 to April 2020, with a weighted average remaining maturity of approximately 1.83 months. The following tables provide the amortized cost basis, aggregate fair value, unrealized gains/losses and the net carrying value of investments in held-to-maturity securities as of December 31, 2019 and 2018:</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Unrealized Losses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Outstanding Less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Net Carrying</w:t>
            </w:r>
          </w:p>
        </w:tc>
      </w:tr>
      <w:tr>
        <w:trPr>
          <w:trHeight w:val="17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Than One Year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36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2,701,114</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2,700,678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2,701,114</w:t>
            </w:r>
          </w:p>
        </w:tc>
        <w:tc>
          <w:tcPr>
            <w:tcW w:w="100" w:type="dxa"/>
            <w:vAlign w:val="bottom"/>
          </w:tcPr>
          <w:p>
            <w:pPr>
              <w:spacing w:after="0"/>
              <w:rPr>
                <w:sz w:val="19"/>
                <w:szCs w:val="19"/>
                <w:color w:val="auto"/>
              </w:rPr>
            </w:pPr>
          </w:p>
        </w:tc>
      </w:tr>
      <w:tr>
        <w:trPr>
          <w:trHeight w:val="229"/>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19,245,921</w:t>
            </w:r>
          </w:p>
        </w:tc>
        <w:tc>
          <w:tcPr>
            <w:tcW w:w="100" w:type="dxa"/>
            <w:vAlign w:val="bottom"/>
            <w:shd w:val="clear" w:color="auto" w:fill="CFF0FC"/>
          </w:tcPr>
          <w:p>
            <w:pPr>
              <w:spacing w:after="0"/>
              <w:rPr>
                <w:sz w:val="19"/>
                <w:szCs w:val="19"/>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2,494,485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2,495,675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2,494,485</w:t>
            </w:r>
          </w:p>
        </w:tc>
        <w:tc>
          <w:tcPr>
            <w:tcW w:w="100" w:type="dxa"/>
            <w:vAlign w:val="bottom"/>
          </w:tcPr>
          <w:p>
            <w:pPr>
              <w:spacing w:after="0"/>
              <w:rPr>
                <w:sz w:val="19"/>
                <w:szCs w:val="19"/>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24,442,274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24,441,520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3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Unrealized Losses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2"/>
                <w:szCs w:val="12"/>
                <w:color w:val="auto"/>
              </w:rPr>
            </w:pPr>
          </w:p>
        </w:tc>
        <w:tc>
          <w:tcPr>
            <w:tcW w:w="11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Aggregate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Outstanding Less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Net Carrying</w:t>
            </w:r>
          </w:p>
        </w:tc>
      </w:tr>
      <w:tr>
        <w:trPr>
          <w:trHeight w:val="171"/>
        </w:trPr>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Than One Year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current:</w:t>
            </w: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Corporate bonds/notes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16,054,071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16,050,462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3,609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16,054,071</w:t>
            </w:r>
          </w:p>
        </w:tc>
        <w:tc>
          <w:tcPr>
            <w:tcW w:w="100" w:type="dxa"/>
            <w:vAlign w:val="bottom"/>
          </w:tcPr>
          <w:p>
            <w:pPr>
              <w:spacing w:after="0"/>
              <w:rPr>
                <w:sz w:val="19"/>
                <w:szCs w:val="19"/>
                <w:color w:val="auto"/>
              </w:rPr>
            </w:pPr>
          </w:p>
        </w:tc>
      </w:tr>
      <w:tr>
        <w:trPr>
          <w:trHeight w:val="230"/>
        </w:trPr>
        <w:tc>
          <w:tcPr>
            <w:tcW w:w="3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17,756,394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17,756,394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17,756,394</w:t>
            </w:r>
          </w:p>
        </w:tc>
        <w:tc>
          <w:tcPr>
            <w:tcW w:w="100" w:type="dxa"/>
            <w:vAlign w:val="bottom"/>
            <w:shd w:val="clear" w:color="auto" w:fill="CFF0FC"/>
          </w:tcPr>
          <w:p>
            <w:pPr>
              <w:spacing w:after="0"/>
              <w:rPr>
                <w:sz w:val="19"/>
                <w:szCs w:val="19"/>
                <w:color w:val="auto"/>
              </w:rPr>
            </w:pPr>
          </w:p>
        </w:tc>
      </w:tr>
      <w:tr>
        <w:trPr>
          <w:trHeight w:val="229"/>
        </w:trPr>
        <w:tc>
          <w:tcPr>
            <w:tcW w:w="336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3,951,974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3,951,040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3,951,974</w:t>
            </w:r>
          </w:p>
        </w:tc>
        <w:tc>
          <w:tcPr>
            <w:tcW w:w="100" w:type="dxa"/>
            <w:vAlign w:val="bottom"/>
          </w:tcPr>
          <w:p>
            <w:pPr>
              <w:spacing w:after="0"/>
              <w:rPr>
                <w:sz w:val="19"/>
                <w:szCs w:val="19"/>
                <w:color w:val="auto"/>
              </w:rPr>
            </w:pPr>
          </w:p>
        </w:tc>
      </w:tr>
      <w:tr>
        <w:trPr>
          <w:trHeight w:val="223"/>
        </w:trPr>
        <w:tc>
          <w:tcPr>
            <w:tcW w:w="3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 total</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37,762,439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37,757,896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37,762,439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ind w:right="100"/>
        <w:spacing w:after="0" w:line="296" w:lineRule="auto"/>
        <w:rPr>
          <w:sz w:val="20"/>
          <w:szCs w:val="20"/>
          <w:color w:val="auto"/>
        </w:rPr>
      </w:pPr>
      <w:r>
        <w:rPr>
          <w:rFonts w:ascii="Arial" w:cs="Arial" w:eastAsia="Arial" w:hAnsi="Arial"/>
          <w:sz w:val="16"/>
          <w:szCs w:val="16"/>
          <w:color w:val="auto"/>
        </w:rPr>
        <w:t>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 There was no impairment of Mind-NRG IPR&amp;D asset for the years ended December 31, 2019 or 2018.</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MIN-117 In-process Research and Development Asset.</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a result of the Company’s Phase 2b trial of MIN-117 in adult patients suffering from moderate to severe major depressive disorder (“MDD”) not meeting its primary and key secondary endpoints and the Company’s decision not to further the clinical development of MIN-117 in MDD, the Company determined that the MIN-117 IPR&amp;D is fully impaired and recognized a $19.0 million expense, which was included as a component of research and development expense, during the year ended December 31, 2019. There was no impairment of the MIN-117 IPR&amp;D for the year ended December 31, 2018.</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 xml:space="preserve">An accounting policy change was made by the Company related to the accounting for non-employee awards on January 1, 2019 as a result of the adoption of ASU No. 2018-07, </w:t>
      </w:r>
      <w:r>
        <w:rPr>
          <w:rFonts w:ascii="Arial" w:cs="Arial" w:eastAsia="Arial" w:hAnsi="Arial"/>
          <w:sz w:val="18"/>
          <w:szCs w:val="18"/>
          <w:i w:val="1"/>
          <w:iCs w:val="1"/>
          <w:color w:val="auto"/>
        </w:rPr>
        <w:t>Stock Compensation (Topic 718): Improvements to Nonemployee Share-Based Payment Accounting</w:t>
      </w:r>
      <w:r>
        <w:rPr>
          <w:rFonts w:ascii="Arial" w:cs="Arial" w:eastAsia="Arial" w:hAnsi="Arial"/>
          <w:sz w:val="18"/>
          <w:szCs w:val="18"/>
          <w:color w:val="auto"/>
        </w:rPr>
        <w:t xml:space="preserve"> for which the Company now accounts for non-employee awards in the same manner as employee awards.</w:t>
      </w:r>
    </w:p>
    <w:p>
      <w:pPr>
        <w:spacing w:after="0" w:line="18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per share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Basic loss per share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 The Company had a net loss in all periods presented thus the inclusion of stock options and warrants would be anti-dilutive to net loss per share.</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spacing w:after="0" w:line="275" w:lineRule="auto"/>
        <w:rPr>
          <w:sz w:val="20"/>
          <w:szCs w:val="20"/>
          <w:color w:val="auto"/>
        </w:rPr>
      </w:pPr>
      <w:r>
        <w:rPr>
          <w:rFonts w:ascii="Arial" w:cs="Arial" w:eastAsia="Arial" w:hAnsi="Arial"/>
          <w:sz w:val="17"/>
          <w:szCs w:val="17"/>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2019 or 2018.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 xml:space="preserve">Effective January 1, 2019, the Company adopted Financial Accounting Standards Board (“FASB”) Accounting Standards Codification (“ASC”) Topic 842, </w:t>
      </w:r>
      <w:r>
        <w:rPr>
          <w:rFonts w:ascii="Arial" w:cs="Arial" w:eastAsia="Arial" w:hAnsi="Arial"/>
          <w:sz w:val="18"/>
          <w:szCs w:val="18"/>
          <w:i w:val="1"/>
          <w:iCs w:val="1"/>
          <w:color w:val="auto"/>
        </w:rPr>
        <w:t xml:space="preserve">Leases </w:t>
      </w:r>
      <w:r>
        <w:rPr>
          <w:rFonts w:ascii="Arial" w:cs="Arial" w:eastAsia="Arial" w:hAnsi="Arial"/>
          <w:sz w:val="18"/>
          <w:szCs w:val="18"/>
          <w:color w:val="auto"/>
        </w:rPr>
        <w:t>(“ASC 842”), using the required modified retrospective approach and utilizing the effective date as its date of initial application, for which prior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periods are presented in accordance with the previous guidance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840”).</w:t>
      </w:r>
    </w:p>
    <w:p>
      <w:pPr>
        <w:spacing w:after="0" w:line="22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23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ASC 842, the Company utilized the remaining lease term of its leases in determining the appropriate incremental borrowing rates.</w:t>
      </w:r>
    </w:p>
    <w:p>
      <w:pPr>
        <w:spacing w:after="0" w:line="21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8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2019 and 2018.</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There was no impairment of goodwill for the years ended December 31, 2019 or 2018.</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tables present information about the Company’s cash equivalents and marketable securities as of December 31, 2019 and 2018, measured at fair value on a recurring basis and indicates the fair value hierarchy of the valuation techniques the Company utilized to determine such fair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36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17,385,141</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16,187,361</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1,197,780</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24,442,274</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24,442,274</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41,827,415</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16,187,361</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25,640,054</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92"/>
        </w:trPr>
        <w:tc>
          <w:tcPr>
            <w:tcW w:w="3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6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75"/>
              <w:spacing w:after="0" w:line="155"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42,575,645</w:t>
            </w:r>
          </w:p>
        </w:tc>
        <w:tc>
          <w:tcPr>
            <w:tcW w:w="300" w:type="dxa"/>
            <w:vAlign w:val="bottom"/>
            <w:shd w:val="clear" w:color="auto" w:fill="CFF0FC"/>
          </w:tcPr>
          <w:p>
            <w:pPr>
              <w:spacing w:after="0"/>
              <w:rPr>
                <w:sz w:val="19"/>
                <w:szCs w:val="19"/>
                <w:color w:val="auto"/>
              </w:rPr>
            </w:pPr>
          </w:p>
        </w:tc>
        <w:tc>
          <w:tcPr>
            <w:tcW w:w="380" w:type="dxa"/>
            <w:vAlign w:val="bottom"/>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36,600,836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5,974,809</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Marketable securities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37,757,896</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37,757,896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fair value</w:t>
            </w:r>
          </w:p>
        </w:tc>
        <w:tc>
          <w:tcPr>
            <w:tcW w:w="38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80,333,541</w:t>
            </w:r>
          </w:p>
        </w:tc>
        <w:tc>
          <w:tcPr>
            <w:tcW w:w="3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center"/>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36,600,836</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43,732,705</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648"/>
        </w:trPr>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gridSpan w:val="2"/>
          </w:tcPr>
          <w:p>
            <w:pPr>
              <w:jc w:val="center"/>
              <w:spacing w:after="0"/>
              <w:rPr>
                <w:sz w:val="20"/>
                <w:szCs w:val="20"/>
                <w:color w:val="auto"/>
              </w:rPr>
            </w:pPr>
            <w:r>
              <w:rPr>
                <w:rFonts w:ascii="Arial" w:cs="Arial" w:eastAsia="Arial" w:hAnsi="Arial"/>
                <w:sz w:val="18"/>
                <w:szCs w:val="18"/>
                <w:color w:val="auto"/>
                <w:w w:val="91"/>
              </w:rPr>
              <w:t>F-11</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5" w:name="page76"/>
    <w:bookmarkEnd w:id="75"/>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2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Marketable securities consists of corporate and U.S. government debt securities maturing in four months or less. Based on the Company’s intentions regarding its marketable securities, all marketable securities are classified as held-to-maturity and are carried under the amortized cost approach. Marketable securities are valued using models or other valuation methodologies that use Level 2 inputs. These models are primarily industry-standard models that consider various assumptions, including time value, yield curve, volatility factors, default rates, current market and contractual prices for the underlying financial instruments, as well as other relevant economic measures. Substantially all of these assumptions are observable in the marketplace, can be derived from observable data or are supported by observable levels at which transactions are executed in the marketplace.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carrying amounts of cash, restricted cash, accounts payable, and accrued liabilities approximate fair value because of their short-term nature.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When the Company enters into an arrangement that meets the definition of a collaboration under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25" w:lineRule="exact"/>
        <w:rPr>
          <w:sz w:val="20"/>
          <w:szCs w:val="20"/>
          <w:color w:val="auto"/>
        </w:rPr>
      </w:pPr>
    </w:p>
    <w:p>
      <w:pPr>
        <w:ind w:right="240"/>
        <w:spacing w:after="0" w:line="381" w:lineRule="auto"/>
        <w:rPr>
          <w:sz w:val="20"/>
          <w:szCs w:val="20"/>
          <w:color w:val="auto"/>
        </w:rPr>
      </w:pPr>
      <w:r>
        <w:rPr>
          <w:rFonts w:ascii="Arial" w:cs="Arial" w:eastAsia="Arial" w:hAnsi="Arial"/>
          <w:sz w:val="15"/>
          <w:szCs w:val="15"/>
          <w:color w:val="auto"/>
        </w:rPr>
        <w:t>The Company applies the revenue recognition guidance in accordance with ASC 606. Using ASC 606, revenue that is unearned is deferred. Deferred revenue that is expected to be recognized as revenue more than one year subsequent to the balance sheet date is classified as long-term deferred revenue.</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Purchased Callable Debt Securities. </w:t>
      </w:r>
      <w:r>
        <w:rPr>
          <w:rFonts w:ascii="Arial" w:cs="Arial" w:eastAsia="Arial" w:hAnsi="Arial"/>
          <w:sz w:val="17"/>
          <w:szCs w:val="17"/>
          <w:color w:val="auto"/>
        </w:rPr>
        <w:t>The new standard is intended to enhance the accounting for the amortization of premiums for purchased callable debt</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This update is effective for annual periods beginning after December 15, 2018, and interim periods within those fiscal years, with early adoption permitted, including adoption in an interim period. The Company adopted the new standard on January 1, 2019.</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In November 2018, the FASB issued ASU 2018-18, </w:t>
      </w:r>
      <w:r>
        <w:rPr>
          <w:rFonts w:ascii="Arial" w:cs="Arial" w:eastAsia="Arial" w:hAnsi="Arial"/>
          <w:sz w:val="16"/>
          <w:szCs w:val="16"/>
          <w:i w:val="1"/>
          <w:iCs w:val="1"/>
          <w:color w:val="auto"/>
        </w:rPr>
        <w:t>Collaborative Arrangements (Topic 808): Clarifying the Interaction between Topic 808 and Topic 606</w:t>
      </w:r>
      <w:r>
        <w:rPr>
          <w:rFonts w:ascii="Arial" w:cs="Arial" w:eastAsia="Arial" w:hAnsi="Arial"/>
          <w:sz w:val="16"/>
          <w:szCs w:val="16"/>
          <w:color w:val="auto"/>
        </w:rPr>
        <w:t>. This updated is intended to clarify that certain transactions between collaborative arrangement participants should be accounted for as revenue under Topic</w:t>
      </w:r>
    </w:p>
    <w:p>
      <w:pPr>
        <w:ind w:right="500" w:firstLine="8"/>
        <w:spacing w:after="0" w:line="255"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update is effective for annual periods beginning after December 15, 2019, and interim periods within those fiscal years, with early adoption permitted. The Company is currently evaluating the impact of the pending adoption of the new standard on the Company’s consolidated financial statements.</w:t>
      </w:r>
    </w:p>
    <w:p>
      <w:pPr>
        <w:spacing w:after="0" w:line="23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w:t>
      </w:r>
      <w:r>
        <w:rPr>
          <w:rFonts w:ascii="Arial" w:cs="Arial" w:eastAsia="Arial" w:hAnsi="Arial"/>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720" w:type="dxa"/>
            <w:vAlign w:val="bottom"/>
            <w:gridSpan w:val="2"/>
          </w:tcPr>
          <w:p>
            <w:pPr>
              <w:ind w:left="20"/>
              <w:spacing w:after="0"/>
              <w:rPr>
                <w:sz w:val="20"/>
                <w:szCs w:val="20"/>
                <w:color w:val="auto"/>
              </w:rPr>
            </w:pPr>
            <w:r>
              <w:rPr>
                <w:rFonts w:ascii="Arial" w:cs="Arial" w:eastAsia="Arial" w:hAnsi="Arial"/>
                <w:sz w:val="18"/>
                <w:szCs w:val="18"/>
                <w:b w:val="1"/>
                <w:bCs w:val="1"/>
                <w:color w:val="auto"/>
              </w:rPr>
              <w:t>— ACCRUED EXPENSES AND OTHER LIABILITIES</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 consist of the following:</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2019</w:t>
            </w:r>
          </w:p>
        </w:tc>
        <w:tc>
          <w:tcPr>
            <w:tcW w:w="200" w:type="dxa"/>
            <w:vAlign w:val="bottom"/>
          </w:tcPr>
          <w:p>
            <w:pPr>
              <w:spacing w:after="0"/>
              <w:rPr>
                <w:sz w:val="24"/>
                <w:szCs w:val="2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9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3,824,950</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1,353,987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Professional fees</w:t>
            </w:r>
          </w:p>
        </w:tc>
        <w:tc>
          <w:tcPr>
            <w:tcW w:w="9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314,213</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455,545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4,139,163</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1,809,532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4</w:t>
            </w:r>
          </w:p>
        </w:tc>
        <w:tc>
          <w:tcPr>
            <w:tcW w:w="5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NET LOSS PER SHARE OF COMMON STOCK</w:t>
            </w:r>
          </w:p>
        </w:tc>
        <w:tc>
          <w:tcPr>
            <w:tcW w:w="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0" w:type="dxa"/>
            <w:vAlign w:val="bottom"/>
            <w:vMerge w:val="continue"/>
          </w:tcPr>
          <w:p>
            <w:pPr>
              <w:spacing w:after="0"/>
              <w:rPr>
                <w:sz w:val="24"/>
                <w:szCs w:val="24"/>
                <w:color w:val="auto"/>
              </w:rPr>
            </w:pPr>
          </w:p>
        </w:tc>
        <w:tc>
          <w:tcPr>
            <w:tcW w:w="572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Diluted loss per share is the same as basic loss per share for all periods presented as the effects of potentially dilutive items were anti-dilutive given the Company’s net loss. Basic loss per share is computed by dividing net loss by the weighted-average number of common shares outstanding.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per share for common stockholders: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06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(72,183,490)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(50,171,287)</w:t>
            </w:r>
          </w:p>
        </w:tc>
        <w:tc>
          <w:tcPr>
            <w:tcW w:w="100" w:type="dxa"/>
            <w:vAlign w:val="bottom"/>
            <w:shd w:val="clear" w:color="auto" w:fill="CFF0FC"/>
          </w:tcPr>
          <w:p>
            <w:pPr>
              <w:spacing w:after="0"/>
              <w:rPr>
                <w:sz w:val="19"/>
                <w:szCs w:val="19"/>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39,014,302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38,792,581</w:t>
            </w:r>
          </w:p>
        </w:tc>
        <w:tc>
          <w:tcPr>
            <w:tcW w:w="100" w:type="dxa"/>
            <w:vAlign w:val="bottom"/>
          </w:tcPr>
          <w:p>
            <w:pPr>
              <w:spacing w:after="0"/>
              <w:rPr>
                <w:sz w:val="19"/>
                <w:szCs w:val="19"/>
                <w:color w:val="auto"/>
              </w:rPr>
            </w:pPr>
          </w:p>
        </w:tc>
      </w:tr>
      <w:tr>
        <w:trPr>
          <w:trHeight w:val="230"/>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1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(1.85)</w:t>
            </w:r>
          </w:p>
        </w:tc>
        <w:tc>
          <w:tcPr>
            <w:tcW w:w="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(1.29)</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securities outstanding at December 31, 2019 and 2018 have been excluded from the calculation of weighted average shares outstanding as their effect on the calculation of loss per share is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7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316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0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14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3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9,040,328</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8,498,047</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Restricted stock units</w:t>
            </w:r>
          </w:p>
        </w:tc>
        <w:tc>
          <w:tcPr>
            <w:tcW w:w="4380" w:type="dxa"/>
            <w:vAlign w:val="bottom"/>
            <w:gridSpan w:val="2"/>
          </w:tcPr>
          <w:p>
            <w:pPr>
              <w:jc w:val="right"/>
              <w:spacing w:after="0"/>
              <w:rPr>
                <w:sz w:val="20"/>
                <w:szCs w:val="20"/>
                <w:color w:val="auto"/>
              </w:rPr>
            </w:pPr>
            <w:r>
              <w:rPr>
                <w:rFonts w:ascii="Arial" w:cs="Arial" w:eastAsia="Arial" w:hAnsi="Arial"/>
                <w:sz w:val="18"/>
                <w:szCs w:val="18"/>
                <w:color w:val="auto"/>
              </w:rPr>
              <w:t>68,650</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127,300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4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675"/>
        </w:trPr>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00" w:type="dxa"/>
            <w:vAlign w:val="bottom"/>
            <w:gridSpan w:val="3"/>
          </w:tcPr>
          <w:p>
            <w:pPr>
              <w:ind w:left="1280"/>
              <w:spacing w:after="0"/>
              <w:rPr>
                <w:sz w:val="20"/>
                <w:szCs w:val="20"/>
                <w:color w:val="auto"/>
              </w:rPr>
            </w:pPr>
            <w:r>
              <w:rPr>
                <w:rFonts w:ascii="Arial" w:cs="Arial" w:eastAsia="Arial" w:hAnsi="Arial"/>
                <w:sz w:val="18"/>
                <w:szCs w:val="18"/>
                <w:color w:val="auto"/>
              </w:rPr>
              <w:t>F-13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the licensor, granted the Company an exclusive license, with the right to sublicense, in the Minerva Territory, under (i) certain patent and patent applications to sell products containing any orexin 2 compound, controlled by the licensor and claimed in a licensor patent right as an active ingredient, and</w:t>
      </w:r>
    </w:p>
    <w:p>
      <w:pPr>
        <w:spacing w:after="0" w:line="1" w:lineRule="exact"/>
        <w:rPr>
          <w:sz w:val="20"/>
          <w:szCs w:val="20"/>
          <w:color w:val="auto"/>
        </w:rPr>
      </w:pPr>
    </w:p>
    <w:p>
      <w:pPr>
        <w:ind w:right="160" w:firstLine="8"/>
        <w:spacing w:after="0" w:line="271"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seltorexant for any use in humans. In addition, upon regulatory approval in the Minerva Territory (and earlier if certain default events occur), the Company will have rights to manufacture seltorexant (also known as JNJ-42847922). The Company has granted to the licensor an exclusive license, with the right to sublicense, under all patent rights and know-how controlled by the Company covering selective antagonists of orexin-2 receptors, including seltorexant, to sell those compounds outside the Minerva Territory. In consideration of the licenses granted on July 7, 2014, the Company made a license fee payment of $22.0 million, which was included as a component of research and development expense in 2014.</w:t>
      </w:r>
    </w:p>
    <w:p>
      <w:pPr>
        <w:spacing w:after="0" w:line="17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 xml:space="preserve">The Company accounts for the Agreement as a joint risk-sharing collaboration in accordance with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Payments between the Company and the licensor with respect to each party’s share of seltorexant development costs that have been incurred pursuant to the joint development plan are recorded within research and development expenses or general and administrative expenses, as applicable, in the accompanying consolidated statements of operations due to the joint risk-sharing nature of the activities.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6, 2016, the Company and Janssen agreed that “Decision Point 2” had been reached as defined under the Agreement. As neither party exercised their right to withdraw from the Agreement, the Company paid Janssen $3.5 million and has incurred direct expenses of $0.3 million related to development activities under the current phase of development. During the year ended December 31, 2019 and 2018, the Company recorded an expense of zero for certain development activities in accordance with the terms of the Agreement.</w:t>
      </w:r>
    </w:p>
    <w:p>
      <w:pPr>
        <w:spacing w:after="0" w:line="18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In June 2017, the Company entered into an amendment (“the Amendment”) to the Agreement. The effectiveness of the Amendment was contingent upon approval of its terms by the European Commission and the closing of the acquisition of Actelion Ltd. by affiliates of Janssen. These conditions were subsequently met, and the Amendment became effective on August 29, 2017. Under the Amendment, Janssen has waived its right to royalties on seltorexant insomnia sales in the Minerva Territory. The Company retains all of its rights to seltorexant, including commercialization of the molecule for the treatment of insomnia and as an adjunctive therapy for MDD, which include an exclusive license in the Minerva Territory, with royalties payable by the Company to Janssen on seltorexant sales outside of the insomnia indication. Royalties on sales outside of the Minerva Territory are payable by Janssen to the Company. Janssen made an upfront payment to the Company of $30 million upon the effectiveness of the Amendment and agreed to make a $20 million payment at the start of a Phase 3 insomnia trial for seltorexant and a $20 million payment when 50% of the patients are enrolled in this trial. Janssen further agreed to waive development payments from the Company until completion of the Phase 2b development milestone, which is referred to as “Decision Point 4”. Top-line results have been reported from three Phase 2b trials and one Phase 1b trial with seltorexant. The $30 million payment and $11.2 million in previously accrued collaborative expenses, which were forgiven upon the effective date of the Amendment, are earned and recognized as revenue as the services are performed from the commencement of Phase 3 development to the completion of the development activities using the proportional performance method. The $30 million payment along with the $11.2 million in previously accrued collaborative expenses have been included under deferred revenue on the Company’s balance sheet at December 31, 2019 and 2018. If we opt out of the program, then any remaining deferred revenue would be recognized at the time of the opt out. In connection with the Amendment, the Company repurchased all of the approximately 3.9 million shares of its common stock previously owned by Johnson &amp; Johnson Innovation-JJDC Inc. at a per share price of $0.0001, for an aggregate purchase price of approximately $389.</w:t>
      </w:r>
    </w:p>
    <w:p>
      <w:pPr>
        <w:spacing w:after="0" w:line="19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As a result of the Amendment, the Company assumed strategic control of matters relating to the clinical development of seltorexant for insomnia and has no further financial obligations until after Decision Point 4. After Decision Point 4, both the Company and Janssen have the right to opt-out of the Agreement.</w:t>
      </w:r>
    </w:p>
    <w:p>
      <w:pPr>
        <w:spacing w:after="0" w:line="18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If both parties elect to continue past Decision Point 4 into Phase 3, the Company would be obligated to fund the clinical trials related to insomnia, receive up to $40 million in milestone payments from Janssen, and be responsible for 40% of all costs incurred in the Phase 3 MDD program.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78" w:name="page79"/>
    <w:bookmarkEnd w:id="78"/>
    <w:p>
      <w:pPr>
        <w:ind w:right="60"/>
        <w:spacing w:after="0" w:line="290" w:lineRule="auto"/>
        <w:rPr>
          <w:sz w:val="20"/>
          <w:szCs w:val="20"/>
          <w:color w:val="auto"/>
        </w:rPr>
      </w:pPr>
      <w:r>
        <w:rPr>
          <w:rFonts w:ascii="Arial" w:cs="Arial" w:eastAsia="Arial" w:hAnsi="Arial"/>
          <w:sz w:val="16"/>
          <w:szCs w:val="16"/>
          <w:color w:val="auto"/>
        </w:rPr>
        <w:t>After reviewing the data from the Phase 2b trials already conducted, the Company is not in agreement with Janssen that Decision Point 4 under the Agreement has been reached. Under the Agreement, the Company’s cost-sharing obligations do not begin until Decision Point 4 has been reached. The Company has the right to opt-out of the Agreement at any time after Decision Point 4, and if it opts-out, the Company will collect a royalty on worldwide sales of seltorexant in the mid-single digits with no further obligations to Janssen. If Janssen opts-out, the Minerva Territory would be expanded to include North America and the Company would pay Janssen single digit royalties on sales of seltorexant outside of the insomnia indication. In January 2020, Janssen invoiced the Company $3.4 million, representing the Company’s 40% portion of the Phase 3 development costs through December 31, 2019. Janssen estimates it will spend approximately $100 million in Phase 3 development costs in 2020. The Company has been conducting discussions with Janssen regarding this disagreement and the Company has not accrued any Phase 3 development costs incurred by Janssen (See Note 9).</w:t>
      </w:r>
    </w:p>
    <w:p>
      <w:pPr>
        <w:spacing w:after="0" w:line="16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 determined that the license under the Amendment is not considered to be a separate deliverable as it contains no value without the development activities performed under the Agreement. The participation in the joint steering committee under the Amendment is considered to be not separable from the development activities and therefore the two deliverables are combined into a single unit of account. The Company concluded that the milestone payments are related to future performance obligations and will be recognized as those performance obligations are performed by the Company. Similarly, the Company will recognize royalty revenues in the periods of the sale of the related products, provided that no future performance obligations exist and revenue recognition is limited to amounts for which it is probable that a significant reversal will not occur.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6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1.83%, (iii) an expected life of 10 years and (iv) no dividend payments. The fair value of the warrants was included as a discount to the term loans drawn at such time and also as a component of additional paid-in capital and were amortized to interest expense over the term of the loan. Although the term loans were repaid in August 2018, all related warrants were outstanding and exercisable as of December 31, 2019.</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7 — STOCK AWARD PLAN AND STOCK-BASED COMPENSATION</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December 2013, the Company adopted the 2013 Equity Incentive Plan (as subsequently amended and restated, the “Plan”), which provides for the issuance of options, stock appreciation rights, stock awards and stock units. On January 1, 2018, in accordance with the terms of the Plan, the total shares authorized for issuance under the plan increased by 750,000 to 6,531,333. This increase represents the lesser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Further, pursuant to Nasdaq listing rules, the Company issued inducement awards in December 2017 to the Company’s President outside of the Plan in the form of an option to purchase 775,000 shares of the Company’s common stock and a restricted stock unit award to purchase 40,000 shares of the Company’s common stock. In June 2018, the Company increased the aggregate number of shares of common stock authorized for issuance under the Plan by 2,500,000 shares. Stock option activity for employees and non-employees for the year ended December 31, 2019 is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Terms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8,498,047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671,656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(87,500)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(41,875)</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20" w:type="dxa"/>
            <w:vAlign w:val="bottom"/>
            <w:gridSpan w:val="2"/>
          </w:tcPr>
          <w:p>
            <w:pPr>
              <w:spacing w:after="0"/>
              <w:rPr>
                <w:sz w:val="20"/>
                <w:szCs w:val="20"/>
                <w:color w:val="auto"/>
              </w:rPr>
            </w:pPr>
            <w:r>
              <w:rPr>
                <w:rFonts w:ascii="Arial" w:cs="Arial" w:eastAsia="Arial" w:hAnsi="Arial"/>
                <w:sz w:val="18"/>
                <w:szCs w:val="18"/>
                <w:color w:val="auto"/>
              </w:rPr>
              <w:t>Outstanding December 31, 2019</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9,040,328</w:t>
            </w:r>
          </w:p>
        </w:tc>
        <w:tc>
          <w:tcPr>
            <w:tcW w:w="120" w:type="dxa"/>
            <w:vAlign w:val="bottom"/>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7,420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December 31,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5,493,050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6,039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Available for future grant</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gridSpan w:val="2"/>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December 31, 2019 was $5.04 per share. Total unrecognized compensation costs related to non-vested stock options at December 31, 2019 were approximately $17.9 million and are expected to be recognized within future operating results over a weighted-average period of 2.59 years. The total intrinsic value of the options exercised during the years ended December 31, 2019 and 2018 was approximately $0.2 million and $0.8 million, respectively.</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to employees during the years ended December 31, 2019 and 2018, the Company utilized the following assumptions: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24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Borders>
              <w:top w:val="single" w:sz="8" w:color="auto"/>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center"/>
              <w:ind w:right="73"/>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5.5-6.25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90"/>
              </w:rPr>
              <w:t>5.5-6.25</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55"/>
              <w:spacing w:after="0"/>
              <w:rPr>
                <w:sz w:val="20"/>
                <w:szCs w:val="20"/>
                <w:color w:val="auto"/>
              </w:rPr>
            </w:pPr>
            <w:r>
              <w:rPr>
                <w:rFonts w:ascii="Arial" w:cs="Arial" w:eastAsia="Arial" w:hAnsi="Arial"/>
                <w:sz w:val="18"/>
                <w:szCs w:val="18"/>
                <w:color w:val="auto"/>
                <w:w w:val="90"/>
              </w:rPr>
              <w:t>1.78%-1.96%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3"/>
              <w:spacing w:after="0"/>
              <w:rPr>
                <w:sz w:val="20"/>
                <w:szCs w:val="20"/>
                <w:color w:val="auto"/>
              </w:rPr>
            </w:pPr>
            <w:r>
              <w:rPr>
                <w:rFonts w:ascii="Arial" w:cs="Arial" w:eastAsia="Arial" w:hAnsi="Arial"/>
                <w:sz w:val="18"/>
                <w:szCs w:val="18"/>
                <w:color w:val="auto"/>
                <w:w w:val="91"/>
              </w:rPr>
              <w:t>2.33-3.01%</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2"/>
              </w:rPr>
              <w:t>69%-78%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73"/>
              <w:spacing w:after="0"/>
              <w:rPr>
                <w:sz w:val="20"/>
                <w:szCs w:val="20"/>
                <w:color w:val="auto"/>
              </w:rPr>
            </w:pPr>
            <w:r>
              <w:rPr>
                <w:rFonts w:ascii="Arial" w:cs="Arial" w:eastAsia="Arial" w:hAnsi="Arial"/>
                <w:sz w:val="18"/>
                <w:szCs w:val="18"/>
                <w:color w:val="auto"/>
                <w:w w:val="90"/>
              </w:rPr>
              <w:t>76-83%</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Dividend yield</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center"/>
              <w:ind w:right="7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15"/>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common</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2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4.21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5.57</w:t>
            </w:r>
          </w:p>
        </w:tc>
        <w:tc>
          <w:tcPr>
            <w:tcW w:w="100" w:type="dxa"/>
            <w:vAlign w:val="bottom"/>
            <w:shd w:val="clear" w:color="auto" w:fill="CFF0FC"/>
          </w:tcPr>
          <w:p>
            <w:pPr>
              <w:spacing w:after="0"/>
              <w:rPr>
                <w:sz w:val="20"/>
                <w:szCs w:val="20"/>
                <w:color w:val="auto"/>
              </w:rPr>
            </w:pPr>
          </w:p>
        </w:tc>
      </w:tr>
    </w:tbl>
    <w:p>
      <w:pPr>
        <w:spacing w:after="0" w:line="229" w:lineRule="exact"/>
        <w:rPr>
          <w:sz w:val="20"/>
          <w:szCs w:val="20"/>
          <w:color w:val="auto"/>
        </w:rPr>
      </w:pPr>
    </w:p>
    <w:p>
      <w:pPr>
        <w:ind w:right="240"/>
        <w:spacing w:after="0" w:line="265" w:lineRule="auto"/>
        <w:rPr>
          <w:sz w:val="20"/>
          <w:szCs w:val="20"/>
          <w:color w:val="auto"/>
        </w:rPr>
      </w:pPr>
      <w:r>
        <w:rPr>
          <w:rFonts w:ascii="Arial" w:cs="Arial" w:eastAsia="Arial" w:hAnsi="Arial"/>
          <w:sz w:val="18"/>
          <w:szCs w:val="18"/>
          <w:color w:val="auto"/>
        </w:rPr>
        <w:t>The Company from time to time grants options to purchase common stock to non-employees for services rendered and records expense ratably over the vesting period of each award. The Company estimates the fair value of the stock options using the Black-Scholes valuation model at each reporting date. The Company granted 37,216 stock options to non-employees and recorded stock-based compensation expense of $0.7 million during the year ended December 31, 2019. The Company granted 215,000 stock options to non-employees and recorded stock-based compensation expense of $1.0 million during the year ended December 31, 2018.</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For stock options granted to non-employees, the Company utilized the following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7"/>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174"/>
              <w:spacing w:after="0" w:line="155"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174"/>
              <w:spacing w:after="0"/>
              <w:rPr>
                <w:sz w:val="20"/>
                <w:szCs w:val="20"/>
                <w:color w:val="auto"/>
              </w:rPr>
            </w:pPr>
            <w:r>
              <w:rPr>
                <w:rFonts w:ascii="Arial" w:cs="Arial" w:eastAsia="Arial" w:hAnsi="Arial"/>
                <w:sz w:val="18"/>
                <w:szCs w:val="18"/>
                <w:color w:val="auto"/>
                <w:w w:val="85"/>
              </w:rPr>
              <w:t>6.25</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6"/>
              <w:spacing w:after="0"/>
              <w:rPr>
                <w:sz w:val="20"/>
                <w:szCs w:val="20"/>
                <w:color w:val="auto"/>
              </w:rPr>
            </w:pPr>
            <w:r>
              <w:rPr>
                <w:rFonts w:ascii="Arial" w:cs="Arial" w:eastAsia="Arial" w:hAnsi="Arial"/>
                <w:sz w:val="18"/>
                <w:szCs w:val="18"/>
                <w:color w:val="auto"/>
                <w:w w:val="92"/>
              </w:rPr>
              <w:t>0.3-9.9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center"/>
              <w:ind w:right="174"/>
              <w:spacing w:after="0"/>
              <w:rPr>
                <w:sz w:val="20"/>
                <w:szCs w:val="20"/>
                <w:color w:val="auto"/>
              </w:rPr>
            </w:pPr>
            <w:r>
              <w:rPr>
                <w:rFonts w:ascii="Arial" w:cs="Arial" w:eastAsia="Arial" w:hAnsi="Arial"/>
                <w:sz w:val="18"/>
                <w:szCs w:val="18"/>
                <w:color w:val="auto"/>
                <w:w w:val="90"/>
              </w:rPr>
              <w:t>1.78%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color w:val="auto"/>
                <w:w w:val="91"/>
              </w:rPr>
              <w:t>2.39-2.89%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right="174"/>
              <w:spacing w:after="0"/>
              <w:rPr>
                <w:sz w:val="20"/>
                <w:szCs w:val="20"/>
                <w:color w:val="auto"/>
              </w:rPr>
            </w:pPr>
            <w:r>
              <w:rPr>
                <w:rFonts w:ascii="Arial" w:cs="Arial" w:eastAsia="Arial" w:hAnsi="Arial"/>
                <w:sz w:val="18"/>
                <w:szCs w:val="18"/>
                <w:color w:val="auto"/>
                <w:w w:val="94"/>
              </w:rPr>
              <w:t>69%</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16"/>
              <w:spacing w:after="0"/>
              <w:rPr>
                <w:sz w:val="20"/>
                <w:szCs w:val="20"/>
                <w:color w:val="auto"/>
              </w:rPr>
            </w:pPr>
            <w:r>
              <w:rPr>
                <w:rFonts w:ascii="Arial" w:cs="Arial" w:eastAsia="Arial" w:hAnsi="Arial"/>
                <w:sz w:val="18"/>
                <w:szCs w:val="18"/>
                <w:color w:val="auto"/>
                <w:w w:val="91"/>
              </w:rPr>
              <w:t>75-109%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Dividend yield</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center"/>
              <w:ind w:right="154"/>
              <w:spacing w:after="0"/>
              <w:rPr>
                <w:sz w:val="20"/>
                <w:szCs w:val="20"/>
                <w:color w:val="auto"/>
              </w:rPr>
            </w:pPr>
            <w:r>
              <w:rPr>
                <w:rFonts w:ascii="Arial" w:cs="Arial" w:eastAsia="Arial" w:hAnsi="Arial"/>
                <w:sz w:val="18"/>
                <w:szCs w:val="18"/>
                <w:color w:val="auto"/>
                <w:w w:val="92"/>
              </w:rPr>
              <w:t>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right="36"/>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reporting date fair value per share of</w:t>
            </w:r>
          </w:p>
        </w:tc>
        <w:tc>
          <w:tcPr>
            <w:tcW w:w="7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5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common stock</w:t>
            </w:r>
          </w:p>
        </w:tc>
        <w:tc>
          <w:tcPr>
            <w:tcW w:w="98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34"/>
              <w:spacing w:after="0"/>
              <w:rPr>
                <w:sz w:val="20"/>
                <w:szCs w:val="20"/>
                <w:color w:val="auto"/>
              </w:rPr>
            </w:pPr>
            <w:r>
              <w:rPr>
                <w:rFonts w:ascii="Arial" w:cs="Arial" w:eastAsia="Arial" w:hAnsi="Arial"/>
                <w:sz w:val="18"/>
                <w:szCs w:val="18"/>
                <w:color w:val="auto"/>
              </w:rPr>
              <w:t>4.48</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560" w:type="dxa"/>
            <w:vAlign w:val="bottom"/>
            <w:gridSpan w:val="2"/>
          </w:tcPr>
          <w:p>
            <w:pPr>
              <w:spacing w:after="0"/>
              <w:rPr>
                <w:sz w:val="20"/>
                <w:szCs w:val="20"/>
                <w:color w:val="auto"/>
              </w:rPr>
            </w:pPr>
            <w:r>
              <w:rPr>
                <w:rFonts w:ascii="Arial" w:cs="Arial" w:eastAsia="Arial" w:hAnsi="Arial"/>
                <w:sz w:val="18"/>
                <w:szCs w:val="18"/>
                <w:color w:val="auto"/>
              </w:rPr>
              <w:t>RSU activity under the Plan for the year ended December 31, 2019 is as follows:</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January 1, 2019</w:t>
            </w:r>
          </w:p>
        </w:tc>
        <w:tc>
          <w:tcPr>
            <w:tcW w:w="7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127,300</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7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(58,650)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Forfeited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December 31, 2019</w:t>
            </w: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68,650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8"/>
          <w:szCs w:val="18"/>
          <w:color w:val="auto"/>
        </w:rPr>
        <w:t>RSUs awarded to employees generally vest one</w:t>
      </w:r>
      <w:r>
        <w:rPr>
          <w:rFonts w:ascii="MS PGothic" w:cs="MS PGothic" w:eastAsia="MS PGothic" w:hAnsi="MS PGothic"/>
          <w:sz w:val="18"/>
          <w:szCs w:val="18"/>
          <w:color w:val="auto"/>
        </w:rPr>
        <w:t>‑</w:t>
      </w:r>
      <w:r>
        <w:rPr>
          <w:rFonts w:ascii="Arial" w:cs="Arial" w:eastAsia="Arial" w:hAnsi="Arial"/>
          <w:sz w:val="18"/>
          <w:szCs w:val="18"/>
          <w:color w:val="auto"/>
        </w:rPr>
        <w:t>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December 31, 2019 was approximately $0.7 million and is expected to be recognized within future operating results over a period of 1.11 years. The total fair value of shares vested during the years ended December 31, 2019 and 2018 was approximately $0.4 million and $0.5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1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2,646,210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2,257,102</w:t>
            </w:r>
          </w:p>
        </w:tc>
        <w:tc>
          <w:tcPr>
            <w:tcW w:w="100" w:type="dxa"/>
            <w:vAlign w:val="bottom"/>
            <w:shd w:val="clear" w:color="auto" w:fill="CFF0FC"/>
          </w:tcPr>
          <w:p>
            <w:pPr>
              <w:spacing w:after="0"/>
              <w:rPr>
                <w:sz w:val="19"/>
                <w:szCs w:val="19"/>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6,527,055</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5,925,576</w:t>
            </w:r>
          </w:p>
        </w:tc>
        <w:tc>
          <w:tcPr>
            <w:tcW w:w="100" w:type="dxa"/>
            <w:vAlign w:val="bottom"/>
            <w:tcBorders>
              <w:bottom w:val="single" w:sz="8" w:color="CFF0FC"/>
            </w:tcBorders>
          </w:tcPr>
          <w:p>
            <w:pPr>
              <w:spacing w:after="0"/>
              <w:rPr>
                <w:sz w:val="19"/>
                <w:szCs w:val="19"/>
                <w:color w:val="auto"/>
              </w:rPr>
            </w:pP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9,173,265</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8,182,678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foreign and state income taxes for the years ended December 31, 2019 and 2018 are as follows: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237"/>
        </w:trPr>
        <w:tc>
          <w:tcPr>
            <w:tcW w:w="4500" w:type="dxa"/>
            <w:vAlign w:val="bottom"/>
            <w:tcBorders>
              <w:bottom w:val="single" w:sz="8" w:color="CFF0FC"/>
            </w:tcBorders>
          </w:tcPr>
          <w:p>
            <w:pPr>
              <w:spacing w:after="0"/>
              <w:rPr>
                <w:sz w:val="20"/>
                <w:szCs w:val="20"/>
                <w:color w:val="auto"/>
              </w:rPr>
            </w:pPr>
          </w:p>
        </w:tc>
        <w:tc>
          <w:tcPr>
            <w:tcW w:w="166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20"/>
                <w:szCs w:val="20"/>
                <w:color w:val="auto"/>
              </w:rPr>
            </w:pPr>
          </w:p>
        </w:tc>
        <w:tc>
          <w:tcPr>
            <w:tcW w:w="80" w:type="dxa"/>
            <w:vAlign w:val="bottom"/>
            <w:tcBorders>
              <w:top w:val="single" w:sz="8" w:color="auto"/>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xml:space="preserve">2018 </w:t>
            </w:r>
            <w:r>
              <w:rPr>
                <w:rFonts w:ascii="Arial" w:cs="Arial" w:eastAsia="Arial" w:hAnsi="Arial"/>
                <w:sz w:val="12"/>
                <w:szCs w:val="12"/>
                <w:b w:val="1"/>
                <w:bCs w:val="1"/>
                <w:color w:val="auto"/>
              </w:rPr>
              <w:t>(1)</w:t>
            </w:r>
          </w:p>
        </w:tc>
        <w:tc>
          <w:tcPr>
            <w:tcW w:w="100" w:type="dxa"/>
            <w:vAlign w:val="bottom"/>
            <w:tcBorders>
              <w:bottom w:val="single" w:sz="8" w:color="CFF0FC"/>
            </w:tcBorders>
          </w:tcPr>
          <w:p>
            <w:pPr>
              <w:spacing w:after="0"/>
              <w:rPr>
                <w:sz w:val="20"/>
                <w:szCs w:val="20"/>
                <w:color w:val="auto"/>
              </w:rPr>
            </w:pPr>
          </w:p>
        </w:tc>
      </w:tr>
      <w:tr>
        <w:trPr>
          <w:trHeight w:val="223"/>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 (benefit)</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9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Pr>
          <w:p>
            <w:pPr>
              <w:ind w:left="240"/>
              <w:spacing w:after="0"/>
              <w:rPr>
                <w:sz w:val="20"/>
                <w:szCs w:val="20"/>
                <w:color w:val="auto"/>
              </w:rPr>
            </w:pPr>
            <w:r>
              <w:rPr>
                <w:rFonts w:ascii="Arial" w:cs="Arial" w:eastAsia="Arial" w:hAnsi="Arial"/>
                <w:sz w:val="18"/>
                <w:szCs w:val="18"/>
                <w:color w:val="auto"/>
              </w:rPr>
              <w:t>State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provision (benefit)</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Federal</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(2,119,709)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r>
      <w:tr>
        <w:trPr>
          <w:trHeight w:val="229"/>
        </w:trPr>
        <w:tc>
          <w:tcPr>
            <w:tcW w:w="4500" w:type="dxa"/>
            <w:vAlign w:val="bottom"/>
          </w:tcPr>
          <w:p>
            <w:pPr>
              <w:ind w:left="240"/>
              <w:spacing w:after="0"/>
              <w:rPr>
                <w:sz w:val="20"/>
                <w:szCs w:val="20"/>
                <w:color w:val="auto"/>
              </w:rPr>
            </w:pPr>
            <w:r>
              <w:rPr>
                <w:rFonts w:ascii="Arial" w:cs="Arial" w:eastAsia="Arial" w:hAnsi="Arial"/>
                <w:sz w:val="18"/>
                <w:szCs w:val="18"/>
                <w:color w:val="auto"/>
              </w:rPr>
              <w:t>State</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(134,423)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23"/>
        </w:trPr>
        <w:tc>
          <w:tcPr>
            <w:tcW w:w="4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provision (benefit)</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(2,254,132)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60" w:right="4160" w:hanging="5088"/>
        <w:spacing w:after="0" w:line="527" w:lineRule="auto"/>
        <w:tabs>
          <w:tab w:leader="none" w:pos="8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was no tax provision for income taxes for the year ended December 31, 2018. 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557" w:right="49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Net deferred tax assets (liabilities) as of December 31, 2019 and 2018 consist of the following:</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780" w:type="dxa"/>
            <w:vAlign w:val="bottom"/>
            <w:tcBorders>
              <w:bottom w:val="single" w:sz="8" w:color="CFF0FC"/>
            </w:tcBorders>
          </w:tcPr>
          <w:p>
            <w:pPr>
              <w:spacing w:after="0"/>
              <w:rPr>
                <w:sz w:val="13"/>
                <w:szCs w:val="13"/>
                <w:color w:val="auto"/>
              </w:rPr>
            </w:pPr>
          </w:p>
        </w:tc>
        <w:tc>
          <w:tcPr>
            <w:tcW w:w="13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6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20,988,129</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15,049,549</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29,446,106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22,072,598</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7,518,780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5,532,341</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Pr>
          <w:p>
            <w:pPr>
              <w:ind w:left="240"/>
              <w:spacing w:after="0"/>
              <w:rPr>
                <w:sz w:val="20"/>
                <w:szCs w:val="20"/>
                <w:color w:val="auto"/>
              </w:rPr>
            </w:pPr>
            <w:r>
              <w:rPr>
                <w:rFonts w:ascii="Arial" w:cs="Arial" w:eastAsia="Arial" w:hAnsi="Arial"/>
                <w:sz w:val="18"/>
                <w:szCs w:val="18"/>
                <w:color w:val="auto"/>
              </w:rPr>
              <w:t>Deferred start-up and license costs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5,327,213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5,929,901</w:t>
            </w: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11,249,174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11,249,174</w:t>
            </w:r>
          </w:p>
        </w:tc>
        <w:tc>
          <w:tcPr>
            <w:tcW w:w="10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1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74,676,836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59,978,678</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(72,324,255)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(54,687,950)</w:t>
            </w:r>
          </w:p>
        </w:tc>
      </w:tr>
      <w:tr>
        <w:trPr>
          <w:trHeight w:val="223"/>
        </w:trPr>
        <w:tc>
          <w:tcPr>
            <w:tcW w:w="4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assets</w:t>
            </w:r>
          </w:p>
        </w:tc>
        <w:tc>
          <w:tcPr>
            <w:tcW w:w="1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2,352,581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5,290,728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(4,152,640)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(9,343,440)</w:t>
            </w: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Other</w:t>
            </w: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(3,297)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(4,776)</w:t>
            </w:r>
          </w:p>
        </w:tc>
      </w:tr>
      <w:tr>
        <w:trPr>
          <w:trHeight w:val="223"/>
        </w:trPr>
        <w:tc>
          <w:tcPr>
            <w:tcW w:w="47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13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(4,155,937)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(9,348,216)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780" w:type="dxa"/>
            <w:vAlign w:val="bottom"/>
          </w:tcPr>
          <w:p>
            <w:pPr>
              <w:ind w:left="24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(1,803,356)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(4,057,488)</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the Company’s effective tax rate and the federal statutory rate for the years ended December 31, 2019 and 2018 are as follows:</w:t>
      </w:r>
    </w:p>
    <w:p>
      <w:pPr>
        <w:spacing w:after="0" w:line="33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30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96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(21.00%)</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Permanent differences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(0.37%)</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9"/>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w:t>
            </w: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Valuation allowance</w:t>
            </w: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24.39%</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20.62%</w:t>
            </w:r>
          </w:p>
        </w:tc>
        <w:tc>
          <w:tcPr>
            <w:tcW w:w="0" w:type="dxa"/>
            <w:vAlign w:val="bottom"/>
          </w:tcPr>
          <w:p>
            <w:pPr>
              <w:spacing w:after="0"/>
              <w:rPr>
                <w:sz w:val="1"/>
                <w:szCs w:val="1"/>
                <w:color w:val="auto"/>
              </w:rPr>
            </w:pPr>
          </w:p>
        </w:tc>
      </w:tr>
      <w:tr>
        <w:trPr>
          <w:trHeight w:val="20"/>
        </w:trPr>
        <w:tc>
          <w:tcPr>
            <w:tcW w:w="59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3.03%</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$17.6 million and increased by $12.8 million during the years ended December 31, 2019 and 2018.</w:t>
      </w:r>
    </w:p>
    <w:p>
      <w:pPr>
        <w:spacing w:after="0" w:line="19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December 31, 2019, the Company had approximately $75.9 million of Federal net operating losses that will begin to expire in 2027. As of December 31, 2019, the Company's wholly owned subsidiary had approximately $1.7 million of operating losses in Switzerland which will expire in 2020. As of December 31, 2019, the Company had approximately $7.7 million of New Jersey and approximately $63.9 million of Massachusetts operating losses that will begin to expire in 2029 and 2033, respectively. As of December 31, 2019, the Company had approximately $0.2 million of federal research and development credits that will begin to expire in 2027. The Internal Revenue Code ("IRC") limits the amounts of net operating loss carryforwards that a company may use in any one year in the event of certain cumulative changes in ownership over a three-year period as described in Section 382 of the IRS. The Company has not performed a detailed analysis to determine whether an ownership change has occurred as of December 31, 2019.</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December 22, 2017, the United States enacted tax reform legislation commonly known as the Tax Cuts and Jobs Act (the “Act”), resulting in significant modifications to existing law. The Company completed the accounting for the effects of the Act during 2017. The Company’s financial statements for the year ended December 31, 2017 reflected the effects of the Act which included a reduction in the corporate tax rate from 34% to 21%. Accordingly, the Company’s deferred tax assets and liabilities were revalued at the enacted rates expected to be effective in 2018 and in future years; the reduction in federal rate from 34% to 21% resulted in no impact to total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spacing w:after="0" w:line="259" w:lineRule="auto"/>
        <w:rPr>
          <w:sz w:val="20"/>
          <w:szCs w:val="20"/>
          <w:color w:val="auto"/>
        </w:rPr>
      </w:pPr>
      <w:r>
        <w:rPr>
          <w:rFonts w:ascii="Arial" w:cs="Arial" w:eastAsia="Arial" w:hAnsi="Arial"/>
          <w:sz w:val="18"/>
          <w:szCs w:val="18"/>
          <w:color w:val="auto"/>
        </w:rPr>
        <w:t>income tax expense. In addition to the federal rate change impact, the Company accounted for the impact of legislation on the timing of deferred tax positions and overall financial statement presentation, resulting in a total income tax benefit of $9.4 million related to future implications of indefinite lived deferred tax positions in 2017. As the accounting for the effects was complete during 2017, no further changes impacted tax positions during the period ending December 31, 2019 and 2018.</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2012 to the present.</w:t>
      </w:r>
    </w:p>
    <w:p>
      <w:pPr>
        <w:spacing w:after="0" w:line="184"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As of December 31, 2019 and 2018, the Company had no liability recorded for unrecognized tax benefits. The Company classifies penalties and interest expense related to income tax liabilities as an income tax expense. There were no interest and penalties recognized in the statements of operations for the years ended December 31, 2019 and 2018, or accrued on the balance sheets as of December 31, 2019 and 2018.</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From time to time, the Company may be subject to various legal proceedings and claims that arise in the ordinary course of the Company’s business activities. While the outcome of these claims cannot be predicted with certainty, management does not believe that the outcome of any of these other legal matters will have a material adverse effect on the Company’s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Disagreement with Janssen</w:t>
      </w:r>
    </w:p>
    <w:p>
      <w:pPr>
        <w:spacing w:after="0" w:line="22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After reviewing the data from the Phase 2b trials already conducted, the Company is not in agreement with Janssen that Decision Point 4 under the Agreement has been reached. Under the Agreement, the Company’s cost-sharing obligations do not begin until Decision Point 4 has been reached. Following occurrence of Decision Point 4, Janssen is responsible for 60% of the cost of Phase 3 development in all indications except insomnia and the Company is responsible for 40%. The Company has the right to opt-out of the Agreement at any time after Decision Point 4, and if it opts-out, the Company will collect a royalty on worldwide sales of seltorexant in the mid-single digits with no further obligations to Janssen. In January 2020, Janssen invoiced the Company $3.4 million, representing the Company’s 40% portion of the Phase 3 development costs through December 31, 2019. Janssen estimates it will spend approximately $100 million in Phase 3 development costs in 2020. The Company has been conducting discussions with Janssen regarding this disagreement and the Company has not accrued any Phase 3 development costs incurred by Janssen.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10 – Leases, for the Company’s current lease commitments.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LEASES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will expire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will recognize the remaining expense in accordance with ASC 842.</w:t>
      </w:r>
    </w:p>
    <w:p>
      <w:pPr>
        <w:spacing w:after="0" w:line="17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Throughout the Term, the Company is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years ended December 31, 2019:</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3" w:name="page84"/>
    <w:bookmarkEnd w:id="83"/>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179,269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7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170,780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w w:val="99"/>
              </w:rPr>
              <w:t>1.6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Future minimum Sublease payments under the Company’s non-cancelable operating Sublease as of December 31, 2019 and December 31, 2018, are as follows: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(21,892)</w:t>
            </w: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Total operating Sublease liabilities at December 31, 2019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284,130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192,004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476,802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(57,122)</w:t>
            </w: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Sublease liabilities at December 31, 2018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419,680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2016, the Company entered into a services agreement with V-Watch SA (“V-Watch”), for approximately $105 thousand for the use of V-Watch’s SomnoArt device for monitoring sleep in the roluperidone Phase 2b and MIN-117 Phase 2a trials. The Company’s Chief Executive Officer is the chairman of the board of directors of V-Watch. Funds affiliated with Index Ventures, a stockholder of the Company, hold greater than 10% of the outstanding capital stock of V-Watch.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Also refer to Note 5 – Co-Development and License Agreement for additional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12 — QUARTERLY RESULTS (Unaudited)</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w w:val="98"/>
              </w:rPr>
              <w:t>March 31, 2019</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w w:val="92"/>
              </w:rPr>
              <w:t>June 30, 2019</w:t>
            </w:r>
          </w:p>
        </w:tc>
        <w:tc>
          <w:tcPr>
            <w:tcW w:w="14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September 30, 2019</w:t>
            </w:r>
          </w:p>
        </w:tc>
        <w:tc>
          <w:tcPr>
            <w:tcW w:w="12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1"/>
              </w:rPr>
              <w:t>December 31, 2019</w:t>
            </w:r>
          </w:p>
        </w:tc>
        <w:tc>
          <w:tcPr>
            <w:tcW w:w="80" w:type="dxa"/>
            <w:vAlign w:val="bottom"/>
          </w:tcPr>
          <w:p>
            <w:pPr>
              <w:spacing w:after="0"/>
              <w:rPr>
                <w:sz w:val="13"/>
                <w:szCs w:val="13"/>
                <w:color w:val="auto"/>
              </w:rPr>
            </w:pPr>
          </w:p>
        </w:tc>
      </w:tr>
      <w:tr>
        <w:trPr>
          <w:trHeight w:val="156"/>
        </w:trPr>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3"/>
          </w:tcPr>
          <w:p>
            <w:pPr>
              <w:jc w:val="center"/>
              <w:ind w:right="7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(16,312)</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(12,904)</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(14,282)</w:t>
            </w: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(32,367)</w:t>
            </w: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(15,827)</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(12,476)</w:t>
            </w: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(13,962)</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(29,918)</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(0.36)</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(0.77)</w:t>
            </w:r>
          </w:p>
        </w:tc>
      </w:tr>
      <w:tr>
        <w:trPr>
          <w:trHeight w:val="391"/>
        </w:trPr>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left="458"/>
              <w:spacing w:after="0"/>
              <w:rPr>
                <w:sz w:val="20"/>
                <w:szCs w:val="20"/>
                <w:color w:val="auto"/>
              </w:rPr>
            </w:pPr>
            <w:r>
              <w:rPr>
                <w:rFonts w:ascii="Arial" w:cs="Arial" w:eastAsia="Arial" w:hAnsi="Arial"/>
                <w:sz w:val="14"/>
                <w:szCs w:val="14"/>
                <w:b w:val="1"/>
                <w:bCs w:val="1"/>
                <w:color w:val="auto"/>
                <w:w w:val="93"/>
              </w:rPr>
              <w:t>Three Months Ended</w:t>
            </w: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56"/>
        </w:trPr>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Borders>
              <w:bottom w:val="single" w:sz="8" w:color="auto"/>
            </w:tcBorders>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w w:val="98"/>
              </w:rPr>
              <w:t>March 31, 2018</w:t>
            </w:r>
          </w:p>
        </w:tc>
        <w:tc>
          <w:tcPr>
            <w:tcW w:w="1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178"/>
              <w:spacing w:after="0" w:line="155" w:lineRule="exact"/>
              <w:rPr>
                <w:sz w:val="20"/>
                <w:szCs w:val="20"/>
                <w:color w:val="auto"/>
              </w:rPr>
            </w:pPr>
            <w:r>
              <w:rPr>
                <w:rFonts w:ascii="Arial" w:cs="Arial" w:eastAsia="Arial" w:hAnsi="Arial"/>
                <w:sz w:val="14"/>
                <w:szCs w:val="14"/>
                <w:b w:val="1"/>
                <w:bCs w:val="1"/>
                <w:color w:val="auto"/>
                <w:w w:val="92"/>
              </w:rPr>
              <w:t>June 30, 2018</w:t>
            </w:r>
          </w:p>
        </w:tc>
        <w:tc>
          <w:tcPr>
            <w:tcW w:w="142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rPr>
              <w:t>September 30, 2018</w:t>
            </w:r>
          </w:p>
        </w:tc>
        <w:tc>
          <w:tcPr>
            <w:tcW w:w="1260" w:type="dxa"/>
            <w:vAlign w:val="bottom"/>
            <w:tcBorders>
              <w:bottom w:val="single" w:sz="8" w:color="auto"/>
            </w:tcBorders>
            <w:gridSpan w:val="2"/>
          </w:tcPr>
          <w:p>
            <w:pPr>
              <w:ind w:left="80"/>
              <w:spacing w:after="0" w:line="155" w:lineRule="exact"/>
              <w:rPr>
                <w:sz w:val="20"/>
                <w:szCs w:val="20"/>
                <w:color w:val="auto"/>
              </w:rPr>
            </w:pPr>
            <w:r>
              <w:rPr>
                <w:rFonts w:ascii="Arial" w:cs="Arial" w:eastAsia="Arial" w:hAnsi="Arial"/>
                <w:sz w:val="14"/>
                <w:szCs w:val="14"/>
                <w:b w:val="1"/>
                <w:bCs w:val="1"/>
                <w:color w:val="auto"/>
                <w:w w:val="91"/>
              </w:rPr>
              <w:t>December 31, 2018</w:t>
            </w:r>
          </w:p>
        </w:tc>
        <w:tc>
          <w:tcPr>
            <w:tcW w:w="80" w:type="dxa"/>
            <w:vAlign w:val="bottom"/>
          </w:tcPr>
          <w:p>
            <w:pPr>
              <w:spacing w:after="0"/>
              <w:rPr>
                <w:sz w:val="13"/>
                <w:szCs w:val="13"/>
                <w:color w:val="auto"/>
              </w:rPr>
            </w:pPr>
          </w:p>
        </w:tc>
      </w:tr>
      <w:tr>
        <w:trPr>
          <w:trHeight w:val="155"/>
        </w:trPr>
        <w:tc>
          <w:tcPr>
            <w:tcW w:w="3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3"/>
          </w:tcPr>
          <w:p>
            <w:pPr>
              <w:jc w:val="center"/>
              <w:ind w:right="70"/>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00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020" w:type="dxa"/>
            <w:vAlign w:val="bottom"/>
          </w:tcPr>
          <w:p>
            <w:pPr>
              <w:spacing w:after="0"/>
              <w:rPr>
                <w:sz w:val="20"/>
                <w:szCs w:val="20"/>
                <w:color w:val="auto"/>
              </w:rPr>
            </w:pPr>
            <w:r>
              <w:rPr>
                <w:rFonts w:ascii="Arial" w:cs="Arial" w:eastAsia="Arial" w:hAnsi="Arial"/>
                <w:sz w:val="18"/>
                <w:szCs w:val="18"/>
                <w:color w:val="auto"/>
              </w:rPr>
              <w:t>Operating loss</w:t>
            </w: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(12,744)</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(12,935)</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2"/>
              </w:rPr>
              <w:t>(12,424)</w:t>
            </w:r>
          </w:p>
        </w:tc>
        <w:tc>
          <w:tcPr>
            <w:tcW w:w="4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(13,627)</w:t>
            </w:r>
          </w:p>
        </w:tc>
      </w:tr>
      <w:tr>
        <w:trPr>
          <w:trHeight w:val="229"/>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(12,418)</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(12,529)</w:t>
            </w:r>
          </w:p>
        </w:tc>
        <w:tc>
          <w:tcPr>
            <w:tcW w:w="7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(12,021)</w:t>
            </w:r>
          </w:p>
        </w:tc>
        <w:tc>
          <w:tcPr>
            <w:tcW w:w="4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(13,203)</w:t>
            </w: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Loss per share, basic and diluted</w:t>
            </w:r>
          </w:p>
        </w:tc>
        <w:tc>
          <w:tcPr>
            <w:tcW w:w="1000" w:type="dxa"/>
            <w:vAlign w:val="bottom"/>
            <w:gridSpan w:val="2"/>
          </w:tcPr>
          <w:p>
            <w:pPr>
              <w:jc w:val="right"/>
              <w:ind w:right="14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(0.32)</w:t>
            </w:r>
          </w:p>
        </w:tc>
        <w:tc>
          <w:tcPr>
            <w:tcW w:w="720" w:type="dxa"/>
            <w:vAlign w:val="bottom"/>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420" w:type="dxa"/>
            <w:vAlign w:val="bottom"/>
          </w:tcPr>
          <w:p>
            <w:pPr>
              <w:ind w:lef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(0.34)</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5" w:name="page86"/>
    <w:bookmarkEnd w:id="85"/>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2019. Based on the evaluation of our disclosure controls and procedures as of December 31, 2019,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December 31, 2019,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2019,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6" w:name="page87"/>
    <w:bookmarkEnd w:id="86"/>
    <w:p>
      <w:pPr>
        <w:ind w:right="5040"/>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Minerva Neurosciences, Inc. </w:t>
      </w:r>
      <w:r>
        <w:rPr>
          <w:rFonts w:ascii="Arial" w:cs="Arial" w:eastAsia="Arial" w:hAnsi="Arial"/>
          <w:sz w:val="18"/>
          <w:szCs w:val="18"/>
          <w:b w:val="1"/>
          <w:bCs w:val="1"/>
          <w:color w:val="auto"/>
        </w:rPr>
        <w:t>Opinion on Internal Control over Financial Reporting</w:t>
      </w:r>
    </w:p>
    <w:p>
      <w:pPr>
        <w:spacing w:after="0" w:line="2"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Minerva Neurosciences, Inc. and subsidiaries (the “Company”)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March 9, 2020, expressed an unqualified opinion on those financial statements and included an explanatory paragraph related to the Company’s dispute with the counterparty to its co-development and license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7" w:name="page88"/>
    <w:bookmarkEnd w:id="87"/>
    <w:p>
      <w:pPr>
        <w:spacing w:after="0"/>
        <w:tabs>
          <w:tab w:leader="none" w:pos="14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88" w:name="page89"/>
    <w:bookmarkEnd w:id="88"/>
    <w:p>
      <w:pPr>
        <w:ind w:left="532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10 will be contained in the sections entitled “Election of Directors,” “Corporate Governance” and</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“Section 16(a) Beneficial Ownership Reporting Compliance” appearing in the definitive proxy statement we will file in connection with our 2020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35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2020 Annual Meeting of Stockholders and is incorporated by reference herein.</w:t>
      </w:r>
    </w:p>
    <w:p>
      <w:pPr>
        <w:spacing w:after="0" w:line="37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2020 Annual Meeting of Stockholders and is incorporated by reference herein.</w:t>
      </w:r>
    </w:p>
    <w:p>
      <w:pPr>
        <w:spacing w:after="0" w:line="3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Person Transactions, and Director Independence</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by this Item 13 will be contained in the sections entitled “Certain Relationships and Related Person Transactions” appearing in the definitive proxy statement we will file in connection with our 2020 Annual Meeting of Stockholders and is incorporated by reference herein.</w:t>
      </w:r>
    </w:p>
    <w:p>
      <w:pPr>
        <w:spacing w:after="0" w:line="30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14 will be contained in the section entitled “Corporate Governance—Principal Accountant Fees and Services” appearing in the definitive proxy statement we will file in connection with our 2020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89" w:name="page90"/>
    <w:bookmarkEnd w:id="89"/>
    <w:p>
      <w:pPr>
        <w:ind w:left="534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Documents filed as part of Form 10-K.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Sheets as of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Operations for the Years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Stockholders’ Equity for the Years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Cash Flows for the Years Ended December 31, 2019 and 2018</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 Schedules</w:t>
      </w:r>
    </w:p>
    <w:p>
      <w:pPr>
        <w:spacing w:after="0" w:line="117" w:lineRule="exact"/>
        <w:rPr>
          <w:sz w:val="20"/>
          <w:szCs w:val="20"/>
          <w:color w:val="auto"/>
        </w:rPr>
      </w:pPr>
    </w:p>
    <w:p>
      <w:pPr>
        <w:ind w:left="5540" w:right="659" w:hanging="5016"/>
        <w:spacing w:after="0" w:line="527" w:lineRule="auto"/>
        <w:rPr>
          <w:sz w:val="20"/>
          <w:szCs w:val="20"/>
          <w:color w:val="auto"/>
        </w:rPr>
      </w:pPr>
      <w:r>
        <w:rPr>
          <w:rFonts w:ascii="Arial" w:cs="Arial" w:eastAsia="Arial" w:hAnsi="Arial"/>
          <w:sz w:val="18"/>
          <w:szCs w:val="18"/>
          <w:color w:val="auto"/>
        </w:rPr>
        <w:t>Schedules have been omitted as all required information has been disclosed in the financial statements and related footnotes.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0" w:name="page91"/>
    <w:bookmarkEnd w:id="90"/>
    <w:p>
      <w:pPr>
        <w:ind w:left="260"/>
        <w:spacing w:after="0"/>
        <w:rPr>
          <w:sz w:val="20"/>
          <w:szCs w:val="20"/>
          <w:color w:val="auto"/>
        </w:rPr>
      </w:pPr>
      <w:r>
        <w:rPr>
          <w:rFonts w:ascii="Arial" w:cs="Arial" w:eastAsia="Arial" w:hAnsi="Arial"/>
          <w:sz w:val="18"/>
          <w:szCs w:val="18"/>
          <w:color w:val="auto"/>
        </w:rPr>
        <w:t>(3) Exhibits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as part of this Annual Report on Form 10-K or are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0" w:type="dxa"/>
            <w:vAlign w:val="bottom"/>
            <w:gridSpan w:val="19"/>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9"/>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240" w:type="dxa"/>
            <w:vAlign w:val="bottom"/>
            <w:tcBorders>
              <w:bottom w:val="single" w:sz="8" w:color="0000EE"/>
            </w:tcBorders>
            <w:gridSpan w:val="17"/>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Agreement and Plan of Merger of Sonkei Pharmaceuticals,</w:t>
              </w:r>
            </w:hyperlink>
          </w:p>
        </w:tc>
        <w:tc>
          <w:tcPr>
            <w:tcW w:w="260" w:type="dxa"/>
            <w:vAlign w:val="bottom"/>
            <w:gridSpan w:val="6"/>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110">
              <w:r>
                <w:rPr>
                  <w:rFonts w:ascii="Arial" w:cs="Arial" w:eastAsia="Arial" w:hAnsi="Arial"/>
                  <w:sz w:val="18"/>
                  <w:szCs w:val="18"/>
                  <w:color w:val="0000EE"/>
                  <w:w w:val="89"/>
                </w:rPr>
                <w:t>Inc. with and into Cyrenaic Pharmaceuticals, Inc., dated as</w:t>
              </w:r>
            </w:hyperlink>
          </w:p>
        </w:tc>
        <w:tc>
          <w:tcPr>
            <w:tcW w:w="28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of November 12,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4320" w:type="dxa"/>
            <w:vAlign w:val="bottom"/>
            <w:tcBorders>
              <w:bottom w:val="single" w:sz="8" w:color="0000EE"/>
            </w:tcBorders>
            <w:gridSpan w:val="20"/>
          </w:tcPr>
          <w:p>
            <w:pPr>
              <w:spacing w:after="0"/>
              <w:rPr>
                <w:rFonts w:ascii="Arial" w:cs="Arial" w:eastAsia="Arial" w:hAnsi="Arial"/>
                <w:sz w:val="18"/>
                <w:szCs w:val="18"/>
                <w:color w:val="0000EE"/>
                <w:w w:val="91"/>
              </w:rPr>
            </w:pPr>
            <w:hyperlink r:id="rId111">
              <w:r>
                <w:rPr>
                  <w:rFonts w:ascii="Arial" w:cs="Arial" w:eastAsia="Arial" w:hAnsi="Arial"/>
                  <w:sz w:val="18"/>
                  <w:szCs w:val="18"/>
                  <w:color w:val="0000EE"/>
                  <w:w w:val="91"/>
                </w:rPr>
                <w:t>Certificate of Merger Merging Sonkei Pharmaceuticals, Inc.</w:t>
              </w:r>
            </w:hyperlink>
          </w:p>
        </w:tc>
        <w:tc>
          <w:tcPr>
            <w:tcW w:w="18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with and into Cyrenaic Pharmaceuticals, Inc., dated as of</w:t>
              </w:r>
            </w:hyperlink>
          </w:p>
        </w:tc>
        <w:tc>
          <w:tcPr>
            <w:tcW w:w="3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3"/>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November 12,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8"/>
                <w:szCs w:val="18"/>
                <w:color w:val="0000EE"/>
                <w:w w:val="98"/>
              </w:rPr>
            </w:pPr>
            <w:hyperlink r:id="rId112">
              <w:r>
                <w:rPr>
                  <w:rFonts w:ascii="Arial" w:cs="Arial" w:eastAsia="Arial" w:hAnsi="Arial"/>
                  <w:sz w:val="18"/>
                  <w:szCs w:val="18"/>
                  <w:color w:val="0000EE"/>
                  <w:w w:val="98"/>
                </w:rPr>
                <w:t>Amended and Restated Certificate of Incorporation of the</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12">
              <w:r>
                <w:rPr>
                  <w:rFonts w:ascii="Arial" w:cs="Arial" w:eastAsia="Arial" w:hAnsi="Arial"/>
                  <w:sz w:val="18"/>
                  <w:szCs w:val="18"/>
                  <w:color w:val="0000EE"/>
                  <w:w w:val="87"/>
                </w:rPr>
                <w:t>Registrant</w:t>
              </w:r>
            </w:hyperlink>
          </w:p>
        </w:tc>
        <w:tc>
          <w:tcPr>
            <w:tcW w:w="3400" w:type="dxa"/>
            <w:vAlign w:val="bottom"/>
            <w:tcBorders>
              <w:top w:val="single" w:sz="8" w:color="0000EE"/>
            </w:tcBorders>
            <w:gridSpan w:val="12"/>
          </w:tcPr>
          <w:p>
            <w:pPr>
              <w:spacing w:after="0"/>
              <w:rPr>
                <w:sz w:val="17"/>
                <w:szCs w:val="17"/>
                <w:color w:val="auto"/>
              </w:rPr>
            </w:pPr>
          </w:p>
        </w:tc>
        <w:tc>
          <w:tcPr>
            <w:tcW w:w="360" w:type="dxa"/>
            <w:vAlign w:val="bottom"/>
            <w:gridSpan w:val="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8"/>
                <w:szCs w:val="18"/>
                <w:color w:val="0000EE"/>
              </w:rPr>
            </w:pPr>
            <w:hyperlink r:id="rId113">
              <w:r>
                <w:rPr>
                  <w:rFonts w:ascii="Arial" w:cs="Arial" w:eastAsia="Arial" w:hAnsi="Arial"/>
                  <w:sz w:val="18"/>
                  <w:szCs w:val="18"/>
                  <w:color w:val="0000EE"/>
                </w:rPr>
                <w:t>Amended and Restated Bylaws of the Registrant</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4,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114">
              <w:r>
                <w:rPr>
                  <w:rFonts w:ascii="Arial" w:cs="Arial" w:eastAsia="Arial" w:hAnsi="Arial"/>
                  <w:sz w:val="18"/>
                  <w:szCs w:val="18"/>
                  <w:color w:val="0000EE"/>
                  <w:w w:val="91"/>
                </w:rPr>
                <w:t>Form of Common Stock Certificate</w:t>
              </w:r>
            </w:hyperlink>
          </w:p>
        </w:tc>
        <w:tc>
          <w:tcPr>
            <w:tcW w:w="920" w:type="dxa"/>
            <w:vAlign w:val="bottom"/>
            <w:tcBorders>
              <w:top w:val="single" w:sz="8" w:color="0000EE"/>
            </w:tcBorders>
            <w:gridSpan w:val="3"/>
          </w:tcPr>
          <w:p>
            <w:pPr>
              <w:spacing w:after="0"/>
              <w:rPr>
                <w:sz w:val="24"/>
                <w:szCs w:val="24"/>
                <w:color w:val="auto"/>
              </w:rPr>
            </w:pPr>
          </w:p>
        </w:tc>
        <w:tc>
          <w:tcPr>
            <w:tcW w:w="1020" w:type="dxa"/>
            <w:vAlign w:val="bottom"/>
            <w:gridSpan w:val="1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90"/>
              </w:rPr>
            </w:pPr>
            <w:hyperlink r:id="rId115">
              <w:r>
                <w:rPr>
                  <w:rFonts w:ascii="Arial" w:cs="Arial" w:eastAsia="Arial" w:hAnsi="Arial"/>
                  <w:sz w:val="18"/>
                  <w:szCs w:val="18"/>
                  <w:color w:val="0000EE"/>
                  <w:w w:val="90"/>
                </w:rPr>
                <w:t>Investor Rights Agreement among the Registrant f/k/a</w:t>
              </w:r>
            </w:hyperlink>
          </w:p>
        </w:tc>
        <w:tc>
          <w:tcPr>
            <w:tcW w:w="60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Cyrenaic Pharmaceuticals, Inc. and certain of its security</w:t>
              </w:r>
            </w:hyperlink>
          </w:p>
        </w:tc>
        <w:tc>
          <w:tcPr>
            <w:tcW w:w="400" w:type="dxa"/>
            <w:vAlign w:val="bottom"/>
            <w:gridSpan w:val="1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holders, dated as of August 29, 2007</w:t>
              </w:r>
            </w:hyperlink>
          </w:p>
        </w:tc>
        <w:tc>
          <w:tcPr>
            <w:tcW w:w="18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8"/>
                <w:szCs w:val="18"/>
                <w:color w:val="0000EE"/>
                <w:w w:val="94"/>
              </w:rPr>
            </w:pPr>
            <w:hyperlink r:id="rId116">
              <w:r>
                <w:rPr>
                  <w:rFonts w:ascii="Arial" w:cs="Arial" w:eastAsia="Arial" w:hAnsi="Arial"/>
                  <w:sz w:val="18"/>
                  <w:szCs w:val="18"/>
                  <w:color w:val="0000EE"/>
                  <w:w w:val="94"/>
                </w:rPr>
                <w:t>Amendment No. 1 to Investor Rights Agreement among the</w:t>
              </w:r>
            </w:hyperlink>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r:id="rId116">
              <w:r>
                <w:rPr>
                  <w:rFonts w:ascii="Arial" w:cs="Arial" w:eastAsia="Arial" w:hAnsi="Arial"/>
                  <w:sz w:val="18"/>
                  <w:szCs w:val="18"/>
                  <w:color w:val="0000EE"/>
                  <w:w w:val="89"/>
                </w:rPr>
                <w:t>Registrant and certain of its security holders, dated as of</w:t>
              </w:r>
            </w:hyperlink>
          </w:p>
        </w:tc>
        <w:tc>
          <w:tcPr>
            <w:tcW w:w="260" w:type="dxa"/>
            <w:vAlign w:val="bottom"/>
            <w:tcBorders>
              <w:top w:val="single" w:sz="8" w:color="0000EE"/>
            </w:tcBorders>
            <w:gridSpan w:val="8"/>
          </w:tcPr>
          <w:p>
            <w:pPr>
              <w:spacing w:after="0"/>
              <w:rPr>
                <w:sz w:val="17"/>
                <w:szCs w:val="17"/>
                <w:color w:val="auto"/>
              </w:rPr>
            </w:pPr>
          </w:p>
        </w:tc>
        <w:tc>
          <w:tcPr>
            <w:tcW w:w="200" w:type="dxa"/>
            <w:vAlign w:val="bottom"/>
            <w:gridSpan w:val="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December 20, 2013</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4500" w:type="dxa"/>
            <w:vAlign w:val="bottom"/>
            <w:gridSpan w:val="23"/>
          </w:tcPr>
          <w:p>
            <w:pPr>
              <w:spacing w:after="0"/>
              <w:rPr>
                <w:rFonts w:ascii="Arial" w:cs="Arial" w:eastAsia="Arial" w:hAnsi="Arial"/>
                <w:sz w:val="18"/>
                <w:szCs w:val="18"/>
                <w:color w:val="0000EE"/>
                <w:w w:val="94"/>
              </w:rPr>
            </w:pPr>
            <w:hyperlink w:anchor="page96">
              <w:r>
                <w:rPr>
                  <w:rFonts w:ascii="Arial" w:cs="Arial" w:eastAsia="Arial" w:hAnsi="Arial"/>
                  <w:sz w:val="18"/>
                  <w:szCs w:val="18"/>
                  <w:color w:val="0000EE"/>
                  <w:w w:val="94"/>
                </w:rPr>
                <w:t>Description of Securities Registered Pursuant to Section 12</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of the Securities Exchange Act of 1934.</w:t>
              </w:r>
            </w:hyperlink>
          </w:p>
        </w:tc>
        <w:tc>
          <w:tcPr>
            <w:tcW w:w="24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180" w:type="dxa"/>
            <w:vAlign w:val="bottom"/>
            <w:tcBorders>
              <w:bottom w:val="single" w:sz="8" w:color="0000EE"/>
            </w:tcBorders>
            <w:gridSpan w:val="15"/>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Share Purchase Agreement between the Registrant, Mind-</w:t>
              </w:r>
            </w:hyperlink>
          </w:p>
        </w:tc>
        <w:tc>
          <w:tcPr>
            <w:tcW w:w="320" w:type="dxa"/>
            <w:vAlign w:val="bottom"/>
            <w:gridSpan w:val="8"/>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3"/>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NRG SA and Various Shareholders dated as of February 11,</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17">
              <w:r>
                <w:rPr>
                  <w:rFonts w:ascii="Arial" w:cs="Arial" w:eastAsia="Arial" w:hAnsi="Arial"/>
                  <w:sz w:val="18"/>
                  <w:szCs w:val="18"/>
                  <w:color w:val="0000EE"/>
                  <w:w w:val="84"/>
                </w:rPr>
                <w:t>2014</w:t>
              </w:r>
            </w:hyperlink>
          </w:p>
        </w:tc>
        <w:tc>
          <w:tcPr>
            <w:tcW w:w="3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Common Stock Purchase Agreement between Johnson &amp;</w:t>
              </w:r>
            </w:hyperlink>
          </w:p>
        </w:tc>
        <w:tc>
          <w:tcPr>
            <w:tcW w:w="380" w:type="dxa"/>
            <w:vAlign w:val="bottom"/>
            <w:gridSpan w:val="10"/>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S-1</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23"/>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Johnson Development Corporation and the Registrant, dated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as of February 13, 2014</w:t>
              </w:r>
            </w:hyperlink>
          </w:p>
        </w:tc>
        <w:tc>
          <w:tcPr>
            <w:tcW w:w="160" w:type="dxa"/>
            <w:vAlign w:val="bottom"/>
            <w:gridSpan w:val="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60"/>
          </w:cols>
          <w:pgMar w:left="320" w:top="449" w:right="319" w:bottom="1440" w:gutter="0" w:footer="0" w:header="0"/>
        </w:sectPr>
      </w:pPr>
    </w:p>
    <w:p>
      <w:pPr>
        <w:ind w:left="880" w:right="80" w:hanging="863"/>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119">
        <w:r>
          <w:rPr>
            <w:rFonts w:ascii="Arial" w:cs="Arial" w:eastAsia="Arial" w:hAnsi="Arial"/>
            <w:sz w:val="16"/>
            <w:szCs w:val="16"/>
            <w:u w:val="single" w:color="auto"/>
            <w:color w:val="0000EE"/>
          </w:rPr>
          <w:t>Loan Agreement by and among certain stockholders and</w:t>
        </w:r>
      </w:hyperlink>
      <w:r>
        <w:rPr>
          <w:rFonts w:ascii="Arial" w:cs="Arial" w:eastAsia="Arial" w:hAnsi="Arial"/>
          <w:sz w:val="16"/>
          <w:szCs w:val="16"/>
          <w:u w:val="single" w:color="auto"/>
          <w:color w:val="0000EE"/>
        </w:rPr>
        <w:t xml:space="preserve"> </w:t>
      </w:r>
      <w:hyperlink r:id="rId119">
        <w:r>
          <w:rPr>
            <w:rFonts w:ascii="Arial" w:cs="Arial" w:eastAsia="Arial" w:hAnsi="Arial"/>
            <w:sz w:val="16"/>
            <w:szCs w:val="16"/>
            <w:u w:val="single" w:color="auto"/>
            <w:color w:val="0000EE"/>
          </w:rPr>
          <w:t>their affiliates and the Registrant, dated as of April 30, 2014</w:t>
        </w:r>
      </w:hyperlink>
    </w:p>
    <w:p>
      <w:pPr>
        <w:spacing w:after="0" w:line="29" w:lineRule="exact"/>
        <w:rPr>
          <w:sz w:val="20"/>
          <w:szCs w:val="20"/>
          <w:color w:val="auto"/>
        </w:rPr>
      </w:pPr>
    </w:p>
    <w:p>
      <w:pPr>
        <w:ind w:left="880" w:right="140" w:hanging="863"/>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20">
        <w:r>
          <w:rPr>
            <w:rFonts w:ascii="Arial" w:cs="Arial" w:eastAsia="Arial" w:hAnsi="Arial"/>
            <w:sz w:val="16"/>
            <w:szCs w:val="16"/>
            <w:u w:val="single" w:color="auto"/>
            <w:color w:val="0000EE"/>
          </w:rPr>
          <w:t>Loan Agreement by and among certain stockholders and</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their affiliates and the Registrant, dated as of May 23, 2014</w:t>
        </w:r>
      </w:hyperlink>
    </w:p>
    <w:p>
      <w:pPr>
        <w:spacing w:after="0" w:line="29" w:lineRule="exact"/>
        <w:rPr>
          <w:sz w:val="20"/>
          <w:szCs w:val="20"/>
          <w:color w:val="auto"/>
        </w:rPr>
      </w:pPr>
    </w:p>
    <w:p>
      <w:pPr>
        <w:ind w:left="880" w:hanging="863"/>
        <w:spacing w:after="0" w:line="259"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21">
        <w:r>
          <w:rPr>
            <w:rFonts w:ascii="Arial" w:cs="Arial" w:eastAsia="Arial" w:hAnsi="Arial"/>
            <w:sz w:val="18"/>
            <w:szCs w:val="18"/>
            <w:u w:val="single" w:color="auto"/>
            <w:color w:val="0000EE"/>
          </w:rPr>
          <w:t>Stock Purchase Agreement between Care Capital</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Investments III LP, Index Ventures III L.P. and the Registrant</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f/k/a Cyrenaic Pharmaceuticals, Inc., dated as of August 29,</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2007</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10.26</w:t>
            </w:r>
          </w:p>
        </w:tc>
        <w:tc>
          <w:tcPr>
            <w:tcW w:w="1340" w:type="dxa"/>
            <w:vAlign w:val="bottom"/>
          </w:tcPr>
          <w:p>
            <w:pPr>
              <w:ind w:left="320"/>
              <w:spacing w:after="0"/>
              <w:rPr>
                <w:sz w:val="20"/>
                <w:szCs w:val="20"/>
                <w:color w:val="auto"/>
              </w:rPr>
            </w:pPr>
            <w:r>
              <w:rPr>
                <w:rFonts w:ascii="Arial" w:cs="Arial" w:eastAsia="Arial" w:hAnsi="Arial"/>
                <w:sz w:val="18"/>
                <w:szCs w:val="18"/>
                <w:color w:val="auto"/>
                <w:w w:val="87"/>
              </w:rPr>
              <w:t>June 10, 2014</w:t>
            </w:r>
          </w:p>
        </w:tc>
      </w:tr>
      <w:tr>
        <w:trPr>
          <w:trHeight w:val="55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10.27</w:t>
            </w:r>
          </w:p>
        </w:tc>
        <w:tc>
          <w:tcPr>
            <w:tcW w:w="1340" w:type="dxa"/>
            <w:vAlign w:val="bottom"/>
          </w:tcPr>
          <w:p>
            <w:pPr>
              <w:ind w:left="320"/>
              <w:spacing w:after="0"/>
              <w:rPr>
                <w:sz w:val="20"/>
                <w:szCs w:val="20"/>
                <w:color w:val="auto"/>
              </w:rPr>
            </w:pPr>
            <w:r>
              <w:rPr>
                <w:rFonts w:ascii="Arial" w:cs="Arial" w:eastAsia="Arial" w:hAnsi="Arial"/>
                <w:sz w:val="18"/>
                <w:szCs w:val="18"/>
                <w:color w:val="auto"/>
                <w:w w:val="87"/>
              </w:rPr>
              <w:t>June 10, 2014</w:t>
            </w:r>
          </w:p>
        </w:tc>
      </w:tr>
      <w:tr>
        <w:trPr>
          <w:trHeight w:val="553"/>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10.19</w:t>
            </w:r>
          </w:p>
        </w:tc>
        <w:tc>
          <w:tcPr>
            <w:tcW w:w="1340" w:type="dxa"/>
            <w:vAlign w:val="bottom"/>
          </w:tcPr>
          <w:p>
            <w:pPr>
              <w:ind w:left="340"/>
              <w:spacing w:after="0"/>
              <w:rPr>
                <w:sz w:val="20"/>
                <w:szCs w:val="20"/>
                <w:color w:val="auto"/>
              </w:rPr>
            </w:pPr>
            <w:r>
              <w:rPr>
                <w:rFonts w:ascii="Arial" w:cs="Arial" w:eastAsia="Arial" w:hAnsi="Arial"/>
                <w:sz w:val="18"/>
                <w:szCs w:val="18"/>
                <w:color w:val="auto"/>
                <w:w w:val="96"/>
              </w:rPr>
              <w:t>April 9, 2014</w:t>
            </w:r>
          </w:p>
        </w:tc>
      </w:tr>
    </w:tbl>
    <w:p>
      <w:pPr>
        <w:spacing w:after="0" w:line="738" w:lineRule="exact"/>
        <w:rPr>
          <w:rFonts w:ascii="Arial" w:cs="Arial" w:eastAsia="Arial" w:hAnsi="Arial"/>
          <w:sz w:val="18"/>
          <w:szCs w:val="18"/>
          <w:u w:val="single" w:color="auto"/>
          <w:color w:val="0000EE"/>
        </w:rPr>
      </w:pPr>
    </w:p>
    <w:p>
      <w:pPr>
        <w:sectPr>
          <w:pgSz w:w="11900" w:h="16838" w:orient="portrait"/>
          <w:cols w:equalWidth="0" w:num="2">
            <w:col w:w="5280" w:space="340"/>
            <w:col w:w="5640"/>
          </w:cols>
          <w:pgMar w:left="320" w:top="449" w:right="3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4500" w:type="dxa"/>
            <w:vAlign w:val="bottom"/>
            <w:gridSpan w:val="11"/>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Amendment No. 1 to Stock Purchase Agreement between</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10.20</w:t>
            </w:r>
          </w:p>
        </w:tc>
        <w:tc>
          <w:tcPr>
            <w:tcW w:w="268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Care Capital Investments III LP, Index Ventures III L.P. and</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4"/>
              </w:rPr>
            </w:pPr>
            <w:hyperlink r:id="rId122">
              <w:r>
                <w:rPr>
                  <w:rFonts w:ascii="Arial" w:cs="Arial" w:eastAsia="Arial" w:hAnsi="Arial"/>
                  <w:sz w:val="18"/>
                  <w:szCs w:val="18"/>
                  <w:color w:val="0000EE"/>
                  <w:w w:val="94"/>
                </w:rPr>
                <w:t>the Registrant and various Shareholders, dated as of March</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5"/>
              </w:rPr>
            </w:pPr>
            <w:hyperlink r:id="rId122">
              <w:r>
                <w:rPr>
                  <w:rFonts w:ascii="Arial" w:cs="Arial" w:eastAsia="Arial" w:hAnsi="Arial"/>
                  <w:sz w:val="18"/>
                  <w:szCs w:val="18"/>
                  <w:color w:val="0000EE"/>
                  <w:w w:val="85"/>
                </w:rPr>
                <w:t>28, 2014</w:t>
              </w:r>
            </w:hyperlink>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17"/>
        </w:trPr>
        <w:tc>
          <w:tcPr>
            <w:tcW w:w="88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4500" w:type="dxa"/>
            <w:vAlign w:val="bottom"/>
            <w:gridSpan w:val="11"/>
          </w:tcPr>
          <w:p>
            <w:pPr>
              <w:spacing w:after="0"/>
              <w:rPr>
                <w:rFonts w:ascii="Arial" w:cs="Arial" w:eastAsia="Arial" w:hAnsi="Arial"/>
                <w:sz w:val="18"/>
                <w:szCs w:val="18"/>
                <w:color w:val="0000EE"/>
              </w:rPr>
            </w:pPr>
            <w:hyperlink r:id="rId123">
              <w:r>
                <w:rPr>
                  <w:rFonts w:ascii="Arial" w:cs="Arial" w:eastAsia="Arial" w:hAnsi="Arial"/>
                  <w:sz w:val="18"/>
                  <w:szCs w:val="18"/>
                  <w:color w:val="0000EE"/>
                </w:rPr>
                <w:t>Employment Agreement between Remy Luthringer and</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10.22</w:t>
            </w:r>
          </w:p>
        </w:tc>
        <w:tc>
          <w:tcPr>
            <w:tcW w:w="268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20"/>
        </w:trPr>
        <w:tc>
          <w:tcPr>
            <w:tcW w:w="8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Mind-NRG SA, the Registrant's subsidiary, dated as of April</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8, 2014</w:t>
              </w:r>
            </w:hyperlink>
          </w:p>
        </w:tc>
        <w:tc>
          <w:tcPr>
            <w:tcW w:w="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4"/>
                <w:szCs w:val="14"/>
                <w:color w:val="auto"/>
              </w:rPr>
              <w:t>†</w:t>
            </w:r>
          </w:p>
        </w:tc>
        <w:tc>
          <w:tcPr>
            <w:tcW w:w="4080" w:type="dxa"/>
            <w:vAlign w:val="bottom"/>
            <w:tcBorders>
              <w:bottom w:val="single" w:sz="8" w:color="0000EE"/>
            </w:tcBorders>
            <w:gridSpan w:val="6"/>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Employment Agreement between Geoff Race and Mind-</w:t>
              </w:r>
            </w:hyperlink>
          </w:p>
        </w:tc>
        <w:tc>
          <w:tcPr>
            <w:tcW w:w="420" w:type="dxa"/>
            <w:vAlign w:val="bottom"/>
            <w:gridSpan w:val="5"/>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88"/>
              </w:rPr>
              <w:t>10.23</w:t>
            </w:r>
          </w:p>
        </w:tc>
        <w:tc>
          <w:tcPr>
            <w:tcW w:w="268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196"/>
        </w:trPr>
        <w:tc>
          <w:tcPr>
            <w:tcW w:w="880" w:type="dxa"/>
            <w:vAlign w:val="bottom"/>
          </w:tcPr>
          <w:p>
            <w:pPr>
              <w:spacing w:after="0"/>
              <w:rPr>
                <w:sz w:val="17"/>
                <w:szCs w:val="17"/>
                <w:color w:val="auto"/>
              </w:rPr>
            </w:pPr>
          </w:p>
        </w:tc>
        <w:tc>
          <w:tcPr>
            <w:tcW w:w="4500" w:type="dxa"/>
            <w:vAlign w:val="bottom"/>
            <w:gridSpan w:val="11"/>
          </w:tcPr>
          <w:p>
            <w:pPr>
              <w:spacing w:after="0" w:line="19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NRG SA, the Registrant's subsidiary, dated as of April 8,</w:t>
              </w:r>
            </w:hyperlink>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4">
              <w:r>
                <w:rPr>
                  <w:rFonts w:ascii="Arial" w:cs="Arial" w:eastAsia="Arial" w:hAnsi="Arial"/>
                  <w:sz w:val="18"/>
                  <w:szCs w:val="18"/>
                  <w:color w:val="0000EE"/>
                  <w:w w:val="84"/>
                </w:rPr>
                <w:t>2014</w:t>
              </w:r>
            </w:hyperlink>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4"/>
                <w:szCs w:val="14"/>
                <w:color w:val="auto"/>
              </w:rPr>
              <w:t>†</w:t>
            </w:r>
          </w:p>
        </w:tc>
        <w:tc>
          <w:tcPr>
            <w:tcW w:w="4500" w:type="dxa"/>
            <w:vAlign w:val="bottom"/>
            <w:gridSpan w:val="11"/>
          </w:tcPr>
          <w:p>
            <w:pPr>
              <w:spacing w:after="0"/>
              <w:rPr>
                <w:rFonts w:ascii="Arial" w:cs="Arial" w:eastAsia="Arial" w:hAnsi="Arial"/>
                <w:sz w:val="18"/>
                <w:szCs w:val="18"/>
                <w:color w:val="0000EE"/>
                <w:w w:val="95"/>
              </w:rPr>
            </w:pPr>
            <w:hyperlink r:id="rId125">
              <w:r>
                <w:rPr>
                  <w:rFonts w:ascii="Arial" w:cs="Arial" w:eastAsia="Arial" w:hAnsi="Arial"/>
                  <w:sz w:val="18"/>
                  <w:szCs w:val="18"/>
                  <w:color w:val="0000EE"/>
                  <w:w w:val="95"/>
                </w:rPr>
                <w:t>Form of Indemnification Agreement between the Registrant</w:t>
              </w:r>
            </w:hyperlink>
          </w:p>
        </w:tc>
        <w:tc>
          <w:tcPr>
            <w:tcW w:w="88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333-195169</w:t>
            </w:r>
          </w:p>
        </w:tc>
        <w:tc>
          <w:tcPr>
            <w:tcW w:w="98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2680" w:type="dxa"/>
            <w:vAlign w:val="bottom"/>
          </w:tcPr>
          <w:p>
            <w:pPr>
              <w:ind w:left="320"/>
              <w:spacing w:after="0"/>
              <w:rPr>
                <w:sz w:val="20"/>
                <w:szCs w:val="20"/>
                <w:color w:val="auto"/>
              </w:rPr>
            </w:pPr>
            <w:r>
              <w:rPr>
                <w:rFonts w:ascii="Arial" w:cs="Arial" w:eastAsia="Arial" w:hAnsi="Arial"/>
                <w:sz w:val="18"/>
                <w:szCs w:val="18"/>
                <w:color w:val="auto"/>
              </w:rPr>
              <w:t>June 10, 2014</w:t>
            </w:r>
          </w:p>
        </w:tc>
      </w:tr>
      <w:tr>
        <w:trPr>
          <w:trHeight w:val="196"/>
        </w:trPr>
        <w:tc>
          <w:tcPr>
            <w:tcW w:w="880" w:type="dxa"/>
            <w:vAlign w:val="bottom"/>
          </w:tcPr>
          <w:p>
            <w:pPr>
              <w:spacing w:after="0"/>
              <w:rPr>
                <w:sz w:val="17"/>
                <w:szCs w:val="17"/>
                <w:color w:val="auto"/>
              </w:rPr>
            </w:pPr>
          </w:p>
        </w:tc>
        <w:tc>
          <w:tcPr>
            <w:tcW w:w="43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and each of its directors and executive officers</w:t>
              </w:r>
            </w:hyperlink>
          </w:p>
        </w:tc>
        <w:tc>
          <w:tcPr>
            <w:tcW w:w="20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574"/>
        </w:trPr>
        <w:tc>
          <w:tcPr>
            <w:tcW w:w="8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72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color w:val="auto"/>
              </w:rPr>
              <w:t>71</w:t>
            </w:r>
          </w:p>
        </w:tc>
        <w:tc>
          <w:tcPr>
            <w:tcW w:w="1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0" w:type="dxa"/>
            <w:vAlign w:val="bottom"/>
            <w:gridSpan w:val="28"/>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8"/>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80" w:type="dxa"/>
            <w:vAlign w:val="bottom"/>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4"/>
                <w:szCs w:val="24"/>
                <w:color w:val="auto"/>
              </w:rPr>
            </w:pPr>
          </w:p>
        </w:tc>
        <w:tc>
          <w:tcPr>
            <w:tcW w:w="4380" w:type="dxa"/>
            <w:vAlign w:val="bottom"/>
            <w:tcBorders>
              <w:bottom w:val="single" w:sz="8" w:color="0000EE"/>
            </w:tcBorders>
            <w:gridSpan w:val="32"/>
          </w:tcPr>
          <w:p>
            <w:pPr>
              <w:spacing w:after="0"/>
              <w:rPr>
                <w:rFonts w:ascii="Arial" w:cs="Arial" w:eastAsia="Arial" w:hAnsi="Arial"/>
                <w:sz w:val="18"/>
                <w:szCs w:val="18"/>
                <w:color w:val="0000EE"/>
                <w:w w:val="90"/>
              </w:rPr>
            </w:pPr>
            <w:hyperlink r:id="rId128">
              <w:r>
                <w:rPr>
                  <w:rFonts w:ascii="Arial" w:cs="Arial" w:eastAsia="Arial" w:hAnsi="Arial"/>
                  <w:sz w:val="18"/>
                  <w:szCs w:val="18"/>
                  <w:color w:val="0000EE"/>
                  <w:w w:val="90"/>
                </w:rPr>
                <w:t>License Agreement between Mitsubishi Pharma Corporation</w:t>
              </w:r>
            </w:hyperlink>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and the Registrant f/k/a Cyrenaic Pharmaceuticals, Inc.,</w:t>
              </w:r>
            </w:hyperlink>
          </w:p>
        </w:tc>
        <w:tc>
          <w:tcPr>
            <w:tcW w:w="480" w:type="dxa"/>
            <w:vAlign w:val="bottom"/>
            <w:gridSpan w:val="1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28">
              <w:r>
                <w:rPr>
                  <w:rFonts w:ascii="Arial" w:cs="Arial" w:eastAsia="Arial" w:hAnsi="Arial"/>
                  <w:sz w:val="18"/>
                  <w:szCs w:val="18"/>
                  <w:color w:val="0000EE"/>
                  <w:w w:val="88"/>
                </w:rPr>
                <w:t>dated as of August 30, 2007</w:t>
              </w:r>
            </w:hyperlink>
          </w:p>
        </w:tc>
        <w:tc>
          <w:tcPr>
            <w:tcW w:w="2480" w:type="dxa"/>
            <w:vAlign w:val="bottom"/>
            <w:gridSpan w:val="2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3980" w:type="dxa"/>
            <w:vAlign w:val="bottom"/>
            <w:tcBorders>
              <w:bottom w:val="single" w:sz="8" w:color="0000EE"/>
            </w:tcBorders>
            <w:gridSpan w:val="19"/>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Amendment to License Agreement between Mitsubishi</w:t>
              </w:r>
            </w:hyperlink>
          </w:p>
        </w:tc>
        <w:tc>
          <w:tcPr>
            <w:tcW w:w="520" w:type="dxa"/>
            <w:vAlign w:val="bottom"/>
            <w:gridSpan w:val="15"/>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r:id="rId129">
              <w:r>
                <w:rPr>
                  <w:rFonts w:ascii="Arial" w:cs="Arial" w:eastAsia="Arial" w:hAnsi="Arial"/>
                  <w:sz w:val="18"/>
                  <w:szCs w:val="18"/>
                  <w:color w:val="0000EE"/>
                  <w:w w:val="89"/>
                </w:rPr>
                <w:t>Tanabe Pharma Corporation and the Registrant f/k/a</w:t>
              </w:r>
            </w:hyperlink>
          </w:p>
        </w:tc>
        <w:tc>
          <w:tcPr>
            <w:tcW w:w="74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w w:val="96"/>
              </w:rPr>
            </w:pPr>
            <w:hyperlink r:id="rId129">
              <w:r>
                <w:rPr>
                  <w:rFonts w:ascii="Arial" w:cs="Arial" w:eastAsia="Arial" w:hAnsi="Arial"/>
                  <w:sz w:val="18"/>
                  <w:szCs w:val="18"/>
                  <w:color w:val="0000EE"/>
                  <w:w w:val="96"/>
                </w:rPr>
                <w:t>Cyrenaic Pharmaceuticals, Inc., dated as of June 16, 2011</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4"/>
                <w:szCs w:val="24"/>
                <w:color w:val="auto"/>
              </w:rPr>
            </w:pPr>
          </w:p>
        </w:tc>
        <w:tc>
          <w:tcPr>
            <w:tcW w:w="37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r:id="rId130">
              <w:r>
                <w:rPr>
                  <w:rFonts w:ascii="Arial" w:cs="Arial" w:eastAsia="Arial" w:hAnsi="Arial"/>
                  <w:sz w:val="18"/>
                  <w:szCs w:val="18"/>
                  <w:color w:val="0000EE"/>
                  <w:w w:val="89"/>
                </w:rPr>
                <w:t>Second Amendment to License Agreement between</w:t>
              </w:r>
            </w:hyperlink>
          </w:p>
        </w:tc>
        <w:tc>
          <w:tcPr>
            <w:tcW w:w="400" w:type="dxa"/>
            <w:vAlign w:val="bottom"/>
            <w:tcBorders>
              <w:top w:val="single" w:sz="8" w:color="0000EE"/>
            </w:tcBorders>
            <w:gridSpan w:val="9"/>
          </w:tcPr>
          <w:p>
            <w:pPr>
              <w:spacing w:after="0"/>
              <w:rPr>
                <w:sz w:val="24"/>
                <w:szCs w:val="24"/>
                <w:color w:val="auto"/>
              </w:rPr>
            </w:pPr>
          </w:p>
        </w:tc>
        <w:tc>
          <w:tcPr>
            <w:tcW w:w="360" w:type="dxa"/>
            <w:vAlign w:val="bottom"/>
            <w:gridSpan w:val="9"/>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Mitsubishi Tanabe Pharma Corporation and the Registrant,</w:t>
              </w:r>
            </w:hyperlink>
          </w:p>
        </w:tc>
        <w:tc>
          <w:tcPr>
            <w:tcW w:w="2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dated as of January 20, 2014</w:t>
              </w:r>
            </w:hyperlink>
          </w:p>
        </w:tc>
        <w:tc>
          <w:tcPr>
            <w:tcW w:w="244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24"/>
                <w:szCs w:val="24"/>
                <w:color w:val="auto"/>
              </w:rPr>
            </w:pPr>
          </w:p>
        </w:tc>
        <w:tc>
          <w:tcPr>
            <w:tcW w:w="4020" w:type="dxa"/>
            <w:vAlign w:val="bottom"/>
            <w:tcBorders>
              <w:bottom w:val="single" w:sz="8" w:color="0000EE"/>
            </w:tcBorders>
            <w:gridSpan w:val="21"/>
          </w:tcPr>
          <w:p>
            <w:pPr>
              <w:spacing w:after="0"/>
              <w:rPr>
                <w:rFonts w:ascii="Arial" w:cs="Arial" w:eastAsia="Arial" w:hAnsi="Arial"/>
                <w:sz w:val="18"/>
                <w:szCs w:val="18"/>
                <w:color w:val="0000EE"/>
                <w:w w:val="89"/>
              </w:rPr>
            </w:pPr>
            <w:hyperlink r:id="rId131">
              <w:r>
                <w:rPr>
                  <w:rFonts w:ascii="Arial" w:cs="Arial" w:eastAsia="Arial" w:hAnsi="Arial"/>
                  <w:sz w:val="18"/>
                  <w:szCs w:val="18"/>
                  <w:color w:val="0000EE"/>
                  <w:w w:val="89"/>
                </w:rPr>
                <w:t>License Agreement between Mitsubishi Tanabe Pharma</w:t>
              </w:r>
            </w:hyperlink>
          </w:p>
        </w:tc>
        <w:tc>
          <w:tcPr>
            <w:tcW w:w="480" w:type="dxa"/>
            <w:vAlign w:val="bottom"/>
            <w:gridSpan w:val="1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w w:val="97"/>
              </w:rPr>
            </w:pPr>
            <w:hyperlink r:id="rId131">
              <w:r>
                <w:rPr>
                  <w:rFonts w:ascii="Arial" w:cs="Arial" w:eastAsia="Arial" w:hAnsi="Arial"/>
                  <w:sz w:val="18"/>
                  <w:szCs w:val="18"/>
                  <w:color w:val="0000EE"/>
                  <w:w w:val="97"/>
                </w:rPr>
                <w:t>Corporation and the Registrant as successor in interest to</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Sonkei Pharmaceuticals, Inc., dated as of September 1, 2008</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4"/>
                <w:szCs w:val="24"/>
                <w:color w:val="auto"/>
              </w:rPr>
            </w:pPr>
          </w:p>
        </w:tc>
        <w:tc>
          <w:tcPr>
            <w:tcW w:w="398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Amendment to License Agreement between Mitsubishi</w:t>
              </w:r>
            </w:hyperlink>
          </w:p>
        </w:tc>
        <w:tc>
          <w:tcPr>
            <w:tcW w:w="360" w:type="dxa"/>
            <w:vAlign w:val="bottom"/>
            <w:tcBorders>
              <w:top w:val="single" w:sz="8" w:color="0000EE"/>
            </w:tcBorders>
            <w:gridSpan w:val="11"/>
          </w:tcPr>
          <w:p>
            <w:pPr>
              <w:spacing w:after="0"/>
              <w:rPr>
                <w:sz w:val="24"/>
                <w:szCs w:val="24"/>
                <w:color w:val="auto"/>
              </w:rPr>
            </w:pPr>
          </w:p>
        </w:tc>
        <w:tc>
          <w:tcPr>
            <w:tcW w:w="160" w:type="dxa"/>
            <w:vAlign w:val="bottom"/>
            <w:gridSpan w:val="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Tanabe Pharma Corporation and the Registrant, dated as of</w:t>
              </w:r>
            </w:hyperlink>
          </w:p>
        </w:tc>
        <w:tc>
          <w:tcPr>
            <w:tcW w:w="220" w:type="dxa"/>
            <w:vAlign w:val="bottom"/>
            <w:gridSpan w:val="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January 20, 2014</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4"/>
                <w:szCs w:val="24"/>
                <w:color w:val="auto"/>
              </w:rPr>
            </w:pPr>
          </w:p>
        </w:tc>
        <w:tc>
          <w:tcPr>
            <w:tcW w:w="4240" w:type="dxa"/>
            <w:vAlign w:val="bottom"/>
            <w:tcBorders>
              <w:bottom w:val="single" w:sz="8" w:color="0000EE"/>
            </w:tcBorders>
            <w:gridSpan w:val="27"/>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Co-Development and License Agreement between Janssen</w:t>
              </w:r>
            </w:hyperlink>
          </w:p>
        </w:tc>
        <w:tc>
          <w:tcPr>
            <w:tcW w:w="260" w:type="dxa"/>
            <w:vAlign w:val="bottom"/>
            <w:gridSpan w:val="7"/>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Pharmaceutica, N.V. and the Registrant, dated as of February</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r:id="rId133">
              <w:r>
                <w:rPr>
                  <w:rFonts w:ascii="Arial" w:cs="Arial" w:eastAsia="Arial" w:hAnsi="Arial"/>
                  <w:sz w:val="18"/>
                  <w:szCs w:val="18"/>
                  <w:color w:val="0000EE"/>
                  <w:w w:val="85"/>
                </w:rPr>
                <w:t>13, 2014</w:t>
              </w:r>
            </w:hyperlink>
          </w:p>
        </w:tc>
        <w:tc>
          <w:tcPr>
            <w:tcW w:w="1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4"/>
                <w:szCs w:val="14"/>
                <w:color w:val="auto"/>
              </w:rPr>
              <w:t>†</w:t>
            </w:r>
          </w:p>
        </w:tc>
        <w:tc>
          <w:tcPr>
            <w:tcW w:w="4000" w:type="dxa"/>
            <w:vAlign w:val="bottom"/>
            <w:tcBorders>
              <w:bottom w:val="single" w:sz="8" w:color="0000EE"/>
            </w:tcBorders>
            <w:gridSpan w:val="20"/>
          </w:tcPr>
          <w:p>
            <w:pPr>
              <w:spacing w:after="0"/>
              <w:rPr>
                <w:rFonts w:ascii="Arial" w:cs="Arial" w:eastAsia="Arial" w:hAnsi="Arial"/>
                <w:sz w:val="18"/>
                <w:szCs w:val="18"/>
                <w:color w:val="0000EE"/>
                <w:w w:val="89"/>
              </w:rPr>
            </w:pPr>
            <w:hyperlink r:id="rId134">
              <w:r>
                <w:rPr>
                  <w:rFonts w:ascii="Arial" w:cs="Arial" w:eastAsia="Arial" w:hAnsi="Arial"/>
                  <w:sz w:val="18"/>
                  <w:szCs w:val="18"/>
                  <w:color w:val="0000EE"/>
                  <w:w w:val="89"/>
                </w:rPr>
                <w:t>Employment Agreement between Joseph Reilly and the</w:t>
              </w:r>
            </w:hyperlink>
          </w:p>
        </w:tc>
        <w:tc>
          <w:tcPr>
            <w:tcW w:w="500" w:type="dxa"/>
            <w:vAlign w:val="bottom"/>
            <w:gridSpan w:val="14"/>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S-1/A</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10, 2014</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Registrant, dated as of December 23, 2013</w:t>
              </w:r>
            </w:hyperlink>
          </w:p>
        </w:tc>
        <w:tc>
          <w:tcPr>
            <w:tcW w:w="1440" w:type="dxa"/>
            <w:vAlign w:val="bottom"/>
            <w:gridSpan w:val="2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4"/>
                <w:szCs w:val="14"/>
                <w:color w:val="auto"/>
              </w:rPr>
              <w:t>†</w:t>
            </w:r>
          </w:p>
        </w:tc>
        <w:tc>
          <w:tcPr>
            <w:tcW w:w="4500" w:type="dxa"/>
            <w:vAlign w:val="bottom"/>
            <w:gridSpan w:val="34"/>
          </w:tcPr>
          <w:p>
            <w:pPr>
              <w:spacing w:after="0"/>
              <w:rPr>
                <w:rFonts w:ascii="Arial" w:cs="Arial" w:eastAsia="Arial" w:hAnsi="Arial"/>
                <w:sz w:val="18"/>
                <w:szCs w:val="18"/>
                <w:color w:val="0000EE"/>
                <w:w w:val="97"/>
              </w:rPr>
            </w:pPr>
            <w:hyperlink r:id="rId135">
              <w:r>
                <w:rPr>
                  <w:rFonts w:ascii="Arial" w:cs="Arial" w:eastAsia="Arial" w:hAnsi="Arial"/>
                  <w:sz w:val="18"/>
                  <w:szCs w:val="18"/>
                  <w:color w:val="0000EE"/>
                  <w:w w:val="97"/>
                </w:rPr>
                <w:t>Amended and Restated 2013 Equity Incentive Plan of the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11, 2018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35">
              <w:r>
                <w:rPr>
                  <w:rFonts w:ascii="Arial" w:cs="Arial" w:eastAsia="Arial" w:hAnsi="Arial"/>
                  <w:sz w:val="18"/>
                  <w:szCs w:val="18"/>
                  <w:color w:val="0000EE"/>
                  <w:w w:val="87"/>
                </w:rPr>
                <w:t>Registrant</w:t>
              </w:r>
            </w:hyperlink>
          </w:p>
        </w:tc>
        <w:tc>
          <w:tcPr>
            <w:tcW w:w="3380" w:type="dxa"/>
            <w:vAlign w:val="bottom"/>
            <w:tcBorders>
              <w:top w:val="single" w:sz="8" w:color="0000EE"/>
            </w:tcBorders>
            <w:gridSpan w:val="22"/>
          </w:tcPr>
          <w:p>
            <w:pPr>
              <w:spacing w:after="0"/>
              <w:rPr>
                <w:sz w:val="17"/>
                <w:szCs w:val="17"/>
                <w:color w:val="auto"/>
              </w:rPr>
            </w:pPr>
          </w:p>
        </w:tc>
        <w:tc>
          <w:tcPr>
            <w:tcW w:w="380" w:type="dxa"/>
            <w:vAlign w:val="bottom"/>
            <w:gridSpan w:val="1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4"/>
                <w:szCs w:val="24"/>
                <w:color w:val="auto"/>
              </w:rPr>
            </w:pPr>
          </w:p>
        </w:tc>
        <w:tc>
          <w:tcPr>
            <w:tcW w:w="4080" w:type="dxa"/>
            <w:vAlign w:val="bottom"/>
            <w:tcBorders>
              <w:bottom w:val="single" w:sz="8" w:color="0000EE"/>
            </w:tcBorders>
            <w:gridSpan w:val="23"/>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Form of Securities Purchase Agreement between certain</w:t>
              </w:r>
            </w:hyperlink>
          </w:p>
        </w:tc>
        <w:tc>
          <w:tcPr>
            <w:tcW w:w="420" w:type="dxa"/>
            <w:vAlign w:val="bottom"/>
            <w:gridSpan w:val="11"/>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investors referenced therein and the Registrant, dated as of</w:t>
              </w:r>
            </w:hyperlink>
          </w:p>
        </w:tc>
        <w:tc>
          <w:tcPr>
            <w:tcW w:w="2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March 13, 2015</w:t>
              </w:r>
            </w:hyperlink>
          </w:p>
        </w:tc>
        <w:tc>
          <w:tcPr>
            <w:tcW w:w="3360" w:type="dxa"/>
            <w:vAlign w:val="bottom"/>
            <w:gridSpan w:val="3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4"/>
                <w:szCs w:val="24"/>
                <w:color w:val="auto"/>
              </w:rPr>
            </w:pPr>
          </w:p>
        </w:tc>
        <w:tc>
          <w:tcPr>
            <w:tcW w:w="4040" w:type="dxa"/>
            <w:vAlign w:val="bottom"/>
            <w:tcBorders>
              <w:bottom w:val="single" w:sz="8" w:color="0000EE"/>
            </w:tcBorders>
            <w:gridSpan w:val="22"/>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Form of Registration Rights Agreement between certain</w:t>
              </w:r>
            </w:hyperlink>
          </w:p>
        </w:tc>
        <w:tc>
          <w:tcPr>
            <w:tcW w:w="460" w:type="dxa"/>
            <w:vAlign w:val="bottom"/>
            <w:gridSpan w:val="12"/>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investors referenced therein and the Registrant, dated as of</w:t>
              </w:r>
            </w:hyperlink>
          </w:p>
        </w:tc>
        <w:tc>
          <w:tcPr>
            <w:tcW w:w="28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March 13, 2015</w:t>
              </w:r>
            </w:hyperlink>
          </w:p>
        </w:tc>
        <w:tc>
          <w:tcPr>
            <w:tcW w:w="3360" w:type="dxa"/>
            <w:vAlign w:val="bottom"/>
            <w:gridSpan w:val="3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4"/>
                <w:szCs w:val="24"/>
                <w:color w:val="auto"/>
              </w:rPr>
            </w:pPr>
          </w:p>
        </w:tc>
        <w:tc>
          <w:tcPr>
            <w:tcW w:w="3740" w:type="dxa"/>
            <w:vAlign w:val="bottom"/>
            <w:tcBorders>
              <w:bottom w:val="single" w:sz="8" w:color="0000EE"/>
            </w:tcBorders>
            <w:gridSpan w:val="16"/>
          </w:tcPr>
          <w:p>
            <w:pPr>
              <w:spacing w:after="0"/>
              <w:rPr>
                <w:rFonts w:ascii="Arial" w:cs="Arial" w:eastAsia="Arial" w:hAnsi="Arial"/>
                <w:sz w:val="18"/>
                <w:szCs w:val="18"/>
                <w:color w:val="0000EE"/>
                <w:w w:val="89"/>
              </w:rPr>
            </w:pPr>
            <w:hyperlink r:id="rId138">
              <w:r>
                <w:rPr>
                  <w:rFonts w:ascii="Arial" w:cs="Arial" w:eastAsia="Arial" w:hAnsi="Arial"/>
                  <w:sz w:val="18"/>
                  <w:szCs w:val="18"/>
                  <w:color w:val="0000EE"/>
                  <w:w w:val="89"/>
                </w:rPr>
                <w:t>Second Amendment to License Agreement between</w:t>
              </w:r>
            </w:hyperlink>
          </w:p>
        </w:tc>
        <w:tc>
          <w:tcPr>
            <w:tcW w:w="760" w:type="dxa"/>
            <w:vAlign w:val="bottom"/>
            <w:gridSpan w:val="18"/>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May 7,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Mitsubishi Tanabe Pharma Corporation and the Registrant,</w:t>
              </w:r>
            </w:hyperlink>
          </w:p>
        </w:tc>
        <w:tc>
          <w:tcPr>
            <w:tcW w:w="24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38">
              <w:r>
                <w:rPr>
                  <w:rFonts w:ascii="Arial" w:cs="Arial" w:eastAsia="Arial" w:hAnsi="Arial"/>
                  <w:sz w:val="18"/>
                  <w:szCs w:val="18"/>
                  <w:color w:val="0000EE"/>
                  <w:w w:val="90"/>
                </w:rPr>
                <w:t>dated as of April 21, 2015</w:t>
              </w:r>
            </w:hyperlink>
          </w:p>
        </w:tc>
        <w:tc>
          <w:tcPr>
            <w:tcW w:w="2620" w:type="dxa"/>
            <w:vAlign w:val="bottom"/>
            <w:gridSpan w:val="2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1"/>
                <w:szCs w:val="21"/>
                <w:color w:val="auto"/>
              </w:rPr>
              <w:t>†</w:t>
            </w:r>
          </w:p>
        </w:tc>
        <w:tc>
          <w:tcPr>
            <w:tcW w:w="3440" w:type="dxa"/>
            <w:vAlign w:val="bottom"/>
            <w:tcBorders>
              <w:bottom w:val="single" w:sz="8" w:color="0000EE"/>
            </w:tcBorders>
            <w:gridSpan w:val="14"/>
          </w:tcPr>
          <w:p>
            <w:pPr>
              <w:spacing w:after="0"/>
              <w:rPr>
                <w:rFonts w:ascii="Arial" w:cs="Arial" w:eastAsia="Arial" w:hAnsi="Arial"/>
                <w:sz w:val="18"/>
                <w:szCs w:val="18"/>
                <w:color w:val="0000EE"/>
                <w:w w:val="89"/>
              </w:rPr>
            </w:pPr>
            <w:hyperlink r:id="rId139">
              <w:r>
                <w:rPr>
                  <w:rFonts w:ascii="Arial" w:cs="Arial" w:eastAsia="Arial" w:hAnsi="Arial"/>
                  <w:sz w:val="18"/>
                  <w:szCs w:val="18"/>
                  <w:color w:val="0000EE"/>
                  <w:w w:val="89"/>
                </w:rPr>
                <w:t>Amended and Restated Non-Employee Director</w:t>
              </w:r>
            </w:hyperlink>
          </w:p>
        </w:tc>
        <w:tc>
          <w:tcPr>
            <w:tcW w:w="8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5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2, 2018</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r:id="rId139">
              <w:r>
                <w:rPr>
                  <w:rFonts w:ascii="Arial" w:cs="Arial" w:eastAsia="Arial" w:hAnsi="Arial"/>
                  <w:sz w:val="18"/>
                  <w:szCs w:val="18"/>
                  <w:color w:val="0000EE"/>
                  <w:w w:val="87"/>
                </w:rPr>
                <w:t>Compensation Plan</w:t>
              </w:r>
            </w:hyperlink>
          </w:p>
        </w:tc>
        <w:tc>
          <w:tcPr>
            <w:tcW w:w="3100" w:type="dxa"/>
            <w:vAlign w:val="bottom"/>
            <w:gridSpan w:val="2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1"/>
                <w:szCs w:val="21"/>
                <w:color w:val="auto"/>
              </w:rPr>
              <w:t>†</w:t>
            </w:r>
          </w:p>
        </w:tc>
        <w:tc>
          <w:tcPr>
            <w:tcW w:w="4040" w:type="dxa"/>
            <w:vAlign w:val="bottom"/>
            <w:tcBorders>
              <w:bottom w:val="single" w:sz="8" w:color="0000EE"/>
            </w:tcBorders>
            <w:gridSpan w:val="22"/>
          </w:tcPr>
          <w:p>
            <w:pPr>
              <w:spacing w:after="0"/>
              <w:rPr>
                <w:rFonts w:ascii="Arial" w:cs="Arial" w:eastAsia="Arial" w:hAnsi="Arial"/>
                <w:sz w:val="18"/>
                <w:szCs w:val="18"/>
                <w:color w:val="0000EE"/>
                <w:w w:val="90"/>
              </w:rPr>
            </w:pPr>
            <w:hyperlink r:id="rId140">
              <w:r>
                <w:rPr>
                  <w:rFonts w:ascii="Arial" w:cs="Arial" w:eastAsia="Arial" w:hAnsi="Arial"/>
                  <w:sz w:val="18"/>
                  <w:szCs w:val="18"/>
                  <w:color w:val="0000EE"/>
                  <w:w w:val="90"/>
                </w:rPr>
                <w:t>Employment Agreement between Fred Ahlholm and the</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5, 2015</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Registrant, dated as of May 30, 2014</w:t>
              </w:r>
            </w:hyperlink>
          </w:p>
        </w:tc>
        <w:tc>
          <w:tcPr>
            <w:tcW w:w="184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4"/>
                <w:szCs w:val="24"/>
                <w:color w:val="auto"/>
              </w:rPr>
            </w:pPr>
          </w:p>
        </w:tc>
        <w:tc>
          <w:tcPr>
            <w:tcW w:w="4380" w:type="dxa"/>
            <w:vAlign w:val="bottom"/>
            <w:tcBorders>
              <w:bottom w:val="single" w:sz="8" w:color="0000EE"/>
            </w:tcBorders>
            <w:gridSpan w:val="32"/>
          </w:tcPr>
          <w:p>
            <w:pPr>
              <w:spacing w:after="0"/>
              <w:rPr>
                <w:rFonts w:ascii="Arial" w:cs="Arial" w:eastAsia="Arial" w:hAnsi="Arial"/>
                <w:sz w:val="18"/>
                <w:szCs w:val="18"/>
                <w:color w:val="0000EE"/>
                <w:w w:val="89"/>
              </w:rPr>
            </w:pPr>
            <w:hyperlink r:id="rId141">
              <w:r>
                <w:rPr>
                  <w:rFonts w:ascii="Arial" w:cs="Arial" w:eastAsia="Arial" w:hAnsi="Arial"/>
                  <w:sz w:val="18"/>
                  <w:szCs w:val="18"/>
                  <w:color w:val="0000EE"/>
                  <w:w w:val="89"/>
                </w:rPr>
                <w:t>Common Stock Purchase Agreement, dated March 17, 2016,</w:t>
              </w:r>
            </w:hyperlink>
          </w:p>
        </w:tc>
        <w:tc>
          <w:tcPr>
            <w:tcW w:w="120" w:type="dxa"/>
            <w:vAlign w:val="bottom"/>
            <w:gridSpan w:val="2"/>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18,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by and between David Kupfer and the Registrant</w:t>
              </w:r>
            </w:hyperlink>
          </w:p>
        </w:tc>
        <w:tc>
          <w:tcPr>
            <w:tcW w:w="980" w:type="dxa"/>
            <w:vAlign w:val="bottom"/>
            <w:gridSpan w:val="19"/>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1"/>
                <w:szCs w:val="21"/>
                <w:color w:val="auto"/>
              </w:rPr>
              <w:t>†</w:t>
            </w:r>
          </w:p>
        </w:tc>
        <w:tc>
          <w:tcPr>
            <w:tcW w:w="4360" w:type="dxa"/>
            <w:vAlign w:val="bottom"/>
            <w:tcBorders>
              <w:bottom w:val="single" w:sz="8" w:color="0000EE"/>
            </w:tcBorders>
            <w:gridSpan w:val="31"/>
          </w:tcPr>
          <w:p>
            <w:pPr>
              <w:spacing w:after="0"/>
              <w:rPr>
                <w:rFonts w:ascii="Arial" w:cs="Arial" w:eastAsia="Arial" w:hAnsi="Arial"/>
                <w:sz w:val="18"/>
                <w:szCs w:val="18"/>
                <w:color w:val="0000EE"/>
                <w:w w:val="89"/>
              </w:rPr>
            </w:pPr>
            <w:hyperlink r:id="rId142">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4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between Mind-NRG SARL and Dr. Remy Luthringer</w:t>
              </w:r>
            </w:hyperlink>
          </w:p>
        </w:tc>
        <w:tc>
          <w:tcPr>
            <w:tcW w:w="66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21"/>
                <w:szCs w:val="21"/>
                <w:color w:val="auto"/>
              </w:rPr>
              <w:t>†</w:t>
            </w:r>
          </w:p>
        </w:tc>
        <w:tc>
          <w:tcPr>
            <w:tcW w:w="4360" w:type="dxa"/>
            <w:vAlign w:val="bottom"/>
            <w:tcBorders>
              <w:bottom w:val="single" w:sz="8" w:color="0000EE"/>
            </w:tcBorders>
            <w:gridSpan w:val="31"/>
          </w:tcPr>
          <w:p>
            <w:pPr>
              <w:spacing w:after="0"/>
              <w:rPr>
                <w:rFonts w:ascii="Arial" w:cs="Arial" w:eastAsia="Arial" w:hAnsi="Arial"/>
                <w:sz w:val="18"/>
                <w:szCs w:val="18"/>
                <w:color w:val="0000EE"/>
                <w:w w:val="89"/>
              </w:rPr>
            </w:pPr>
            <w:hyperlink r:id="rId143">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between Mind-NRG SARL and Geoffrey Race</w:t>
              </w:r>
            </w:hyperlink>
          </w:p>
        </w:tc>
        <w:tc>
          <w:tcPr>
            <w:tcW w:w="1120" w:type="dxa"/>
            <w:vAlign w:val="bottom"/>
            <w:gridSpan w:val="21"/>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1"/>
                <w:szCs w:val="21"/>
                <w:color w:val="auto"/>
              </w:rPr>
              <w:t>†</w:t>
            </w:r>
          </w:p>
        </w:tc>
        <w:tc>
          <w:tcPr>
            <w:tcW w:w="4360" w:type="dxa"/>
            <w:vAlign w:val="bottom"/>
            <w:tcBorders>
              <w:bottom w:val="single" w:sz="8" w:color="0000EE"/>
            </w:tcBorders>
            <w:gridSpan w:val="31"/>
          </w:tcPr>
          <w:p>
            <w:pPr>
              <w:spacing w:after="0"/>
              <w:rPr>
                <w:rFonts w:ascii="Arial" w:cs="Arial" w:eastAsia="Arial" w:hAnsi="Arial"/>
                <w:sz w:val="18"/>
                <w:szCs w:val="18"/>
                <w:color w:val="0000EE"/>
                <w:w w:val="89"/>
              </w:rPr>
            </w:pPr>
            <w:hyperlink r:id="rId144">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between the Registrant and Frederick Ahlholm</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vMerge w:val="restart"/>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1"/>
                <w:szCs w:val="21"/>
                <w:color w:val="auto"/>
              </w:rPr>
              <w:t>†</w:t>
            </w:r>
          </w:p>
        </w:tc>
        <w:tc>
          <w:tcPr>
            <w:tcW w:w="3120" w:type="dxa"/>
            <w:vAlign w:val="bottom"/>
            <w:gridSpan w:val="11"/>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40" w:type="dxa"/>
            <w:vAlign w:val="bottom"/>
            <w:gridSpan w:val="2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vMerge w:val="continue"/>
          </w:tcPr>
          <w:p>
            <w:pPr>
              <w:spacing w:after="0"/>
              <w:rPr>
                <w:sz w:val="24"/>
                <w:szCs w:val="24"/>
                <w:color w:val="auto"/>
              </w:rPr>
            </w:pPr>
          </w:p>
        </w:tc>
        <w:tc>
          <w:tcPr>
            <w:tcW w:w="4360" w:type="dxa"/>
            <w:vAlign w:val="bottom"/>
            <w:tcBorders>
              <w:bottom w:val="single" w:sz="8" w:color="0000EE"/>
            </w:tcBorders>
            <w:gridSpan w:val="31"/>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Employment Agreement, dated as of August 1, 2016, by and</w:t>
              </w:r>
            </w:hyperlink>
          </w:p>
        </w:tc>
        <w:tc>
          <w:tcPr>
            <w:tcW w:w="14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4"/>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between the Registrant and Mark S. Levine</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471"/>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80" w:type="dxa"/>
            <w:vAlign w:val="bottom"/>
            <w:gridSpan w:val="26"/>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80" w:type="dxa"/>
            <w:vAlign w:val="bottom"/>
            <w:vMerge w:val="restart"/>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26"/>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80" w:type="dxa"/>
            <w:vAlign w:val="bottom"/>
            <w:gridSpan w:val="2"/>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1"/>
                <w:szCs w:val="21"/>
                <w:color w:val="auto"/>
              </w:rPr>
              <w:t>†</w:t>
            </w: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Employment Agreement, dated as of August 1, 2016, by and</w:t>
              </w:r>
            </w:hyperlink>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4,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rPr>
            </w:pPr>
            <w:hyperlink r:id="rId148">
              <w:r>
                <w:rPr>
                  <w:rFonts w:ascii="Arial" w:cs="Arial" w:eastAsia="Arial" w:hAnsi="Arial"/>
                  <w:sz w:val="18"/>
                  <w:szCs w:val="18"/>
                  <w:color w:val="0000EE"/>
                </w:rPr>
                <w:t>between the Registrant and Joseph Reilly</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10.29†</w:t>
            </w:r>
          </w:p>
        </w:tc>
        <w:tc>
          <w:tcPr>
            <w:tcW w:w="3740" w:type="dxa"/>
            <w:vAlign w:val="bottom"/>
            <w:tcBorders>
              <w:bottom w:val="single" w:sz="8" w:color="0000EE"/>
            </w:tcBorders>
            <w:gridSpan w:val="15"/>
          </w:tcPr>
          <w:p>
            <w:pPr>
              <w:spacing w:after="0"/>
              <w:rPr>
                <w:rFonts w:ascii="Arial" w:cs="Arial" w:eastAsia="Arial" w:hAnsi="Arial"/>
                <w:sz w:val="18"/>
                <w:szCs w:val="18"/>
                <w:color w:val="0000EE"/>
                <w:w w:val="90"/>
              </w:rPr>
            </w:pPr>
            <w:hyperlink r:id="rId149">
              <w:r>
                <w:rPr>
                  <w:rFonts w:ascii="Arial" w:cs="Arial" w:eastAsia="Arial" w:hAnsi="Arial"/>
                  <w:sz w:val="18"/>
                  <w:szCs w:val="18"/>
                  <w:color w:val="0000EE"/>
                  <w:w w:val="90"/>
                </w:rPr>
                <w:t>Form of Restricted Stock Unit Agreement under the</w:t>
              </w:r>
            </w:hyperlink>
          </w:p>
        </w:tc>
        <w:tc>
          <w:tcPr>
            <w:tcW w:w="760" w:type="dxa"/>
            <w:vAlign w:val="bottom"/>
            <w:gridSpan w:val="17"/>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16, 2016</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w w:val="97"/>
              </w:rPr>
            </w:pPr>
            <w:hyperlink r:id="rId149">
              <w:r>
                <w:rPr>
                  <w:rFonts w:ascii="Arial" w:cs="Arial" w:eastAsia="Arial" w:hAnsi="Arial"/>
                  <w:sz w:val="18"/>
                  <w:szCs w:val="18"/>
                  <w:color w:val="0000EE"/>
                  <w:w w:val="97"/>
                </w:rPr>
                <w:t>Amended and Restated 2013 Equity Incentive Plan of the</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r:id="rId149">
              <w:r>
                <w:rPr>
                  <w:rFonts w:ascii="Arial" w:cs="Arial" w:eastAsia="Arial" w:hAnsi="Arial"/>
                  <w:sz w:val="18"/>
                  <w:szCs w:val="18"/>
                  <w:color w:val="0000EE"/>
                  <w:w w:val="87"/>
                </w:rPr>
                <w:t>Registrant</w:t>
              </w:r>
            </w:hyperlink>
          </w:p>
        </w:tc>
        <w:tc>
          <w:tcPr>
            <w:tcW w:w="3380" w:type="dxa"/>
            <w:vAlign w:val="bottom"/>
            <w:tcBorders>
              <w:top w:val="single" w:sz="8" w:color="0000EE"/>
            </w:tcBorders>
            <w:gridSpan w:val="15"/>
          </w:tcPr>
          <w:p>
            <w:pPr>
              <w:spacing w:after="0"/>
              <w:rPr>
                <w:sz w:val="17"/>
                <w:szCs w:val="17"/>
                <w:color w:val="auto"/>
              </w:rPr>
            </w:pPr>
          </w:p>
        </w:tc>
        <w:tc>
          <w:tcPr>
            <w:tcW w:w="380" w:type="dxa"/>
            <w:vAlign w:val="bottom"/>
            <w:gridSpan w:val="14"/>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10.30†</w:t>
            </w:r>
          </w:p>
        </w:tc>
        <w:tc>
          <w:tcPr>
            <w:tcW w:w="4200" w:type="dxa"/>
            <w:vAlign w:val="bottom"/>
            <w:tcBorders>
              <w:bottom w:val="single" w:sz="8" w:color="0000EE"/>
            </w:tcBorders>
            <w:gridSpan w:val="22"/>
          </w:tcPr>
          <w:p>
            <w:pPr>
              <w:spacing w:after="0"/>
              <w:rPr>
                <w:rFonts w:ascii="Arial" w:cs="Arial" w:eastAsia="Arial" w:hAnsi="Arial"/>
                <w:sz w:val="18"/>
                <w:szCs w:val="18"/>
                <w:color w:val="0000EE"/>
                <w:w w:val="90"/>
              </w:rPr>
            </w:pPr>
            <w:hyperlink r:id="rId150">
              <w:r>
                <w:rPr>
                  <w:rFonts w:ascii="Arial" w:cs="Arial" w:eastAsia="Arial" w:hAnsi="Arial"/>
                  <w:sz w:val="18"/>
                  <w:szCs w:val="18"/>
                  <w:color w:val="0000EE"/>
                  <w:w w:val="90"/>
                </w:rPr>
                <w:t>Form of Option Grant Agreement under the Amended and</w:t>
              </w:r>
            </w:hyperlink>
          </w:p>
        </w:tc>
        <w:tc>
          <w:tcPr>
            <w:tcW w:w="300" w:type="dxa"/>
            <w:vAlign w:val="bottom"/>
            <w:gridSpan w:val="10"/>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13,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Restated 2013 Equity Incentive Plan</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4300" w:type="dxa"/>
            <w:vAlign w:val="bottom"/>
            <w:tcBorders>
              <w:bottom w:val="single" w:sz="8" w:color="0000EE"/>
            </w:tcBorders>
            <w:gridSpan w:val="27"/>
          </w:tcPr>
          <w:p>
            <w:pPr>
              <w:spacing w:after="0"/>
              <w:rPr>
                <w:rFonts w:ascii="Arial" w:cs="Arial" w:eastAsia="Arial" w:hAnsi="Arial"/>
                <w:sz w:val="18"/>
                <w:szCs w:val="18"/>
                <w:color w:val="0000EE"/>
                <w:w w:val="88"/>
              </w:rPr>
            </w:pPr>
            <w:hyperlink r:id="rId151">
              <w:r>
                <w:rPr>
                  <w:rFonts w:ascii="Arial" w:cs="Arial" w:eastAsia="Arial" w:hAnsi="Arial"/>
                  <w:sz w:val="18"/>
                  <w:szCs w:val="18"/>
                  <w:color w:val="0000EE"/>
                  <w:w w:val="88"/>
                </w:rPr>
                <w:t>Sublease Agreement dated October 2, 2017 by and between</w:t>
              </w:r>
            </w:hyperlink>
          </w:p>
        </w:tc>
        <w:tc>
          <w:tcPr>
            <w:tcW w:w="200" w:type="dxa"/>
            <w:vAlign w:val="bottom"/>
            <w:gridSpan w:val="5"/>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6,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51">
              <w:r>
                <w:rPr>
                  <w:rFonts w:ascii="Arial" w:cs="Arial" w:eastAsia="Arial" w:hAnsi="Arial"/>
                  <w:sz w:val="18"/>
                  <w:szCs w:val="18"/>
                  <w:color w:val="0000EE"/>
                  <w:w w:val="91"/>
                </w:rPr>
                <w:t>the Registrant and Profitect, Inc. NV</w:t>
              </w:r>
            </w:hyperlink>
          </w:p>
        </w:tc>
        <w:tc>
          <w:tcPr>
            <w:tcW w:w="1860" w:type="dxa"/>
            <w:vAlign w:val="bottom"/>
            <w:gridSpan w:val="2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rPr>
            </w:pPr>
            <w:hyperlink r:id="rId152">
              <w:r>
                <w:rPr>
                  <w:rFonts w:ascii="Arial" w:cs="Arial" w:eastAsia="Arial" w:hAnsi="Arial"/>
                  <w:sz w:val="18"/>
                  <w:szCs w:val="18"/>
                  <w:color w:val="0000EE"/>
                </w:rPr>
                <w:t>Amendment No. 1 to Co-Development and License</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Agreement dated June 13, 2017, by and between the</w:t>
              </w:r>
            </w:hyperlink>
          </w:p>
        </w:tc>
        <w:tc>
          <w:tcPr>
            <w:tcW w:w="740" w:type="dxa"/>
            <w:vAlign w:val="bottom"/>
            <w:gridSpan w:val="1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r:id="rId152">
              <w:r>
                <w:rPr>
                  <w:rFonts w:ascii="Arial" w:cs="Arial" w:eastAsia="Arial" w:hAnsi="Arial"/>
                  <w:sz w:val="18"/>
                  <w:szCs w:val="18"/>
                  <w:color w:val="0000EE"/>
                  <w:w w:val="87"/>
                </w:rPr>
                <w:t>Registrant and Janssen Pharmaceutica NV</w:t>
              </w:r>
            </w:hyperlink>
          </w:p>
        </w:tc>
        <w:tc>
          <w:tcPr>
            <w:tcW w:w="1460" w:type="dxa"/>
            <w:vAlign w:val="bottom"/>
            <w:gridSpan w:val="20"/>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Stock Repurchase Agreement dated June 13, 2017 by and</w:t>
              </w:r>
            </w:hyperlink>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June 14,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2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w w:val="93"/>
              </w:rPr>
            </w:pPr>
            <w:hyperlink r:id="rId153">
              <w:r>
                <w:rPr>
                  <w:rFonts w:ascii="Arial" w:cs="Arial" w:eastAsia="Arial" w:hAnsi="Arial"/>
                  <w:sz w:val="18"/>
                  <w:szCs w:val="18"/>
                  <w:color w:val="0000EE"/>
                  <w:w w:val="93"/>
                </w:rPr>
                <w:t>between the Registrant and Johnson &amp; Johnson Innovation-</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JJDC Inc.</w:t>
              </w:r>
            </w:hyperlink>
          </w:p>
        </w:tc>
        <w:tc>
          <w:tcPr>
            <w:tcW w:w="2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10.34†</w:t>
            </w:r>
          </w:p>
        </w:tc>
        <w:tc>
          <w:tcPr>
            <w:tcW w:w="4400" w:type="dxa"/>
            <w:vAlign w:val="bottom"/>
            <w:tcBorders>
              <w:bottom w:val="single" w:sz="8" w:color="0000EE"/>
            </w:tcBorders>
            <w:gridSpan w:val="30"/>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Offer Letter by and between the Registrant and Rick Russell,</w:t>
              </w:r>
            </w:hyperlink>
          </w:p>
        </w:tc>
        <w:tc>
          <w:tcPr>
            <w:tcW w:w="100" w:type="dxa"/>
            <w:vAlign w:val="bottom"/>
            <w:gridSpan w:val="2"/>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r:id="rId154">
              <w:r>
                <w:rPr>
                  <w:rFonts w:ascii="Arial" w:cs="Arial" w:eastAsia="Arial" w:hAnsi="Arial"/>
                  <w:sz w:val="18"/>
                  <w:szCs w:val="18"/>
                  <w:color w:val="0000EE"/>
                  <w:w w:val="87"/>
                </w:rPr>
                <w:t>dated December 11, 2017.</w:t>
              </w:r>
            </w:hyperlink>
          </w:p>
        </w:tc>
        <w:tc>
          <w:tcPr>
            <w:tcW w:w="2620" w:type="dxa"/>
            <w:vAlign w:val="bottom"/>
            <w:gridSpan w:val="25"/>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10.35†</w:t>
            </w:r>
          </w:p>
        </w:tc>
        <w:tc>
          <w:tcPr>
            <w:tcW w:w="4220" w:type="dxa"/>
            <w:vAlign w:val="bottom"/>
            <w:tcBorders>
              <w:bottom w:val="single" w:sz="8" w:color="0000EE"/>
            </w:tcBorders>
            <w:gridSpan w:val="23"/>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New Hire Inducement Stock Option Grant by and between</w:t>
              </w:r>
            </w:hyperlink>
          </w:p>
        </w:tc>
        <w:tc>
          <w:tcPr>
            <w:tcW w:w="280" w:type="dxa"/>
            <w:vAlign w:val="bottom"/>
            <w:gridSpan w:val="9"/>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4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r:id="rId155">
              <w:r>
                <w:rPr>
                  <w:rFonts w:ascii="Arial" w:cs="Arial" w:eastAsia="Arial" w:hAnsi="Arial"/>
                  <w:sz w:val="18"/>
                  <w:szCs w:val="18"/>
                  <w:color w:val="0000EE"/>
                  <w:w w:val="88"/>
                </w:rPr>
                <w:t>the Registrant and Rick Russell, dated December 11, 2017.</w:t>
              </w:r>
            </w:hyperlink>
          </w:p>
        </w:tc>
        <w:tc>
          <w:tcPr>
            <w:tcW w:w="260" w:type="dxa"/>
            <w:vAlign w:val="bottom"/>
            <w:gridSpan w:val="8"/>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80" w:type="dxa"/>
            <w:vAlign w:val="bottom"/>
            <w:gridSpan w:val="2"/>
          </w:tcPr>
          <w:p>
            <w:pPr>
              <w:spacing w:after="0"/>
              <w:rPr>
                <w:sz w:val="20"/>
                <w:szCs w:val="20"/>
                <w:color w:val="auto"/>
              </w:rPr>
            </w:pPr>
            <w:r>
              <w:rPr>
                <w:rFonts w:ascii="Arial" w:cs="Arial" w:eastAsia="Arial" w:hAnsi="Arial"/>
                <w:sz w:val="18"/>
                <w:szCs w:val="18"/>
                <w:color w:val="auto"/>
              </w:rPr>
              <w:t>10.36†</w:t>
            </w:r>
          </w:p>
        </w:tc>
        <w:tc>
          <w:tcPr>
            <w:tcW w:w="4180" w:type="dxa"/>
            <w:vAlign w:val="bottom"/>
            <w:tcBorders>
              <w:bottom w:val="single" w:sz="8" w:color="0000EE"/>
            </w:tcBorders>
            <w:gridSpan w:val="21"/>
          </w:tcPr>
          <w:p>
            <w:pPr>
              <w:spacing w:after="0"/>
              <w:rPr>
                <w:rFonts w:ascii="Arial" w:cs="Arial" w:eastAsia="Arial" w:hAnsi="Arial"/>
                <w:sz w:val="18"/>
                <w:szCs w:val="18"/>
                <w:color w:val="0000EE"/>
                <w:w w:val="91"/>
              </w:rPr>
            </w:pPr>
            <w:hyperlink r:id="rId156">
              <w:r>
                <w:rPr>
                  <w:rFonts w:ascii="Arial" w:cs="Arial" w:eastAsia="Arial" w:hAnsi="Arial"/>
                  <w:sz w:val="18"/>
                  <w:szCs w:val="18"/>
                  <w:color w:val="0000EE"/>
                  <w:w w:val="91"/>
                </w:rPr>
                <w:t>New Hire Inducement Restricted Stock Unit Grant by and</w:t>
              </w:r>
            </w:hyperlink>
          </w:p>
        </w:tc>
        <w:tc>
          <w:tcPr>
            <w:tcW w:w="320" w:type="dxa"/>
            <w:vAlign w:val="bottom"/>
            <w:gridSpan w:val="11"/>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11, 2017</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w w:val="95"/>
              </w:rPr>
            </w:pPr>
            <w:hyperlink r:id="rId156">
              <w:r>
                <w:rPr>
                  <w:rFonts w:ascii="Arial" w:cs="Arial" w:eastAsia="Arial" w:hAnsi="Arial"/>
                  <w:sz w:val="18"/>
                  <w:szCs w:val="18"/>
                  <w:color w:val="0000EE"/>
                  <w:w w:val="95"/>
                </w:rPr>
                <w:t>between the Registrant and Rick Russell, dated December</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r:id="rId156">
              <w:r>
                <w:rPr>
                  <w:rFonts w:ascii="Arial" w:cs="Arial" w:eastAsia="Arial" w:hAnsi="Arial"/>
                  <w:sz w:val="18"/>
                  <w:szCs w:val="18"/>
                  <w:color w:val="0000EE"/>
                  <w:w w:val="87"/>
                </w:rPr>
                <w:t>11, 2017.</w:t>
              </w:r>
            </w:hyperlink>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100" w:type="dxa"/>
            <w:vAlign w:val="bottom"/>
          </w:tcPr>
          <w:p>
            <w:pPr>
              <w:spacing w:after="0"/>
              <w:rPr>
                <w:sz w:val="24"/>
                <w:szCs w:val="24"/>
                <w:color w:val="auto"/>
              </w:rPr>
            </w:pPr>
          </w:p>
        </w:tc>
        <w:tc>
          <w:tcPr>
            <w:tcW w:w="3720" w:type="dxa"/>
            <w:vAlign w:val="bottom"/>
            <w:tcBorders>
              <w:bottom w:val="single" w:sz="8" w:color="0000EE"/>
            </w:tcBorders>
            <w:gridSpan w:val="14"/>
          </w:tcPr>
          <w:p>
            <w:pPr>
              <w:spacing w:after="0"/>
              <w:rPr>
                <w:rFonts w:ascii="Arial" w:cs="Arial" w:eastAsia="Arial" w:hAnsi="Arial"/>
                <w:sz w:val="18"/>
                <w:szCs w:val="18"/>
                <w:color w:val="0000EE"/>
                <w:w w:val="89"/>
              </w:rPr>
            </w:pPr>
            <w:hyperlink r:id="rId157">
              <w:r>
                <w:rPr>
                  <w:rFonts w:ascii="Arial" w:cs="Arial" w:eastAsia="Arial" w:hAnsi="Arial"/>
                  <w:sz w:val="18"/>
                  <w:szCs w:val="18"/>
                  <w:color w:val="0000EE"/>
                  <w:w w:val="89"/>
                </w:rPr>
                <w:t>Commercial Supply Agreement by and between the</w:t>
              </w:r>
            </w:hyperlink>
          </w:p>
        </w:tc>
        <w:tc>
          <w:tcPr>
            <w:tcW w:w="340" w:type="dxa"/>
            <w:vAlign w:val="bottom"/>
            <w:gridSpan w:val="3"/>
          </w:tcPr>
          <w:p>
            <w:pPr>
              <w:spacing w:after="0"/>
              <w:rPr>
                <w:sz w:val="24"/>
                <w:szCs w:val="24"/>
                <w:color w:val="auto"/>
              </w:rPr>
            </w:pPr>
          </w:p>
        </w:tc>
        <w:tc>
          <w:tcPr>
            <w:tcW w:w="100" w:type="dxa"/>
            <w:vAlign w:val="bottom"/>
            <w:gridSpan w:val="3"/>
          </w:tcPr>
          <w:p>
            <w:pPr>
              <w:spacing w:after="0"/>
              <w:rPr>
                <w:sz w:val="24"/>
                <w:szCs w:val="24"/>
                <w:color w:val="auto"/>
              </w:rPr>
            </w:pPr>
          </w:p>
        </w:tc>
        <w:tc>
          <w:tcPr>
            <w:tcW w:w="40" w:type="dxa"/>
            <w:vAlign w:val="bottom"/>
            <w:gridSpan w:val="2"/>
          </w:tcPr>
          <w:p>
            <w:pPr>
              <w:spacing w:after="0"/>
              <w:rPr>
                <w:sz w:val="24"/>
                <w:szCs w:val="24"/>
                <w:color w:val="auto"/>
              </w:rPr>
            </w:pP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gridSpan w:val="3"/>
          </w:tcPr>
          <w:p>
            <w:pPr>
              <w:spacing w:after="0"/>
              <w:rPr>
                <w:sz w:val="24"/>
                <w:szCs w:val="24"/>
                <w:color w:val="auto"/>
              </w:rPr>
            </w:pPr>
          </w:p>
        </w:tc>
        <w:tc>
          <w:tcPr>
            <w:tcW w:w="120" w:type="dxa"/>
            <w:vAlign w:val="bottom"/>
            <w:gridSpan w:val="3"/>
          </w:tcPr>
          <w:p>
            <w:pPr>
              <w:spacing w:after="0"/>
              <w:rPr>
                <w:sz w:val="24"/>
                <w:szCs w:val="2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November 4, 2019</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w w:val="94"/>
              </w:rPr>
            </w:pPr>
            <w:hyperlink r:id="rId157">
              <w:r>
                <w:rPr>
                  <w:rFonts w:ascii="Arial" w:cs="Arial" w:eastAsia="Arial" w:hAnsi="Arial"/>
                  <w:sz w:val="18"/>
                  <w:szCs w:val="18"/>
                  <w:color w:val="0000EE"/>
                  <w:w w:val="94"/>
                </w:rPr>
                <w:t>Registrant and Catalent Germany Schorndorf GmbH, dated</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157">
              <w:r>
                <w:rPr>
                  <w:rFonts w:ascii="Arial" w:cs="Arial" w:eastAsia="Arial" w:hAnsi="Arial"/>
                  <w:sz w:val="18"/>
                  <w:szCs w:val="18"/>
                  <w:color w:val="0000EE"/>
                  <w:w w:val="87"/>
                </w:rPr>
                <w:t>September 18, 2019</w:t>
              </w:r>
            </w:hyperlink>
          </w:p>
        </w:tc>
        <w:tc>
          <w:tcPr>
            <w:tcW w:w="2820" w:type="dxa"/>
            <w:vAlign w:val="bottom"/>
            <w:tcBorders>
              <w:top w:val="single" w:sz="8" w:color="0000EE"/>
            </w:tcBorders>
            <w:gridSpan w:val="20"/>
          </w:tcPr>
          <w:p>
            <w:pPr>
              <w:spacing w:after="0"/>
              <w:rPr>
                <w:sz w:val="17"/>
                <w:szCs w:val="17"/>
                <w:color w:val="auto"/>
              </w:rPr>
            </w:pPr>
          </w:p>
        </w:tc>
        <w:tc>
          <w:tcPr>
            <w:tcW w:w="240" w:type="dxa"/>
            <w:vAlign w:val="bottom"/>
            <w:gridSpan w:val="7"/>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14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List of Subsidiaries</w:t>
              </w:r>
            </w:hyperlink>
          </w:p>
        </w:tc>
        <w:tc>
          <w:tcPr>
            <w:tcW w:w="3100" w:type="dxa"/>
            <w:vAlign w:val="bottom"/>
            <w:gridSpan w:val="28"/>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2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Consent of Deloitte &amp; Touche, LLP, independent registered</w:t>
              </w:r>
            </w:hyperlink>
          </w:p>
        </w:tc>
        <w:tc>
          <w:tcPr>
            <w:tcW w:w="220" w:type="dxa"/>
            <w:vAlign w:val="bottom"/>
            <w:gridSpan w:val="6"/>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public accounting firm</w:t>
              </w:r>
            </w:hyperlink>
          </w:p>
        </w:tc>
        <w:tc>
          <w:tcPr>
            <w:tcW w:w="2860" w:type="dxa"/>
            <w:vAlign w:val="bottom"/>
            <w:gridSpan w:val="2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w w:val="98"/>
              </w:rPr>
            </w:pPr>
            <w:hyperlink w:anchor="page95">
              <w:r>
                <w:rPr>
                  <w:rFonts w:ascii="Arial" w:cs="Arial" w:eastAsia="Arial" w:hAnsi="Arial"/>
                  <w:sz w:val="18"/>
                  <w:szCs w:val="18"/>
                  <w:color w:val="0000EE"/>
                  <w:w w:val="98"/>
                </w:rPr>
                <w:t>Power of Attorney (included on the Signature page of this</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95">
              <w:r>
                <w:rPr>
                  <w:rFonts w:ascii="Arial" w:cs="Arial" w:eastAsia="Arial" w:hAnsi="Arial"/>
                  <w:sz w:val="18"/>
                  <w:szCs w:val="18"/>
                  <w:color w:val="0000EE"/>
                  <w:w w:val="92"/>
                </w:rPr>
                <w:t>Annual Report on Form 10-K)</w:t>
              </w:r>
            </w:hyperlink>
          </w:p>
        </w:tc>
        <w:tc>
          <w:tcPr>
            <w:tcW w:w="1960" w:type="dxa"/>
            <w:vAlign w:val="bottom"/>
            <w:tcBorders>
              <w:top w:val="single" w:sz="8" w:color="0000EE"/>
            </w:tcBorders>
            <w:gridSpan w:val="12"/>
          </w:tcPr>
          <w:p>
            <w:pPr>
              <w:spacing w:after="0"/>
              <w:rPr>
                <w:sz w:val="17"/>
                <w:szCs w:val="17"/>
                <w:color w:val="auto"/>
              </w:rPr>
            </w:pPr>
          </w:p>
        </w:tc>
        <w:tc>
          <w:tcPr>
            <w:tcW w:w="34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78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Certification of Chief Executive Officer (Principal Executive</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tcBorders>
            <w:gridSpan w:val="29"/>
          </w:tcPr>
          <w:p>
            <w:pPr>
              <w:spacing w:after="0" w:line="196" w:lineRule="exact"/>
              <w:rPr>
                <w:rFonts w:ascii="Arial" w:cs="Arial" w:eastAsia="Arial" w:hAnsi="Arial"/>
                <w:sz w:val="18"/>
                <w:szCs w:val="18"/>
                <w:color w:val="0000EE"/>
                <w:w w:val="94"/>
              </w:rPr>
            </w:pPr>
            <w:hyperlink w:anchor="page100">
              <w:r>
                <w:rPr>
                  <w:rFonts w:ascii="Arial" w:cs="Arial" w:eastAsia="Arial" w:hAnsi="Arial"/>
                  <w:sz w:val="18"/>
                  <w:szCs w:val="18"/>
                  <w:color w:val="0000EE"/>
                  <w:w w:val="94"/>
                </w:rPr>
                <w:t>Officer) pursuant to Section 302 of Sarbanes-Oxley Act of</w:t>
              </w:r>
            </w:hyperlink>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0">
              <w:r>
                <w:rPr>
                  <w:rFonts w:ascii="Arial" w:cs="Arial" w:eastAsia="Arial" w:hAnsi="Arial"/>
                  <w:sz w:val="18"/>
                  <w:szCs w:val="18"/>
                  <w:color w:val="0000EE"/>
                  <w:w w:val="84"/>
                </w:rPr>
                <w:t>2002</w:t>
              </w:r>
            </w:hyperlink>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w w:val="98"/>
              </w:rPr>
            </w:pPr>
            <w:hyperlink w:anchor="page101">
              <w:r>
                <w:rPr>
                  <w:rFonts w:ascii="Arial" w:cs="Arial" w:eastAsia="Arial" w:hAnsi="Arial"/>
                  <w:sz w:val="18"/>
                  <w:szCs w:val="18"/>
                  <w:color w:val="0000EE"/>
                  <w:w w:val="98"/>
                </w:rPr>
                <w:t>Certification of Chief Financial Officer (Principal Financial</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80" w:type="dxa"/>
            <w:vAlign w:val="bottom"/>
            <w:tcBorders>
              <w:top w:val="single" w:sz="8" w:color="0000EE"/>
            </w:tcBorders>
            <w:gridSpan w:val="26"/>
          </w:tcPr>
          <w:p>
            <w:pPr>
              <w:spacing w:after="0" w:line="196" w:lineRule="exact"/>
              <w:rPr>
                <w:rFonts w:ascii="Arial" w:cs="Arial" w:eastAsia="Arial" w:hAnsi="Arial"/>
                <w:sz w:val="18"/>
                <w:szCs w:val="18"/>
                <w:color w:val="0000EE"/>
                <w:w w:val="92"/>
              </w:rPr>
            </w:pPr>
            <w:hyperlink w:anchor="page101">
              <w:r>
                <w:rPr>
                  <w:rFonts w:ascii="Arial" w:cs="Arial" w:eastAsia="Arial" w:hAnsi="Arial"/>
                  <w:sz w:val="18"/>
                  <w:szCs w:val="18"/>
                  <w:color w:val="0000EE"/>
                  <w:w w:val="92"/>
                </w:rPr>
                <w:t>Officer) pursuant to Section 302 of Sarbanes-Oxley Act of</w:t>
              </w:r>
            </w:hyperlink>
          </w:p>
        </w:tc>
        <w:tc>
          <w:tcPr>
            <w:tcW w:w="220" w:type="dxa"/>
            <w:vAlign w:val="bottom"/>
            <w:gridSpan w:val="6"/>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1">
              <w:r>
                <w:rPr>
                  <w:rFonts w:ascii="Arial" w:cs="Arial" w:eastAsia="Arial" w:hAnsi="Arial"/>
                  <w:sz w:val="18"/>
                  <w:szCs w:val="18"/>
                  <w:color w:val="0000EE"/>
                  <w:w w:val="84"/>
                </w:rPr>
                <w:t>2002</w:t>
              </w:r>
            </w:hyperlink>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8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500" w:type="dxa"/>
            <w:vAlign w:val="bottom"/>
            <w:gridSpan w:val="32"/>
          </w:tcPr>
          <w:p>
            <w:pPr>
              <w:spacing w:after="0"/>
              <w:rPr>
                <w:rFonts w:ascii="Arial" w:cs="Arial" w:eastAsia="Arial" w:hAnsi="Arial"/>
                <w:sz w:val="18"/>
                <w:szCs w:val="18"/>
                <w:color w:val="0000EE"/>
                <w:w w:val="96"/>
              </w:rPr>
            </w:pPr>
            <w:hyperlink w:anchor="page102">
              <w:r>
                <w:rPr>
                  <w:rFonts w:ascii="Arial" w:cs="Arial" w:eastAsia="Arial" w:hAnsi="Arial"/>
                  <w:sz w:val="18"/>
                  <w:szCs w:val="18"/>
                  <w:color w:val="0000EE"/>
                  <w:w w:val="96"/>
                </w:rPr>
                <w:t>Certification of Chief Executive Officer (Principal Executive</w:t>
              </w:r>
            </w:hyperlink>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Officer) and Chief Financial Officer (Principal Financial</w:t>
              </w:r>
            </w:hyperlink>
          </w:p>
        </w:tc>
        <w:tc>
          <w:tcPr>
            <w:tcW w:w="1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17"/>
            <w:shd w:val="clear" w:color="auto" w:fill="0000EE"/>
          </w:tcPr>
          <w:p>
            <w:pPr>
              <w:spacing w:after="0" w:line="20" w:lineRule="exact"/>
              <w:rPr>
                <w:sz w:val="1"/>
                <w:szCs w:val="1"/>
                <w:color w:val="auto"/>
              </w:rPr>
            </w:pPr>
          </w:p>
        </w:tc>
        <w:tc>
          <w:tcPr>
            <w:tcW w:w="440" w:type="dxa"/>
            <w:vAlign w:val="bottom"/>
            <w:gridSpan w:val="1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00" w:type="dxa"/>
            <w:vAlign w:val="bottom"/>
            <w:gridSpan w:val="32"/>
          </w:tcPr>
          <w:p>
            <w:pPr>
              <w:spacing w:after="0" w:line="196" w:lineRule="exact"/>
              <w:rPr>
                <w:rFonts w:ascii="Arial" w:cs="Arial" w:eastAsia="Arial" w:hAnsi="Arial"/>
                <w:sz w:val="18"/>
                <w:szCs w:val="18"/>
                <w:color w:val="0000EE"/>
                <w:w w:val="97"/>
              </w:rPr>
            </w:pPr>
            <w:hyperlink w:anchor="page102">
              <w:r>
                <w:rPr>
                  <w:rFonts w:ascii="Arial" w:cs="Arial" w:eastAsia="Arial" w:hAnsi="Arial"/>
                  <w:sz w:val="18"/>
                  <w:szCs w:val="18"/>
                  <w:color w:val="0000EE"/>
                  <w:w w:val="97"/>
                </w:rPr>
                <w:t>Officer) pursuant to Section 906 of Sarbanes-Oxley Act of</w:t>
              </w:r>
            </w:hyperlink>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102">
              <w:r>
                <w:rPr>
                  <w:rFonts w:ascii="Arial" w:cs="Arial" w:eastAsia="Arial" w:hAnsi="Arial"/>
                  <w:sz w:val="18"/>
                  <w:szCs w:val="18"/>
                  <w:color w:val="0000EE"/>
                  <w:w w:val="84"/>
                </w:rPr>
                <w:t>2002</w:t>
              </w:r>
            </w:hyperlink>
          </w:p>
        </w:tc>
        <w:tc>
          <w:tcPr>
            <w:tcW w:w="3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500" w:type="dxa"/>
            <w:vAlign w:val="bottom"/>
            <w:gridSpan w:val="32"/>
          </w:tcPr>
          <w:p>
            <w:pPr>
              <w:spacing w:after="0"/>
              <w:rPr>
                <w:sz w:val="20"/>
                <w:szCs w:val="20"/>
                <w:color w:val="auto"/>
              </w:rPr>
            </w:pPr>
            <w:r>
              <w:rPr>
                <w:rFonts w:ascii="Arial" w:cs="Arial" w:eastAsia="Arial" w:hAnsi="Arial"/>
                <w:sz w:val="18"/>
                <w:szCs w:val="18"/>
                <w:color w:val="auto"/>
              </w:rPr>
              <w:t>XBRL Instance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500" w:type="dxa"/>
            <w:vAlign w:val="bottom"/>
            <w:gridSpan w:val="32"/>
          </w:tcPr>
          <w:p>
            <w:pPr>
              <w:spacing w:after="0"/>
              <w:rPr>
                <w:sz w:val="20"/>
                <w:szCs w:val="20"/>
                <w:color w:val="auto"/>
              </w:rPr>
            </w:pPr>
            <w:r>
              <w:rPr>
                <w:rFonts w:ascii="Arial" w:cs="Arial" w:eastAsia="Arial" w:hAnsi="Arial"/>
                <w:sz w:val="18"/>
                <w:szCs w:val="18"/>
                <w:color w:val="auto"/>
              </w:rPr>
              <w:t>XBRL Taxonomy Extension Schema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500" w:type="dxa"/>
            <w:vAlign w:val="bottom"/>
            <w:gridSpan w:val="32"/>
          </w:tcPr>
          <w:p>
            <w:pPr>
              <w:spacing w:after="0"/>
              <w:rPr>
                <w:sz w:val="20"/>
                <w:szCs w:val="20"/>
                <w:color w:val="auto"/>
              </w:rPr>
            </w:pPr>
            <w:r>
              <w:rPr>
                <w:rFonts w:ascii="Arial" w:cs="Arial" w:eastAsia="Arial" w:hAnsi="Arial"/>
                <w:sz w:val="18"/>
                <w:szCs w:val="18"/>
                <w:color w:val="auto"/>
              </w:rPr>
              <w:t>XBRL Taxonomy Extension Calculation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3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500" w:type="dxa"/>
            <w:vAlign w:val="bottom"/>
            <w:gridSpan w:val="32"/>
          </w:tcPr>
          <w:p>
            <w:pPr>
              <w:spacing w:after="0"/>
              <w:rPr>
                <w:sz w:val="20"/>
                <w:szCs w:val="20"/>
                <w:color w:val="auto"/>
              </w:rPr>
            </w:pPr>
            <w:r>
              <w:rPr>
                <w:rFonts w:ascii="Arial" w:cs="Arial" w:eastAsia="Arial" w:hAnsi="Arial"/>
                <w:sz w:val="18"/>
                <w:szCs w:val="18"/>
                <w:color w:val="auto"/>
                <w:w w:val="96"/>
              </w:rPr>
              <w:t>XBRL Taxonomy Extension Definition Linkbase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500" w:type="dxa"/>
            <w:vAlign w:val="bottom"/>
            <w:gridSpan w:val="32"/>
          </w:tcPr>
          <w:p>
            <w:pPr>
              <w:spacing w:after="0"/>
              <w:rPr>
                <w:sz w:val="20"/>
                <w:szCs w:val="20"/>
                <w:color w:val="auto"/>
              </w:rPr>
            </w:pPr>
            <w:r>
              <w:rPr>
                <w:rFonts w:ascii="Arial" w:cs="Arial" w:eastAsia="Arial" w:hAnsi="Arial"/>
                <w:sz w:val="18"/>
                <w:szCs w:val="18"/>
                <w:color w:val="auto"/>
              </w:rPr>
              <w:t>XBRL Taxonomy Extension Label Linkbase Document</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472"/>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0"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44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4"/>
                <w:szCs w:val="1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4"/>
                <w:szCs w:val="14"/>
                <w:color w:val="auto"/>
              </w:rPr>
            </w:pPr>
          </w:p>
        </w:tc>
        <w:tc>
          <w:tcPr>
            <w:tcW w:w="16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4"/>
                <w:szCs w:val="14"/>
                <w:color w:val="auto"/>
              </w:rPr>
            </w:pPr>
          </w:p>
        </w:tc>
        <w:tc>
          <w:tcPr>
            <w:tcW w:w="4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17"/>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5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Document</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Confidential treatment has been granted by the Securities and Exchange Commission as to certain portions of this document.</w:t>
      </w:r>
    </w:p>
    <w:p>
      <w:pPr>
        <w:spacing w:after="0" w:line="117" w:lineRule="exact"/>
        <w:rPr>
          <w:sz w:val="20"/>
          <w:szCs w:val="20"/>
          <w:color w:val="auto"/>
        </w:rPr>
      </w:pPr>
    </w:p>
    <w:p>
      <w:pPr>
        <w:ind w:left="500" w:right="80" w:hanging="492"/>
        <w:spacing w:after="0" w:line="263" w:lineRule="auto"/>
        <w:tabs>
          <w:tab w:leader="none" w:pos="5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5715</wp:posOffset>
            </wp:positionV>
            <wp:extent cx="2520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Remy Luthringer, Ph.D. and</w:t>
      </w:r>
      <w:r>
        <w:rPr>
          <w:rFonts w:ascii="Arial" w:cs="Arial" w:eastAsia="Arial" w:hAnsi="Arial"/>
          <w:sz w:val="17"/>
          <w:szCs w:val="17"/>
          <w:b w:val="1"/>
          <w:bCs w:val="1"/>
          <w:color w:val="auto"/>
        </w:rPr>
        <w:t xml:space="preserve"> </w:t>
      </w:r>
      <w:r>
        <w:rPr>
          <w:rFonts w:ascii="Arial" w:cs="Arial" w:eastAsia="Arial" w:hAnsi="Arial"/>
          <w:sz w:val="17"/>
          <w:szCs w:val="17"/>
          <w:color w:val="auto"/>
        </w:rPr>
        <w:t>Geoffrey Race,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jc w:val="center"/>
              <w:ind w:right="1173"/>
              <w:spacing w:after="0"/>
              <w:rPr>
                <w:sz w:val="20"/>
                <w:szCs w:val="20"/>
                <w:color w:val="auto"/>
              </w:rPr>
            </w:pPr>
            <w:r>
              <w:rPr>
                <w:rFonts w:ascii="Arial" w:cs="Arial" w:eastAsia="Arial" w:hAnsi="Arial"/>
                <w:sz w:val="14"/>
                <w:szCs w:val="14"/>
                <w:b w:val="1"/>
                <w:bCs w:val="1"/>
                <w:color w:val="auto"/>
                <w:w w:val="89"/>
              </w:rPr>
              <w:t>Signature</w:t>
            </w:r>
          </w:p>
        </w:tc>
        <w:tc>
          <w:tcPr>
            <w:tcW w:w="240" w:type="dxa"/>
            <w:vAlign w:val="bottom"/>
          </w:tcPr>
          <w:p>
            <w:pPr>
              <w:spacing w:after="0"/>
              <w:rPr>
                <w:sz w:val="14"/>
                <w:szCs w:val="1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Title</w:t>
            </w: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195"/>
        </w:trPr>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Executive Officer and</w:t>
            </w:r>
          </w:p>
        </w:tc>
        <w:tc>
          <w:tcPr>
            <w:tcW w:w="24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r>
      <w:tr>
        <w:trPr>
          <w:trHeight w:val="230"/>
        </w:trPr>
        <w:tc>
          <w:tcPr>
            <w:tcW w:w="3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Remy Luthringer, Ph.D.</w:t>
            </w:r>
          </w:p>
        </w:tc>
        <w:tc>
          <w:tcPr>
            <w:tcW w:w="240" w:type="dxa"/>
            <w:vAlign w:val="bottom"/>
          </w:tcPr>
          <w:p>
            <w:pPr>
              <w:spacing w:after="0"/>
              <w:rPr>
                <w:sz w:val="20"/>
                <w:szCs w:val="20"/>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Chairman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92"/>
              </w:rPr>
              <w:t>Remy Luthringer, Ph.D.</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4"/>
              </w:rPr>
              <w:t>(Principal Executive Officer)</w:t>
            </w:r>
          </w:p>
        </w:tc>
        <w:tc>
          <w:tcPr>
            <w:tcW w:w="3340" w:type="dxa"/>
            <w:vAlign w:val="bottom"/>
          </w:tcPr>
          <w:p>
            <w:pPr>
              <w:spacing w:after="0"/>
              <w:rPr>
                <w:sz w:val="19"/>
                <w:szCs w:val="19"/>
                <w:color w:val="auto"/>
              </w:rPr>
            </w:pPr>
          </w:p>
        </w:tc>
      </w:tr>
      <w:tr>
        <w:trPr>
          <w:trHeight w:val="323"/>
        </w:trPr>
        <w:tc>
          <w:tcPr>
            <w:tcW w:w="1260" w:type="dxa"/>
            <w:vAlign w:val="bottom"/>
            <w:tcBorders>
              <w:bottom w:val="single" w:sz="8" w:color="auto"/>
            </w:tcBorders>
            <w:gridSpan w:val="2"/>
          </w:tcPr>
          <w:p>
            <w:pPr>
              <w:ind w:left="1100"/>
              <w:spacing w:after="0"/>
              <w:rPr>
                <w:sz w:val="20"/>
                <w:szCs w:val="20"/>
                <w:color w:val="auto"/>
              </w:rPr>
            </w:pPr>
            <w:r>
              <w:rPr>
                <w:rFonts w:ascii="Arial" w:cs="Arial" w:eastAsia="Arial" w:hAnsi="Arial"/>
                <w:sz w:val="18"/>
                <w:szCs w:val="18"/>
                <w:color w:val="auto"/>
                <w:w w:val="73"/>
              </w:rPr>
              <w:t>/s/</w:t>
            </w:r>
          </w:p>
        </w:tc>
        <w:tc>
          <w:tcPr>
            <w:tcW w:w="2240" w:type="dxa"/>
            <w:vAlign w:val="bottom"/>
            <w:tcBorders>
              <w:bottom w:val="single" w:sz="8" w:color="auto"/>
            </w:tcBorders>
          </w:tcPr>
          <w:p>
            <w:pPr>
              <w:jc w:val="center"/>
              <w:ind w:right="913"/>
              <w:spacing w:after="0"/>
              <w:rPr>
                <w:sz w:val="20"/>
                <w:szCs w:val="20"/>
                <w:color w:val="auto"/>
              </w:rPr>
            </w:pPr>
            <w:r>
              <w:rPr>
                <w:rFonts w:ascii="Arial" w:cs="Arial" w:eastAsia="Arial" w:hAnsi="Arial"/>
                <w:sz w:val="18"/>
                <w:szCs w:val="18"/>
                <w:color w:val="auto"/>
                <w:w w:val="89"/>
              </w:rPr>
              <w:t>Geoffrey Race</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1120" w:type="dxa"/>
            <w:vAlign w:val="bottom"/>
          </w:tcPr>
          <w:p>
            <w:pPr>
              <w:spacing w:after="0"/>
              <w:rPr>
                <w:sz w:val="19"/>
                <w:szCs w:val="19"/>
                <w:color w:val="auto"/>
              </w:rPr>
            </w:pPr>
          </w:p>
        </w:tc>
        <w:tc>
          <w:tcPr>
            <w:tcW w:w="2380" w:type="dxa"/>
            <w:vAlign w:val="bottom"/>
            <w:gridSpan w:val="2"/>
          </w:tcPr>
          <w:p>
            <w:pPr>
              <w:jc w:val="center"/>
              <w:ind w:right="1033"/>
              <w:spacing w:after="0"/>
              <w:rPr>
                <w:sz w:val="20"/>
                <w:szCs w:val="20"/>
                <w:color w:val="auto"/>
              </w:rPr>
            </w:pPr>
            <w:r>
              <w:rPr>
                <w:rFonts w:ascii="Arial" w:cs="Arial" w:eastAsia="Arial" w:hAnsi="Arial"/>
                <w:sz w:val="18"/>
                <w:szCs w:val="18"/>
                <w:color w:val="auto"/>
                <w:w w:val="91"/>
              </w:rPr>
              <w:t>Geoffrey Race</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7"/>
              </w:rPr>
              <w:t>(Principal Financial Officer)</w:t>
            </w:r>
          </w:p>
        </w:tc>
        <w:tc>
          <w:tcPr>
            <w:tcW w:w="3340" w:type="dxa"/>
            <w:vAlign w:val="bottom"/>
          </w:tcPr>
          <w:p>
            <w:pPr>
              <w:spacing w:after="0"/>
              <w:rPr>
                <w:sz w:val="19"/>
                <w:szCs w:val="19"/>
                <w:color w:val="auto"/>
              </w:rPr>
            </w:pPr>
          </w:p>
        </w:tc>
      </w:tr>
      <w:tr>
        <w:trPr>
          <w:trHeight w:val="323"/>
        </w:trPr>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w w:val="83"/>
              </w:rPr>
              <w:t>/s/</w:t>
            </w:r>
          </w:p>
        </w:tc>
        <w:tc>
          <w:tcPr>
            <w:tcW w:w="2380" w:type="dxa"/>
            <w:vAlign w:val="bottom"/>
            <w:tcBorders>
              <w:bottom w:val="single" w:sz="8" w:color="auto"/>
            </w:tcBorders>
            <w:gridSpan w:val="2"/>
          </w:tcPr>
          <w:p>
            <w:pPr>
              <w:jc w:val="center"/>
              <w:ind w:right="773"/>
              <w:spacing w:after="0"/>
              <w:rPr>
                <w:sz w:val="20"/>
                <w:szCs w:val="20"/>
                <w:color w:val="auto"/>
              </w:rPr>
            </w:pPr>
            <w:r>
              <w:rPr>
                <w:rFonts w:ascii="Arial" w:cs="Arial" w:eastAsia="Arial" w:hAnsi="Arial"/>
                <w:sz w:val="18"/>
                <w:szCs w:val="18"/>
                <w:color w:val="auto"/>
                <w:w w:val="93"/>
              </w:rPr>
              <w:t>Frederick Ahlholm</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Accounting Officer</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95"/>
              </w:rPr>
              <w:t>Frederick Ahlholm</w:t>
            </w:r>
          </w:p>
        </w:tc>
        <w:tc>
          <w:tcPr>
            <w:tcW w:w="240" w:type="dxa"/>
            <w:vAlign w:val="bottom"/>
          </w:tcPr>
          <w:p>
            <w:pPr>
              <w:spacing w:after="0"/>
              <w:rPr>
                <w:sz w:val="19"/>
                <w:szCs w:val="19"/>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5"/>
              </w:rPr>
              <w:t>(Principal Accounting Officer)</w:t>
            </w:r>
          </w:p>
        </w:tc>
        <w:tc>
          <w:tcPr>
            <w:tcW w:w="3340" w:type="dxa"/>
            <w:vAlign w:val="bottom"/>
          </w:tcPr>
          <w:p>
            <w:pPr>
              <w:spacing w:after="0"/>
              <w:rPr>
                <w:sz w:val="19"/>
                <w:szCs w:val="19"/>
                <w:color w:val="auto"/>
              </w:rPr>
            </w:pPr>
          </w:p>
        </w:tc>
      </w:tr>
      <w:tr>
        <w:trPr>
          <w:trHeight w:val="323"/>
        </w:trPr>
        <w:tc>
          <w:tcPr>
            <w:tcW w:w="11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73"/>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33"/>
              <w:spacing w:after="0"/>
              <w:rPr>
                <w:sz w:val="20"/>
                <w:szCs w:val="20"/>
                <w:color w:val="auto"/>
              </w:rPr>
            </w:pPr>
            <w:r>
              <w:rPr>
                <w:rFonts w:ascii="Arial" w:cs="Arial" w:eastAsia="Arial" w:hAnsi="Arial"/>
                <w:sz w:val="18"/>
                <w:szCs w:val="18"/>
                <w:color w:val="auto"/>
                <w:w w:val="95"/>
              </w:rPr>
              <w:t>William F. Doyle</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10"/>
        </w:trPr>
        <w:tc>
          <w:tcPr>
            <w:tcW w:w="1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center"/>
              <w:ind w:right="1033"/>
              <w:spacing w:after="0"/>
              <w:rPr>
                <w:sz w:val="20"/>
                <w:szCs w:val="20"/>
                <w:color w:val="auto"/>
              </w:rPr>
            </w:pPr>
            <w:r>
              <w:rPr>
                <w:rFonts w:ascii="Arial" w:cs="Arial" w:eastAsia="Arial" w:hAnsi="Arial"/>
                <w:sz w:val="18"/>
                <w:szCs w:val="18"/>
                <w:color w:val="auto"/>
                <w:w w:val="96"/>
              </w:rPr>
              <w:t>William F. Doyle</w:t>
            </w:r>
          </w:p>
        </w:tc>
        <w:tc>
          <w:tcPr>
            <w:tcW w:w="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331"/>
        </w:trPr>
        <w:tc>
          <w:tcPr>
            <w:tcW w:w="11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w w:val="94"/>
              </w:rPr>
              <w:t>/s/</w:t>
            </w: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right="813"/>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/s/</w:t>
            </w:r>
          </w:p>
        </w:tc>
        <w:tc>
          <w:tcPr>
            <w:tcW w:w="2240" w:type="dxa"/>
            <w:vAlign w:val="bottom"/>
            <w:tcBorders>
              <w:bottom w:val="single" w:sz="8" w:color="auto"/>
            </w:tcBorders>
          </w:tcPr>
          <w:p>
            <w:pPr>
              <w:jc w:val="center"/>
              <w:ind w:right="813"/>
              <w:spacing w:after="0"/>
              <w:rPr>
                <w:sz w:val="20"/>
                <w:szCs w:val="20"/>
                <w:color w:val="auto"/>
              </w:rPr>
            </w:pPr>
            <w:r>
              <w:rPr>
                <w:rFonts w:ascii="Arial" w:cs="Arial" w:eastAsia="Arial" w:hAnsi="Arial"/>
                <w:sz w:val="18"/>
                <w:szCs w:val="18"/>
                <w:color w:val="auto"/>
                <w:w w:val="93"/>
              </w:rPr>
              <w:t>Jeryl Hilleman</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1120" w:type="dxa"/>
            <w:vAlign w:val="bottom"/>
          </w:tcPr>
          <w:p>
            <w:pPr>
              <w:spacing w:after="0"/>
              <w:rPr>
                <w:sz w:val="19"/>
                <w:szCs w:val="19"/>
                <w:color w:val="auto"/>
              </w:rPr>
            </w:pPr>
          </w:p>
        </w:tc>
        <w:tc>
          <w:tcPr>
            <w:tcW w:w="2380" w:type="dxa"/>
            <w:vAlign w:val="bottom"/>
            <w:gridSpan w:val="2"/>
          </w:tcPr>
          <w:p>
            <w:pPr>
              <w:jc w:val="center"/>
              <w:ind w:right="1033"/>
              <w:spacing w:after="0"/>
              <w:rPr>
                <w:sz w:val="20"/>
                <w:szCs w:val="20"/>
                <w:color w:val="auto"/>
              </w:rPr>
            </w:pPr>
            <w:r>
              <w:rPr>
                <w:rFonts w:ascii="Arial" w:cs="Arial" w:eastAsia="Arial" w:hAnsi="Arial"/>
                <w:sz w:val="18"/>
                <w:szCs w:val="18"/>
                <w:color w:val="auto"/>
                <w:w w:val="93"/>
              </w:rPr>
              <w:t>Jeryl Hilleman</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2380" w:type="dxa"/>
            <w:vAlign w:val="bottom"/>
            <w:tcBorders>
              <w:bottom w:val="single" w:sz="8" w:color="auto"/>
            </w:tcBorders>
            <w:gridSpan w:val="2"/>
          </w:tcPr>
          <w:p>
            <w:pPr>
              <w:jc w:val="center"/>
              <w:ind w:right="693"/>
              <w:spacing w:after="0"/>
              <w:rPr>
                <w:sz w:val="20"/>
                <w:szCs w:val="20"/>
                <w:color w:val="auto"/>
              </w:rPr>
            </w:pPr>
            <w:r>
              <w:rPr>
                <w:rFonts w:ascii="Arial" w:cs="Arial" w:eastAsia="Arial" w:hAnsi="Arial"/>
                <w:sz w:val="18"/>
                <w:szCs w:val="18"/>
                <w:color w:val="auto"/>
                <w:w w:val="95"/>
              </w:rPr>
              <w:t>David Kupfer,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97"/>
              </w:rPr>
              <w:t>David Kupfer,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3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/s/  Fouzia Laghrissi-Thode,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3500" w:type="dxa"/>
            <w:vAlign w:val="bottom"/>
            <w:gridSpan w:val="3"/>
          </w:tcPr>
          <w:p>
            <w:pPr>
              <w:jc w:val="center"/>
              <w:spacing w:after="0"/>
              <w:rPr>
                <w:sz w:val="20"/>
                <w:szCs w:val="20"/>
                <w:color w:val="auto"/>
              </w:rPr>
            </w:pPr>
            <w:r>
              <w:rPr>
                <w:rFonts w:ascii="Arial" w:cs="Arial" w:eastAsia="Arial" w:hAnsi="Arial"/>
                <w:sz w:val="18"/>
                <w:szCs w:val="18"/>
                <w:color w:val="auto"/>
                <w:w w:val="92"/>
              </w:rPr>
              <w:t>Fouzia Laghrissi-Thode,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323"/>
        </w:trPr>
        <w:tc>
          <w:tcPr>
            <w:tcW w:w="1260" w:type="dxa"/>
            <w:vAlign w:val="bottom"/>
            <w:tcBorders>
              <w:bottom w:val="single" w:sz="8" w:color="auto"/>
            </w:tcBorders>
            <w:gridSpan w:val="2"/>
          </w:tcPr>
          <w:p>
            <w:pPr>
              <w:ind w:left="1080"/>
              <w:spacing w:after="0"/>
              <w:rPr>
                <w:sz w:val="20"/>
                <w:szCs w:val="20"/>
                <w:color w:val="auto"/>
              </w:rPr>
            </w:pPr>
            <w:r>
              <w:rPr>
                <w:rFonts w:ascii="Arial" w:cs="Arial" w:eastAsia="Arial" w:hAnsi="Arial"/>
                <w:sz w:val="18"/>
                <w:szCs w:val="18"/>
                <w:color w:val="auto"/>
                <w:w w:val="83"/>
              </w:rPr>
              <w:t>/s/</w:t>
            </w:r>
          </w:p>
        </w:tc>
        <w:tc>
          <w:tcPr>
            <w:tcW w:w="2240" w:type="dxa"/>
            <w:vAlign w:val="bottom"/>
            <w:tcBorders>
              <w:bottom w:val="single" w:sz="8" w:color="auto"/>
            </w:tcBorders>
          </w:tcPr>
          <w:p>
            <w:pPr>
              <w:jc w:val="center"/>
              <w:ind w:right="833"/>
              <w:spacing w:after="0"/>
              <w:rPr>
                <w:sz w:val="20"/>
                <w:szCs w:val="20"/>
                <w:color w:val="auto"/>
              </w:rPr>
            </w:pPr>
            <w:r>
              <w:rPr>
                <w:rFonts w:ascii="Arial" w:cs="Arial" w:eastAsia="Arial" w:hAnsi="Arial"/>
                <w:sz w:val="18"/>
                <w:szCs w:val="18"/>
                <w:color w:val="auto"/>
                <w:w w:val="87"/>
              </w:rPr>
              <w:t>Jan van Heek</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9, 2020</w:t>
            </w:r>
          </w:p>
        </w:tc>
      </w:tr>
      <w:tr>
        <w:trPr>
          <w:trHeight w:val="224"/>
        </w:trPr>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40" w:type="dxa"/>
            <w:vAlign w:val="bottom"/>
          </w:tcPr>
          <w:p>
            <w:pPr>
              <w:jc w:val="center"/>
              <w:ind w:right="1173"/>
              <w:spacing w:after="0"/>
              <w:rPr>
                <w:sz w:val="20"/>
                <w:szCs w:val="20"/>
                <w:color w:val="auto"/>
              </w:rPr>
            </w:pPr>
            <w:r>
              <w:rPr>
                <w:rFonts w:ascii="Arial" w:cs="Arial" w:eastAsia="Arial" w:hAnsi="Arial"/>
                <w:sz w:val="18"/>
                <w:szCs w:val="18"/>
                <w:color w:val="auto"/>
                <w:w w:val="89"/>
              </w:rPr>
              <w:t>Jan van Heek</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r>
      <w:tr>
        <w:trPr>
          <w:trHeight w:val="485"/>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160" w:type="dxa"/>
            <w:vAlign w:val="bottom"/>
            <w:gridSpan w:val="2"/>
          </w:tcPr>
          <w:p>
            <w:pPr>
              <w:jc w:val="right"/>
              <w:ind w:right="1851"/>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March 5, 2020, Minerva Neurosciences, Inc. (the “Company”) has one class of securities registered under Section 12 of the Securities Exchange Act of 1934, as amended (the “Exchange Act”): our common stock.</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description of our common stock is a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4.4 is a part. We encourage you to read our certificate of incorporation, our bylaws and the applicable provisions of Delaware law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authorized capital stock consists of 125,000,000 shares of common stock, $0.0001 par value per share, and 100,000,000 shares of preferred stock, $0.0001 par value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for each share of common stock on all matters submitted to a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be applicable to any then outstanding preferred stock, holders of our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such dividends, if any, as may be declared from time to time by our board of directors out of legally available funds.</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 up, holders of our common stock will be entitled to share ratably in the net assets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to stockholders after the payment of all of our debts and other liabilities and the satisfaction of any liquidation preference granted to the holders of any then outstanding shares of preferred stock.</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Rights and Preferences. </w:t>
      </w:r>
      <w:r>
        <w:rPr>
          <w:rFonts w:ascii="Arial" w:cs="Arial" w:eastAsia="Arial" w:hAnsi="Arial"/>
          <w:sz w:val="17"/>
          <w:szCs w:val="17"/>
          <w:color w:val="auto"/>
        </w:rPr>
        <w:t>Holders of our common stock have no preemptive, conversion, subscription or other rights, and there are no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 applicable to our common stock. The outstanding shares of our common stock are fully paid and nonassessable.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Certificate of Incorporation and Bylaws. </w:t>
      </w:r>
      <w:r>
        <w:rPr>
          <w:rFonts w:ascii="Arial" w:cs="Arial" w:eastAsia="Arial" w:hAnsi="Arial"/>
          <w:sz w:val="16"/>
          <w:szCs w:val="16"/>
          <w:color w:val="auto"/>
        </w:rPr>
        <w:t>Our amended and restated certificate of incorporation provides for our board of directors to be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right="100"/>
        <w:spacing w:after="0" w:line="253" w:lineRule="auto"/>
        <w:rPr>
          <w:sz w:val="20"/>
          <w:szCs w:val="20"/>
          <w:color w:val="auto"/>
        </w:rPr>
      </w:pPr>
      <w:r>
        <w:rPr>
          <w:rFonts w:ascii="Arial" w:cs="Arial" w:eastAsia="Arial" w:hAnsi="Arial"/>
          <w:sz w:val="18"/>
          <w:szCs w:val="18"/>
          <w:color w:val="auto"/>
        </w:rPr>
        <w:t>Our amended and restated certificate of incorporation requires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6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Forum</w:t>
      </w:r>
      <w:r>
        <w:rPr>
          <w:rFonts w:ascii="Arial" w:cs="Arial" w:eastAsia="Arial" w:hAnsi="Arial"/>
          <w:sz w:val="17"/>
          <w:szCs w:val="17"/>
          <w:color w:val="auto"/>
        </w:rPr>
        <w:t>. Our amended and restated certificate of incorporation and our amended and restated bylaws provide that, unless we consent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of an alternative forum, the Court of Chancery of 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 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Global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“NERV”.</w:t>
      </w:r>
    </w:p>
    <w:p>
      <w:pPr>
        <w:sectPr>
          <w:pgSz w:w="11900" w:h="16838" w:orient="portrait"/>
          <w:cols w:equalWidth="0" w:num="1">
            <w:col w:w="11220"/>
          </w:cols>
          <w:pgMar w:left="320" w:top="301" w:right="35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Subsidiaries of Minerva Neurosciences, Inc.</w:t>
            </w: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Mind-NRG Sarl</w:t>
            </w:r>
          </w:p>
        </w:tc>
        <w:tc>
          <w:tcPr>
            <w:tcW w:w="1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Switzerland</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8"/>
              </w:rPr>
              <w:t>Minerva Neurosciences Securities Corporation</w:t>
            </w:r>
          </w:p>
        </w:tc>
        <w:tc>
          <w:tcPr>
            <w:tcW w:w="1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333-205764 and 333-226783 on Form S-3 and Nos. 333-225672, 333-223593, 333-222368, 333-216637, 333-210147, 333-203738, and 333-198753 on Form S-8 of our reports dated March 9, 2020, relating to the consolidated financial statements of Minerva Neurosciences, Inc. and the effectiveness of Minerva Neurosciences, Inc.’s internal control over financial reporting appearing in this Annual Report on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ectPr>
          <w:pgSz w:w="11900" w:h="16838" w:orient="portrait"/>
          <w:cols w:equalWidth="0" w:num="1">
            <w:col w:w="11240"/>
          </w:cols>
          <w:pgMar w:left="320" w:top="337"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25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Geoffrey Race, certify that:</w:t>
      </w:r>
    </w:p>
    <w:p>
      <w:pPr>
        <w:spacing w:after="0" w:line="117"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2020</w:t>
      </w:r>
    </w:p>
    <w:p>
      <w:pPr>
        <w:spacing w:after="0" w:line="252"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Geoffrey Race</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101" w:name="page102"/>
    <w:bookmarkEnd w:id="101"/>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CERTIFICATIONS PURSUANT TO 18 U.S.C. SECTION 1350 AS ADOPTED PURSUANT TO 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Remy Luthringer</w:t>
      </w:r>
      <w:r>
        <w:rPr>
          <w:rFonts w:ascii="Arial" w:cs="Arial" w:eastAsia="Arial" w:hAnsi="Arial"/>
          <w:sz w:val="17"/>
          <w:szCs w:val="17"/>
          <w:b w:val="1"/>
          <w:bCs w:val="1"/>
          <w:color w:val="auto"/>
        </w:rPr>
        <w:t>,</w:t>
      </w:r>
      <w:r>
        <w:rPr>
          <w:rFonts w:ascii="Arial" w:cs="Arial" w:eastAsia="Arial" w:hAnsi="Arial"/>
          <w:sz w:val="17"/>
          <w:szCs w:val="17"/>
          <w:color w:val="auto"/>
        </w:rPr>
        <w:t xml:space="preserve"> Chief Executive Officer of Minerva Neurosciences, Inc. (the “Company”), and Geoff Race, Chief Financial Officer of the Company, each hereby certifies that, to the best of his knowledge:</w:t>
      </w:r>
    </w:p>
    <w:p>
      <w:pPr>
        <w:spacing w:after="0" w:line="57" w:lineRule="exact"/>
        <w:rPr>
          <w:sz w:val="20"/>
          <w:szCs w:val="20"/>
          <w:color w:val="auto"/>
        </w:rPr>
      </w:pPr>
    </w:p>
    <w:p>
      <w:pPr>
        <w:ind w:left="500" w:hanging="492"/>
        <w:spacing w:after="0" w:line="277" w:lineRule="auto"/>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2019,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00" w:hanging="492"/>
        <w:spacing w:after="0" w:line="277" w:lineRule="auto"/>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Date: March 9, 2020</w:t>
            </w:r>
          </w:p>
        </w:tc>
        <w:tc>
          <w:tcPr>
            <w:tcW w:w="5040" w:type="dxa"/>
            <w:vAlign w:val="bottom"/>
          </w:tcPr>
          <w:p>
            <w:pPr>
              <w:spacing w:after="0"/>
              <w:rPr>
                <w:sz w:val="20"/>
                <w:szCs w:val="20"/>
                <w:color w:val="auto"/>
              </w:rPr>
            </w:pPr>
          </w:p>
        </w:tc>
      </w:tr>
      <w:tr>
        <w:trPr>
          <w:trHeight w:val="459"/>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/s/ Remy Luthringer, Ph.D.</w:t>
            </w:r>
          </w:p>
        </w:tc>
        <w:tc>
          <w:tcPr>
            <w:tcW w:w="5040" w:type="dxa"/>
            <w:vAlign w:val="bottom"/>
          </w:tcPr>
          <w:p>
            <w:pPr>
              <w:jc w:val="center"/>
              <w:spacing w:after="0"/>
              <w:rPr>
                <w:sz w:val="20"/>
                <w:szCs w:val="20"/>
                <w:color w:val="auto"/>
              </w:rPr>
            </w:pPr>
            <w:r>
              <w:rPr>
                <w:rFonts w:ascii="Arial" w:cs="Arial" w:eastAsia="Arial" w:hAnsi="Arial"/>
                <w:sz w:val="18"/>
                <w:szCs w:val="18"/>
                <w:color w:val="auto"/>
                <w:w w:val="89"/>
              </w:rPr>
              <w:t>/s/ Geoffrey Race</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Remy Luthringer, Ph.D.</w:t>
            </w:r>
          </w:p>
        </w:tc>
        <w:tc>
          <w:tcPr>
            <w:tcW w:w="112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Geoffrey Race</w:t>
            </w:r>
          </w:p>
        </w:tc>
      </w:tr>
      <w:tr>
        <w:trPr>
          <w:trHeight w:val="216"/>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Chief Executive Officer and</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Chairman of the Board of Directors</w:t>
            </w:r>
          </w:p>
        </w:tc>
        <w:tc>
          <w:tcPr>
            <w:tcW w:w="504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606"/>
    </w:lvl>
  </w:abstractNum>
  <w:abstractNum w:abstractNumId="29">
    <w:nsid w:val="3006C83E"/>
    <w:multiLevelType w:val="hybridMultilevel"/>
    <w:lvl w:ilvl="0">
      <w:lvlJc w:val="left"/>
      <w:lvlText w:val="(%1)"/>
      <w:numFmt w:val="lowerRoman"/>
      <w:start w:val="2"/>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
      <w:numFmt w:val="bullet"/>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46" Type="http://schemas.openxmlformats.org/officeDocument/2006/relationships/image" Target="media/image105.png"/><Relationship Id="rId14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10" Type="http://schemas.openxmlformats.org/officeDocument/2006/relationships/hyperlink" Target="http://www.sec.gov/Archives/edgar/data/0001598646/000104746914003612/a2219290zex-10_11.htm" TargetMode="External"/><Relationship Id="rId111" Type="http://schemas.openxmlformats.org/officeDocument/2006/relationships/hyperlink" Target="http://www.sec.gov/Archives/edgar/data/0001598646/000104746914005459/a2219972zex-3_3.htm" TargetMode="External"/><Relationship Id="rId112" Type="http://schemas.openxmlformats.org/officeDocument/2006/relationships/hyperlink" Target="http://www.sec.gov/Archives/edgar/data/0001598646/000104746914005459/a2219972zex-3_1.htm" TargetMode="External"/><Relationship Id="rId113" Type="http://schemas.openxmlformats.org/officeDocument/2006/relationships/hyperlink" Target="http://www.sec.gov/Archives/edgar/data/0001598646/000156459019039496/nerv-ex32_112.htm" TargetMode="External"/><Relationship Id="rId114" Type="http://schemas.openxmlformats.org/officeDocument/2006/relationships/hyperlink" Target="http://www.sec.gov/Archives/edgar/data/0001598646/000104746914005459/a2219972zex-4_1.htm" TargetMode="External"/><Relationship Id="rId115" Type="http://schemas.openxmlformats.org/officeDocument/2006/relationships/hyperlink" Target="http://www.sec.gov/Archives/edgar/data/0001598646/000104746914005459/a2219972zex-4_2.htm" TargetMode="External"/><Relationship Id="rId116" Type="http://schemas.openxmlformats.org/officeDocument/2006/relationships/hyperlink" Target="http://www.sec.gov/Archives/edgar/data/0001598646/000104746914005459/a2219972zex-4_3.htm" TargetMode="External"/><Relationship Id="rId117" Type="http://schemas.openxmlformats.org/officeDocument/2006/relationships/hyperlink" Target="http://www.sec.gov/Archives/edgar/data/0001598646/000104746914003612/a2219290zex-10_13.htm" TargetMode="External"/><Relationship Id="rId118" Type="http://schemas.openxmlformats.org/officeDocument/2006/relationships/hyperlink" Target="http://www.sec.gov/Archives/edgar/data/0001598646/000104746914003612/a2219290zex-10_14.htm" TargetMode="External"/><Relationship Id="rId119" Type="http://schemas.openxmlformats.org/officeDocument/2006/relationships/hyperlink" Target="http://www.sec.gov/Archives/edgar/data/0001598646/000104746914005459/a2219972zex-10_26.htm" TargetMode="External"/><Relationship Id="rId120" Type="http://schemas.openxmlformats.org/officeDocument/2006/relationships/hyperlink" Target="http://www.sec.gov/Archives/edgar/data/0001598646/000104746914005459/a2219972zex-10_27.htm" TargetMode="External"/><Relationship Id="rId121" Type="http://schemas.openxmlformats.org/officeDocument/2006/relationships/hyperlink" Target="http://www.sec.gov/Archives/edgar/data/0001598646/000104746914003612/a2219290zex-10_19.htm" TargetMode="External"/><Relationship Id="rId122" Type="http://schemas.openxmlformats.org/officeDocument/2006/relationships/hyperlink" Target="http://www.sec.gov/Archives/edgar/data/0001598646/000104746914003612/a2219290zex-10_20.htm" TargetMode="External"/><Relationship Id="rId123" Type="http://schemas.openxmlformats.org/officeDocument/2006/relationships/hyperlink" Target="http://www.sec.gov/Archives/edgar/data/0001598646/000104746914003612/a2219290zex-10_22.htm" TargetMode="External"/><Relationship Id="rId124" Type="http://schemas.openxmlformats.org/officeDocument/2006/relationships/hyperlink" Target="http://www.sec.gov/Archives/edgar/data/0001598646/000104746914003612/a2219290zex-10_23.htm" TargetMode="External"/><Relationship Id="rId125" Type="http://schemas.openxmlformats.org/officeDocument/2006/relationships/hyperlink" Target="http://www.sec.gov/Archives/edgar/data/0001598646/000104746914005459/a2219972zex-10_1.htm" TargetMode="External"/><Relationship Id="rId128" Type="http://schemas.openxmlformats.org/officeDocument/2006/relationships/hyperlink" Target="http://www.sec.gov/Archives/edgar/data/0001598646/000104746914005459/a2219972zex-10_2.htm" TargetMode="External"/><Relationship Id="rId129" Type="http://schemas.openxmlformats.org/officeDocument/2006/relationships/hyperlink" Target="http://www.sec.gov/Archives/edgar/data/0001598646/000104746914005459/a2219972zex-10_3.htm" TargetMode="External"/><Relationship Id="rId130" Type="http://schemas.openxmlformats.org/officeDocument/2006/relationships/hyperlink" Target="http://www.sec.gov/Archives/edgar/data/0001598646/000104746914005459/a2219972zex-10_4.htm" TargetMode="External"/><Relationship Id="rId131" Type="http://schemas.openxmlformats.org/officeDocument/2006/relationships/hyperlink" Target="http://www.sec.gov/Archives/edgar/data/0001598646/000104746914005459/a2219972zex-10_5.htm" TargetMode="External"/><Relationship Id="rId132" Type="http://schemas.openxmlformats.org/officeDocument/2006/relationships/hyperlink" Target="http://www.sec.gov/Archives/edgar/data/0001598646/000104746914005459/a2219972zex-10_6.htm" TargetMode="External"/><Relationship Id="rId133" Type="http://schemas.openxmlformats.org/officeDocument/2006/relationships/hyperlink" Target="http://www.sec.gov/Archives/edgar/data/0001598646/000104746914005459/a2219972zex-10_7.htm" TargetMode="External"/><Relationship Id="rId134" Type="http://schemas.openxmlformats.org/officeDocument/2006/relationships/hyperlink" Target="http://www.sec.gov/Archives/edgar/data/0001598646/000104746914005459/a2219972zex-10_9.htm" TargetMode="External"/><Relationship Id="rId135" Type="http://schemas.openxmlformats.org/officeDocument/2006/relationships/hyperlink" Target="http://www.sec.gov/Archives/edgar/data/1598646/000119312518189474/d588176dex991.htm" TargetMode="External"/><Relationship Id="rId136" Type="http://schemas.openxmlformats.org/officeDocument/2006/relationships/hyperlink" Target="http://www.sec.gov/Archives/edgar/data/0001598646/000119312515096955/d890084dex101.htm" TargetMode="External"/><Relationship Id="rId137" Type="http://schemas.openxmlformats.org/officeDocument/2006/relationships/hyperlink" Target="http://www.sec.gov/Archives/edgar/data/0001598646/000119312515096955/d890084dex103.htm" TargetMode="External"/><Relationship Id="rId138" Type="http://schemas.openxmlformats.org/officeDocument/2006/relationships/hyperlink" Target="http://www.sec.gov/Archives/edgar/data/0001598646/000156459015003491/nerv-ex105_20150331184.htm" TargetMode="External"/><Relationship Id="rId139" Type="http://schemas.openxmlformats.org/officeDocument/2006/relationships/hyperlink" Target="http://www.sec.gov/Archives/edgar/data/1598646/000156459018018659/nerv-ex102_88.htm" TargetMode="External"/><Relationship Id="rId140" Type="http://schemas.openxmlformats.org/officeDocument/2006/relationships/hyperlink" Target="http://www.sec.gov/Archives/edgar/data/0001598646/000156459015009483/nerv-ex102_99.htm" TargetMode="External"/><Relationship Id="rId141" Type="http://schemas.openxmlformats.org/officeDocument/2006/relationships/hyperlink" Target="http://www.sec.gov/Archives/edgar/data/0001598646/000119312516509484/d137820dex101.htm" TargetMode="External"/><Relationship Id="rId142" Type="http://schemas.openxmlformats.org/officeDocument/2006/relationships/hyperlink" Target="http://www.sec.gov/Archives/edgar/data/0001598646/000156459016022499/nerv-ex101_183.htm" TargetMode="External"/><Relationship Id="rId143" Type="http://schemas.openxmlformats.org/officeDocument/2006/relationships/hyperlink" Target="http://www.sec.gov/Archives/edgar/data/0001598646/000156459016022499/nerv-ex102_182.htm" TargetMode="External"/><Relationship Id="rId144" Type="http://schemas.openxmlformats.org/officeDocument/2006/relationships/hyperlink" Target="http://www.sec.gov/Archives/edgar/data/0001598646/000156459016022499/nerv-ex103_181.htm" TargetMode="External"/><Relationship Id="rId145" Type="http://schemas.openxmlformats.org/officeDocument/2006/relationships/hyperlink" Target="http://www.sec.gov/Archives/edgar/data/0001598646/000156459016022499/nerv-ex104_179.htm" TargetMode="External"/><Relationship Id="rId148" Type="http://schemas.openxmlformats.org/officeDocument/2006/relationships/hyperlink" Target="http://www.sec.gov/Archives/edgar/data/0001598646/000156459016022499/nerv-ex105_180.htm" TargetMode="External"/><Relationship Id="rId149" Type="http://schemas.openxmlformats.org/officeDocument/2006/relationships/hyperlink" Target="http://www.sec.gov/Archives/edgar/data/0001598646/000119312516795845/d306566dex1001.htm" TargetMode="External"/><Relationship Id="rId150" Type="http://schemas.openxmlformats.org/officeDocument/2006/relationships/hyperlink" Target="http://www.sec.gov/Archives/edgar/data/0001598646/000156459017004048/nerv-ex1036_286.htm" TargetMode="External"/><Relationship Id="rId151" Type="http://schemas.openxmlformats.org/officeDocument/2006/relationships/hyperlink" Target="http://www.sec.gov/Archives/edgar/data/1598646/000119312517305938/d341528dex101.htm" TargetMode="External"/><Relationship Id="rId152" Type="http://schemas.openxmlformats.org/officeDocument/2006/relationships/hyperlink" Target="http://www.sec.gov/Archives/edgar/data/1598646/000119312517203538/d413527dex101.htm" TargetMode="External"/><Relationship Id="rId153" Type="http://schemas.openxmlformats.org/officeDocument/2006/relationships/hyperlink" Target="http://www.sec.gov/Archives/edgar/data/1598646/000119312517203538/d413527dex102.htm" TargetMode="External"/><Relationship Id="rId154" Type="http://schemas.openxmlformats.org/officeDocument/2006/relationships/hyperlink" Target="http://www.sec.gov/Archives/edgar/data/1598646/000119312517366344/d508860dex101.htm" TargetMode="External"/><Relationship Id="rId155" Type="http://schemas.openxmlformats.org/officeDocument/2006/relationships/hyperlink" Target="http://www.sec.gov/Archives/edgar/data/1598646/000119312517366344/d508860dex102.htm" TargetMode="External"/><Relationship Id="rId156" Type="http://schemas.openxmlformats.org/officeDocument/2006/relationships/hyperlink" Target="http://www.sec.gov/Archives/edgar/data/1598646/000119312517366344/d508860dex103.htm" TargetMode="External"/><Relationship Id="rId157" Type="http://schemas.openxmlformats.org/officeDocument/2006/relationships/hyperlink" Target="http://www.sec.gov/Archives/edgar/data/0001598646/000156459019039496/nerv-ex101_5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2020-03-09T05:34:40Z</dcterms:created>
  <dcterms:modified xsi:type="dcterms:W3CDTF">2020-03-09T05:34:40Z</dcterms:modified>
</cp:coreProperties>
</file>