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6" w:lineRule="exact"/>
        <w:rPr>
          <w:rFonts w:ascii="MS PGothic" w:cs="MS PGothic" w:eastAsia="MS PGothic" w:hAnsi="MS PGothic"/>
          <w:sz w:val="18"/>
          <w:szCs w:val="18"/>
          <w:color w:val="auto"/>
        </w:rPr>
      </w:pPr>
    </w:p>
    <w:p>
      <w:pPr>
        <w:ind w:left="40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2025</w:t>
      </w:r>
    </w:p>
    <w:p>
      <w:pPr>
        <w:spacing w:after="0" w:line="72"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520" w:right="820" w:hanging="512"/>
        <w:spacing w:after="0" w:line="285" w:lineRule="auto"/>
        <w:tabs>
          <w:tab w:leader="none" w:pos="4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6320" w:type="dxa"/>
            <w:vAlign w:val="bottom"/>
            <w:gridSpan w:val="3"/>
          </w:tcPr>
          <w:p>
            <w:pPr>
              <w:jc w:val="center"/>
              <w:ind w:left="1627"/>
              <w:spacing w:after="0"/>
              <w:rPr>
                <w:sz w:val="20"/>
                <w:szCs w:val="20"/>
                <w:color w:val="auto"/>
              </w:rPr>
            </w:pPr>
            <w:r>
              <w:rPr>
                <w:rFonts w:ascii="Times New Roman" w:cs="Times New Roman" w:eastAsia="Times New Roman" w:hAnsi="Times New Roman"/>
                <w:sz w:val="16"/>
                <w:szCs w:val="16"/>
                <w:b w:val="1"/>
                <w:bCs w:val="1"/>
                <w:color w:val="auto"/>
              </w:rPr>
              <w:t>Commission File Number 001-36517</w:t>
            </w:r>
          </w:p>
        </w:tc>
        <w:tc>
          <w:tcPr>
            <w:tcW w:w="1160" w:type="dxa"/>
            <w:vAlign w:val="bottom"/>
          </w:tcPr>
          <w:p>
            <w:pPr>
              <w:spacing w:after="0"/>
              <w:rPr>
                <w:sz w:val="18"/>
                <w:szCs w:val="18"/>
                <w:color w:val="auto"/>
              </w:rPr>
            </w:pPr>
          </w:p>
        </w:tc>
      </w:tr>
      <w:tr>
        <w:trPr>
          <w:trHeight w:val="87"/>
        </w:trPr>
        <w:tc>
          <w:tcPr>
            <w:tcW w:w="29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464"/>
        </w:trPr>
        <w:tc>
          <w:tcPr>
            <w:tcW w:w="6320" w:type="dxa"/>
            <w:vAlign w:val="bottom"/>
            <w:gridSpan w:val="3"/>
          </w:tcPr>
          <w:p>
            <w:pPr>
              <w:ind w:left="1700"/>
              <w:spacing w:after="0"/>
              <w:rPr>
                <w:sz w:val="20"/>
                <w:szCs w:val="20"/>
                <w:color w:val="auto"/>
              </w:rPr>
            </w:pPr>
            <w:r>
              <w:rPr>
                <w:rFonts w:ascii="Times New Roman" w:cs="Times New Roman" w:eastAsia="Times New Roman" w:hAnsi="Times New Roman"/>
                <w:sz w:val="38"/>
                <w:szCs w:val="38"/>
                <w:b w:val="1"/>
                <w:bCs w:val="1"/>
                <w:color w:val="auto"/>
                <w:w w:val="99"/>
              </w:rPr>
              <w:t>Minerva Neurosciences, Inc.</w:t>
            </w:r>
          </w:p>
        </w:tc>
        <w:tc>
          <w:tcPr>
            <w:tcW w:w="1160" w:type="dxa"/>
            <w:vAlign w:val="bottom"/>
          </w:tcPr>
          <w:p>
            <w:pPr>
              <w:spacing w:after="0"/>
              <w:rPr>
                <w:sz w:val="24"/>
                <w:szCs w:val="24"/>
                <w:color w:val="auto"/>
              </w:rPr>
            </w:pPr>
          </w:p>
        </w:tc>
      </w:tr>
      <w:tr>
        <w:trPr>
          <w:trHeight w:val="212"/>
        </w:trPr>
        <w:tc>
          <w:tcPr>
            <w:tcW w:w="6320" w:type="dxa"/>
            <w:vAlign w:val="bottom"/>
            <w:gridSpan w:val="3"/>
          </w:tcPr>
          <w:p>
            <w:pPr>
              <w:jc w:val="center"/>
              <w:ind w:left="162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160" w:type="dxa"/>
            <w:vAlign w:val="bottom"/>
          </w:tcPr>
          <w:p>
            <w:pPr>
              <w:spacing w:after="0"/>
              <w:rPr>
                <w:sz w:val="18"/>
                <w:szCs w:val="18"/>
                <w:color w:val="auto"/>
              </w:rPr>
            </w:pPr>
          </w:p>
        </w:tc>
      </w:tr>
      <w:tr>
        <w:trPr>
          <w:trHeight w:val="100"/>
        </w:trPr>
        <w:tc>
          <w:tcPr>
            <w:tcW w:w="29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52"/>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148"/>
        </w:trPr>
        <w:tc>
          <w:tcPr>
            <w:tcW w:w="6320" w:type="dxa"/>
            <w:vAlign w:val="bottom"/>
            <w:gridSpan w:val="3"/>
          </w:tcPr>
          <w:p>
            <w:pPr>
              <w:jc w:val="center"/>
              <w:ind w:right="39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4"/>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1160" w:type="dxa"/>
            <w:vAlign w:val="bottom"/>
          </w:tcPr>
          <w:p>
            <w:pPr>
              <w:spacing w:after="0"/>
              <w:rPr>
                <w:sz w:val="21"/>
                <w:szCs w:val="21"/>
                <w:color w:val="auto"/>
              </w:rPr>
            </w:pPr>
          </w:p>
        </w:tc>
      </w:tr>
      <w:tr>
        <w:trPr>
          <w:trHeight w:val="214"/>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1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190"/>
        </w:trPr>
        <w:tc>
          <w:tcPr>
            <w:tcW w:w="6320" w:type="dxa"/>
            <w:vAlign w:val="bottom"/>
            <w:gridSpan w:val="3"/>
          </w:tcPr>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 w:type="dxa"/>
            <w:vAlign w:val="bottom"/>
            <w:tcBorders>
              <w:top w:val="single" w:sz="8" w:color="auto"/>
              <w:bottom w:val="single" w:sz="8" w:color="auto"/>
            </w:tcBorders>
          </w:tcPr>
          <w:p>
            <w:pPr>
              <w:spacing w:after="0"/>
              <w:rPr>
                <w:sz w:val="21"/>
                <w:szCs w:val="21"/>
                <w:color w:val="auto"/>
              </w:rPr>
            </w:pPr>
          </w:p>
        </w:tc>
        <w:tc>
          <w:tcPr>
            <w:tcW w:w="3880" w:type="dxa"/>
            <w:vAlign w:val="bottom"/>
            <w:tcBorders>
              <w:top w:val="single" w:sz="8" w:color="auto"/>
              <w:bottom w:val="single" w:sz="8" w:color="auto"/>
              <w:right w:val="single" w:sz="8" w:color="auto"/>
            </w:tcBorders>
            <w:gridSpan w:val="4"/>
          </w:tcPr>
          <w:p>
            <w:pPr>
              <w:jc w:val="center"/>
              <w:ind w:right="339"/>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NERV</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gridSpan w:val="3"/>
          </w:tcPr>
          <w:p>
            <w:pPr>
              <w:jc w:val="center"/>
              <w:ind w:right="779"/>
              <w:spacing w:after="0" w:line="193"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5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2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67"/>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2"/>
              </w:rPr>
              <w:t>YES</w:t>
            </w:r>
          </w:p>
        </w:tc>
        <w:tc>
          <w:tcPr>
            <w:tcW w:w="2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2"/>
        </w:trPr>
        <w:tc>
          <w:tcPr>
            <w:tcW w:w="7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28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20"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16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78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8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0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spacing w:after="0"/>
              <w:rPr>
                <w:sz w:val="23"/>
                <w:szCs w:val="23"/>
                <w:color w:val="auto"/>
              </w:rPr>
            </w:pPr>
          </w:p>
        </w:tc>
        <w:tc>
          <w:tcPr>
            <w:tcW w:w="1780" w:type="dxa"/>
            <w:vAlign w:val="bottom"/>
          </w:tcPr>
          <w:p>
            <w:pPr>
              <w:spacing w:after="0"/>
              <w:rPr>
                <w:sz w:val="23"/>
                <w:szCs w:val="23"/>
                <w:color w:val="auto"/>
              </w:rPr>
            </w:pPr>
          </w:p>
        </w:tc>
      </w:tr>
    </w:tbl>
    <w:p>
      <w:pPr>
        <w:spacing w:after="0" w:line="20"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756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3" w:lineRule="exact"/>
        <w:rPr>
          <w:sz w:val="24"/>
          <w:szCs w:val="24"/>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 aggregate value of the Company’s Common Stock held by non-affiliates of the Company was approximately $7.0 million as of June 30, 2025, when the last reported sales price was $1.72 per share.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March 6, 2026 was 43,274,398.</w:t>
      </w:r>
    </w:p>
    <w:p>
      <w:pPr>
        <w:spacing w:after="0" w:line="7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73" w:lineRule="exact"/>
        <w:rPr>
          <w:sz w:val="24"/>
          <w:szCs w:val="24"/>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2026 Annual Meeting of Stockholders to be filed pursuant to Regulation 14A with the Securities and Exchange Commission are incorporated by reference into Part III of this Report. Such proxy statement will be filed with the Securities and Exchange Commission not later than 120 days following the end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614680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00" w:type="dxa"/>
            <w:vAlign w:val="bottom"/>
            <w:gridSpan w:val="10"/>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MINERVA NEUROSCIENCES, INC.</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560" w:type="dxa"/>
            <w:vAlign w:val="bottom"/>
            <w:gridSpan w:val="6"/>
          </w:tcPr>
          <w:p>
            <w:pPr>
              <w:spacing w:after="0"/>
              <w:rPr>
                <w:sz w:val="17"/>
                <w:szCs w:val="17"/>
                <w:color w:val="auto"/>
              </w:rPr>
            </w:pP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864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50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54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882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480" w:type="dxa"/>
            <w:vAlign w:val="bottom"/>
            <w:gridSpan w:val="5"/>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[Reserved]</w:t>
            </w:r>
          </w:p>
        </w:tc>
        <w:tc>
          <w:tcPr>
            <w:tcW w:w="7300" w:type="dxa"/>
            <w:vAlign w:val="bottom"/>
            <w:tcBorders>
              <w:top w:val="single" w:sz="8" w:color="0000EE"/>
            </w:tcBorders>
            <w:gridSpan w:val="17"/>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bottom w:val="single" w:sz="8" w:color="0000EE"/>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2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622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EE"/>
            </w:tcBorders>
            <w:gridSpan w:val="10"/>
          </w:tcPr>
          <w:p>
            <w:pPr>
              <w:spacing w:after="0"/>
              <w:rPr>
                <w:sz w:val="17"/>
                <w:szCs w:val="17"/>
                <w:color w:val="auto"/>
              </w:rPr>
            </w:pPr>
          </w:p>
        </w:tc>
        <w:tc>
          <w:tcPr>
            <w:tcW w:w="30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8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8"/>
              </w:rPr>
              <w:t>PART III.</w:t>
            </w:r>
          </w:p>
        </w:tc>
        <w:tc>
          <w:tcPr>
            <w:tcW w:w="400" w:type="dxa"/>
            <w:vAlign w:val="bottom"/>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EE"/>
            </w:tcBorders>
            <w:gridSpan w:val="5"/>
          </w:tcPr>
          <w:p>
            <w:pPr>
              <w:spacing w:after="0"/>
              <w:rPr>
                <w:sz w:val="17"/>
                <w:szCs w:val="17"/>
                <w:color w:val="auto"/>
              </w:rPr>
            </w:pPr>
          </w:p>
        </w:tc>
        <w:tc>
          <w:tcPr>
            <w:tcW w:w="546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26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960" w:type="dxa"/>
            <w:vAlign w:val="bottom"/>
            <w:tcBorders>
              <w:bottom w:val="single" w:sz="8" w:color="0000EE"/>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Person Transactions and Director Independence</w:t>
            </w:r>
          </w:p>
        </w:tc>
        <w:tc>
          <w:tcPr>
            <w:tcW w:w="36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PART IV.</w:t>
            </w:r>
          </w:p>
        </w:tc>
        <w:tc>
          <w:tcPr>
            <w:tcW w:w="42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7"/>
              </w:rPr>
              <w:t>Exhibit Index</w:t>
            </w: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5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Signatures</w:t>
            </w:r>
          </w:p>
        </w:tc>
        <w:tc>
          <w:tcPr>
            <w:tcW w:w="440" w:type="dxa"/>
            <w:vAlign w:val="bottom"/>
            <w:gridSpan w:val="4"/>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All trademarks, trade names, service marks, and copyrights appearing in this Annual Report on Form 10-K are the property of their respective owners.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Annual Report on Form 10-K under Part I, Item IA, “Risk Factors.”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summary of risks below provides an overview of the principal risks that we are exposed to in the normal course of our business activities. The below summary of risks is not exhaustive, and such summary should be considered in addition to the other risks described elsewhere in this report:</w:t>
      </w:r>
    </w:p>
    <w:p>
      <w:pPr>
        <w:spacing w:after="0" w:line="54" w:lineRule="exact"/>
        <w:rPr>
          <w:sz w:val="20"/>
          <w:szCs w:val="20"/>
          <w:color w:val="auto"/>
        </w:rPr>
      </w:pPr>
    </w:p>
    <w:p>
      <w:pPr>
        <w:ind w:left="1020" w:right="3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continue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by issuing equity securities will cause dilution to existing stockholders. Raising additional funds through debt financings may involve restrictive covenants and raising funds through lending and licensing arrangements may restrict our operations or require us to relinquish proprietary rights;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roluperidone, as well as any other potential future product candidates. If we are unable to successfully complete clinical development of, obtain regulatory approval for, or commercialize, roluperidone or any other potential future product candidates, or if we experience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give any assurance that any of our product candidates will receive regulatory approval in a timely manner or at all. The results of clinical trials conducted at sites outside the U.S. may not be accepted by the U.S. Food and Drug Administration (“FDA”) and the results of clinical trials conducted at sites in the U.S. may not be accepted by comparable foreign regulatory authorities;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in clinical testing, we will be delayed in commercializing our product candidates, our costs may increase, and our business may be harmed. If we are unable to enroll subjects in clinical trials, we will be unable to complete these trials on a timely basis or at all. Our clinical trials may fail to demonstrate adequately the safety and efficacy of our product candidates, which could prevent or delay regulatory approval and commercialization, and also increase costs;</w:t>
      </w:r>
    </w:p>
    <w:p>
      <w:pPr>
        <w:spacing w:after="0" w:line="71"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or comparable foreign regulatory authorities caused by funding shortages or global health concerns could negatively impact our business;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a product candidate or the approval may be for a narrower indication than we expect. We have no experience in advancing product candidates beyond Phase 3 clinical trials, which makes it difficult to assess our ability to develop and commercialize our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3" w:name="page4"/>
    <w:bookmarkEnd w:id="3"/>
    <w:p>
      <w:pPr>
        <w:ind w:left="503"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71"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any product that we or our collaborators develop are smaller than we believe, our revenue may be adversely affected and our business may suffer;</w:t>
      </w:r>
    </w:p>
    <w:p>
      <w:pPr>
        <w:spacing w:after="0" w:line="53" w:lineRule="exact"/>
        <w:rPr>
          <w:rFonts w:ascii="Times New Roman" w:cs="Times New Roman" w:eastAsia="Times New Roman" w:hAnsi="Times New Roman"/>
          <w:sz w:val="18"/>
          <w:szCs w:val="18"/>
          <w:color w:val="auto"/>
        </w:rPr>
      </w:pPr>
    </w:p>
    <w:p>
      <w:pPr>
        <w:ind w:left="503" w:right="9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us;</w:t>
      </w:r>
    </w:p>
    <w:p>
      <w:pPr>
        <w:spacing w:after="0" w:line="53" w:lineRule="exact"/>
        <w:rPr>
          <w:rFonts w:ascii="Times New Roman" w:cs="Times New Roman" w:eastAsia="Times New Roman" w:hAnsi="Times New Roman"/>
          <w:sz w:val="18"/>
          <w:szCs w:val="18"/>
          <w:color w:val="auto"/>
        </w:rPr>
      </w:pPr>
    </w:p>
    <w:p>
      <w:pPr>
        <w:ind w:left="503" w:right="5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drug candidates receives regulatory approval, it may fail to achieve the degree of market acceptance by physicians, patients, third-party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503" w:right="1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 Even if we commercialize any of our product candidates, these products may become subject to unfavorable pricing regulations, third-party reimbursement practices or healthcare reform initiatives, which could harm our business;</w:t>
      </w:r>
    </w:p>
    <w:p>
      <w:pPr>
        <w:spacing w:after="0" w:line="75"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and future legislation may increase the difficulty and cost for us to commercialize our product candidates and affect the prices we may obtain;</w:t>
      </w:r>
    </w:p>
    <w:p>
      <w:pPr>
        <w:spacing w:after="0" w:line="53" w:lineRule="exact"/>
        <w:rPr>
          <w:rFonts w:ascii="Times New Roman" w:cs="Times New Roman" w:eastAsia="Times New Roman" w:hAnsi="Times New Roman"/>
          <w:sz w:val="18"/>
          <w:szCs w:val="18"/>
          <w:color w:val="auto"/>
        </w:rPr>
      </w:pPr>
    </w:p>
    <w:p>
      <w:pPr>
        <w:ind w:left="503" w:right="10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system failures. 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 Our disclosure controls and procedures may not prevent or detect all errors or acts of fraud;</w:t>
      </w:r>
    </w:p>
    <w:p>
      <w:pPr>
        <w:spacing w:after="0" w:line="71" w:lineRule="exact"/>
        <w:rPr>
          <w:rFonts w:ascii="Times New Roman" w:cs="Times New Roman" w:eastAsia="Times New Roman" w:hAnsi="Times New Roman"/>
          <w:sz w:val="18"/>
          <w:szCs w:val="18"/>
          <w:color w:val="auto"/>
        </w:rPr>
      </w:pPr>
    </w:p>
    <w:p>
      <w:pPr>
        <w:ind w:left="503" w:right="40" w:hanging="503"/>
        <w:spacing w:after="0" w:line="312" w:lineRule="auto"/>
        <w:tabs>
          <w:tab w:leader="none" w:pos="5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w:t>
      </w:r>
    </w:p>
    <w:p>
      <w:pPr>
        <w:spacing w:after="0" w:line="31" w:lineRule="exact"/>
        <w:rPr>
          <w:rFonts w:ascii="Times New Roman" w:cs="Times New Roman" w:eastAsia="Times New Roman" w:hAnsi="Times New Roman"/>
          <w:sz w:val="17"/>
          <w:szCs w:val="17"/>
          <w:color w:val="auto"/>
        </w:rPr>
      </w:pPr>
    </w:p>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and rules, contractual obligations, policies, industry standards, and other obligations related to data privacy and security.</w:t>
      </w:r>
    </w:p>
    <w:p>
      <w:pPr>
        <w:spacing w:after="0" w:line="53" w:lineRule="exact"/>
        <w:rPr>
          <w:rFonts w:ascii="Times New Roman" w:cs="Times New Roman" w:eastAsia="Times New Roman" w:hAnsi="Times New Roman"/>
          <w:sz w:val="18"/>
          <w:szCs w:val="18"/>
          <w:color w:val="auto"/>
        </w:rPr>
      </w:pPr>
    </w:p>
    <w:p>
      <w:pPr>
        <w:ind w:left="503" w:right="66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71"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continue to expect to rely on third parties to conduct our future clinical trials. The failure of these third parties to successfully carry out their contractual duties or meet expected deadlines could substantially harm our business;</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certain of our licensing partners, and could be seriously harmed if our license agreements are terminated or breached;</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potential future milestone payments to the Company depend on the development and commercialization of seltorexant, and we may be obligated to make related payments to certain of our contractual partners even if certain of our other contractual partners breach their obligations to pay us;</w:t>
      </w:r>
    </w:p>
    <w:p>
      <w:pPr>
        <w:spacing w:after="0" w:line="67"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new collaborations, which could adversely affect our ability to develop future product candidates and commercialize future products;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ind w:left="503" w:right="68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 consuming and unsuccessful;</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what the market price of our common stock will be and, as a result, it may be difficult for you to sell your shares of our common stock;</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public market for our Series A Preferred Stock;</w:t>
      </w:r>
    </w:p>
    <w:p>
      <w:pPr>
        <w:spacing w:after="0" w:line="117"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will be able to exert significant control over matters subject to stockholder approval;</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by our existing stockholders in the public market could cause our stock price to fall;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litigation could result in substantial damages and may divert management’s time and attention from our business;</w:t>
      </w:r>
    </w:p>
    <w:p>
      <w:pPr>
        <w:spacing w:after="0" w:line="11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dividends on our capital stock, and because we do not anticipate paying any cash dividends in the foreseeable future, capital appreciation, if any, of our common stock will be your sole source of gain on an investment in our common stock; and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delisted from The Nasdaq Capital Market which could negatively impact the price of our common stock, liquidity and our ability to access the capital markets.</w:t>
      </w:r>
    </w:p>
    <w:p>
      <w:pPr>
        <w:spacing w:after="0" w:line="162"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certain proprietary product candidates to treat patients suffering from central nervous system (“CNS”) diseases.</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lead product candidate, roluperidone, is in development for the treatment of negative symptoms in patients diagnosed with schizophrenia. In August 2022, we submitted a New Drug Application (“NDA”) with the FDA for roluperidone for the treatment of negative symptoms in schizophrenia. On February 26, 2024, the FDA issued a Complete Response Letter (“CRL”) regarding our NDA for roluperidone. Subsequent to the CRL, we have had multiple interactions with the FDA to confirm the design of an additional Phase 3 confirmatory clinical trial to address the deficiencies cited in the CRL and resubmit the NDA.</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with the completed Phase 2b (C03) and Phase 3 (C07) clinical trials of roluperidone, the new Phase 3 confirmatory trial, which we refer to as the C19 trial, will include patients diagnosed with schizophrenia who present with stable impairing negative symptoms and stable positive symptoms for the six months prior to entering the trial. We agreed with the FDA that best efforts will be made to secure 25-30% of patients from the United States, subject to competitive recruitment. The FDA confirmed that roluperidone can be studied in monotherapy where patients will receive a double-blinded single daily 64 mg dose of roluperidone or placebo. The FDA advised that, to support a monotherapy indication, it would be necessary to assess relapses on an observational basis for at least 52 weeks, in patients treated in monotherapy with roluperidone, placebo or antipsychotics. The FDA also stated that it would consider a resubmission of the NDA that included a double-blind, placebo- or active-controlled trial of roluperidone with a duration of at least 52 weeks with the efficacy primary endpoint at week 12.</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Subject to ongoing feedback from the FDA, the C19 trial is currently expected to be initiated, including first patient screened, in the second quarter of 2026. The trial is designed to enroll 380 patients, randomized on a 1:1 basis to receive either placebo or a double-blinded single daily 64 mg dose of roluperidone. The primary efficacy endpoint is expected to be the change from baseline in the PANSS Marder negative symptoms factor score (“NSFS”) at 12 weeks of treatment with roluperidone compared to placebo. Following the initial 12-week treatment period, patients are expected to enter a 40-week relapse assessment phase, during which patients will crossover to receive either a daily 64 mg dose of roluperidone or antipsychotics. We currently expect topline efficacy results in the second half of 2027 and relapse assessment data in the second half of 2028.</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we previously co-developed seltorexant with Janssen Pharmaceutica NV (“Janssen”), a subsidiary of Johnson &amp; Johnson, for the treatment of insomnia disorder and adjunctive treatment of Major Depressive Disorder (“MDD”). As a result of our collaboration with Janssen,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 To our knowledge, Janssen is currently recruiting patients under a Phase 3 trial with seltorexant.</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As of December 31, 2025 and 2024, we had an accumulated deficit of $688.8 million and $395.4 million, respectively. For the years ended December 31, 2025 and 2024, we recorded net loss of $293.4 million and a net income of $1.4 million, respectively. We believe our product candidates have potential to improve the lives of many affected patients and their families who are currently not well-served by available therapies. According to Datamonitor, an independent market research firm, in 2025, approximately 2.9 million people suffered from schizophrenia in the United States (“U.S.”), Japan, the United Kingdom (“UK”), and the four major European Union (“EU”) markets of France, Germany, Italy, and Spain. There is no approved treatment to address negative symptoms in patients with schizophrenia in the U.S., which is a significant driver of the cost burden of that disease. An estimated 69% of treated patients with schizophrenia have predominant/persistent negative symptoms. Negative symptoms also exist in other CNS diseases beyond schizophrenia, the existing treatments for which we believe are poorly addressed in a broad range of indications such as Alzheimer’s disease, Parkinson’s disease and depression.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strategy is to develop and commercialize first-in-class products that address critical unmet medical needs in the CNS therapeutic area. We are pursuing this strategy based on the following principles: selection of differentiated products with novel mechanisms of action that target therapeutic areas of high unmet need and significant disease burden; attention to patient safety and compliance; scientific rigor applied to patient selection and clinical trial conduct; engagement of highly trained clinical trial investigators; incorporation of patient and caregiver insights to drive clinical advancements; and integrity. With the experience and knowledge base of our clinicians and physicians, we have generated substantive data from randomized, double blind, placebo-controlled trials that support the clinical advancement of these products in defined patient populations and in multiple regulatory jurisdictions. In summary, key elements of our strategy are to:</w:t>
      </w:r>
    </w:p>
    <w:p>
      <w:pPr>
        <w:spacing w:after="0" w:line="81" w:lineRule="exact"/>
        <w:rPr>
          <w:sz w:val="20"/>
          <w:szCs w:val="20"/>
          <w:color w:val="auto"/>
        </w:rPr>
      </w:pPr>
    </w:p>
    <w:p>
      <w:pPr>
        <w:ind w:left="1020" w:right="60" w:hanging="503"/>
        <w:spacing w:after="0" w:line="219" w:lineRule="exact"/>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roluperidone through a Phase 3 confirmatory trial to support NDA resubmission and potential regulatory approval for negative symptoms in schizophrenia. The C19 trial evaluating roluperidone for the treatment of negative symptoms in schizophrenia is expected to initiate in the second quarter of 2026. The primary efficacy endpoint is expected to be the change from baseline in the PANSS Marder NSFS at week 12, followed by a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relapse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assessment period. We anticipate topline efficacy data in the second half of 2027 and relapse assessment results in the second half of 2028. There are currently no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treatments for negative symptoms of schizophrenia in the U.S., creating an opportunity for roluperidone to address the unmet medical need.</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randomized, double-blind, placebo-controlled data from completed trials to advance the clinical development of roluperidone in multiple regulatory jurisdictions;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explore collaborations with leading pharmaceutical companies to maximize the value of roluperidone, particularly in connection with pivotal clinical trials and subsequent regulatory review, approval and commercialization; and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our management team’s expertise and current intellectual property portfolio to identify and explore additional indications with roluperidone.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Clinical-Stage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Roluperidone</w:t>
      </w:r>
    </w:p>
    <w:p>
      <w:pPr>
        <w:spacing w:after="0" w:line="188" w:lineRule="exact"/>
        <w:rPr>
          <w:sz w:val="20"/>
          <w:szCs w:val="20"/>
          <w:color w:val="auto"/>
        </w:rPr>
      </w:pPr>
    </w:p>
    <w:p>
      <w:pPr>
        <w:ind w:right="80"/>
        <w:spacing w:after="0" w:line="228" w:lineRule="exact"/>
        <w:rPr>
          <w:sz w:val="20"/>
          <w:szCs w:val="20"/>
          <w:color w:val="auto"/>
        </w:rPr>
      </w:pPr>
      <w:r>
        <w:rPr>
          <w:rFonts w:ascii="Times New Roman" w:cs="Times New Roman" w:eastAsia="Times New Roman" w:hAnsi="Times New Roman"/>
          <w:sz w:val="18"/>
          <w:szCs w:val="18"/>
          <w:color w:val="auto"/>
        </w:rPr>
        <w:t>Roluperidone is a compound that has been shown to block serotonin, sigma, and α</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adrenergic receptors that are involved in the regulation of mood, cognition, sleep and anxiety. We are developing roluperidone to treat patients with schizophrenia. Roluperidone has been designed to block a specific subtype of serotonin receptor called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When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is blocked, certain symptoms of schizophrenia, such as hallucinations, delusions, agitation and thought and movement disorders, as well as the side effects associated with antipsychotic treatments, can be minimized. Additionally, blocking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promotes slow wave sleep, a sleep stage often disrupted in patients with schizophrenia. Roluperidone has also been designed to block a specific subtype of sigma receptor called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which is involved in movement control, psychotic symptom control and learning and memory. Blocking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along with blocking the α</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adrenergic subtypes α</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and to a lesser extent α</w:t>
      </w:r>
      <w:r>
        <w:rPr>
          <w:rFonts w:ascii="Times New Roman" w:cs="Times New Roman" w:eastAsia="Times New Roman" w:hAnsi="Times New Roman"/>
          <w:sz w:val="24"/>
          <w:szCs w:val="24"/>
          <w:color w:val="auto"/>
          <w:vertAlign w:val="subscript"/>
        </w:rPr>
        <w:t>1B</w:t>
      </w:r>
      <w:r>
        <w:rPr>
          <w:rFonts w:ascii="Times New Roman" w:cs="Times New Roman" w:eastAsia="Times New Roman" w:hAnsi="Times New Roman"/>
          <w:sz w:val="18"/>
          <w:szCs w:val="18"/>
          <w:color w:val="auto"/>
        </w:rPr>
        <w:t>, also increases calcium levels in neurons in the brain, which can improve memory. Pre-clinical findings provide evidence of the effect of roluperidone on Brain-Derived Neurotrophic Factor (“BDNF”), which has been associated with neurogenesis, neuroplasticity, neuroprotection, synapse regulation, learning and memory.</w:t>
      </w:r>
    </w:p>
    <w:p>
      <w:pPr>
        <w:spacing w:after="0" w:line="20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believe the scientifically supported and innovative mechanisms of action of roluperidone may potentially address the unmet needs of schizophrenic patients, which include treatment of negative symptoms and cognitive impairment, without the side effects of existing therapies. Negative symptoms are lifelong debilitating symptoms and include: asociality, or the lack of motivation to engage in social interactions; anhedonia, or the inability to experience positive emotions; alogia, or failure to engage in normal conversation; avolition, or loss of energy and interest in activities; and blunted affect, or diminished emotional expression. We plan to seek approval of roluperidone initially as a first line treatment of negative symptoms in patients diagnosed with schizophrenia, and we also may study its use to treat all aspects of the disease, including positive symptoms and relapse prevention. We believe that roluperidone, if approved, could treat the majority of patients diagnosed with schizophrenia. An estimated 69% of patients diagnosed with schizophrenia have negative symptoms, with at least 42% of patients diagnosed with schizophrenia having prominent negative symptoms.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Beyond schizophrenia, we believe roluperidone may potentially possess therapeutic utility in brain disorders where negative symptoms are a core feature of the disease associated with a range of poor clinical outcomes. These potential indications include apathy in dementia, for which we have filed an Investigational New Drug (“IND”) application and been cleared by FDA, the majority of schizophrenia spectrum and other psychotic disorders, autism spectrum disorders, Alzheimer’s disease, Parkinson’s disease and depression.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New Drug Application Submission</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August 2022, we submitted an NDA to the FDA for roluperidone for the treatment of negative symptoms in patients with schizophrenia. The NDA submission was supported by results from our two late-stage, well-controlled trials (C03 and C07) in patients with moderate to severe negative symptoms and stable positive symptoms of schizophrenia. Both trials were multicenter, multinational, randomized, double-blind, placebo-controlled, parallel-group studies in which patients received either 32 mg or 64 mg doses of roluperidone. In both trials, if patients were taking antipsychotic treatments, they were discontinued and a washout period was implemented before beginning the assigned treatment. Both trials captured comparative placebo-controlled data through their 12-week double-blind periods, provided long-term exposure data regarding the safety and tolerability of roluperidone, as well as efficacy based on blinded doses of roluperidone, specifically intended to demonstrate the maintenance of improvement in negative symptoms and the low rate of worsening of positive symptoms following the 24-week (C03) and 40-week (C07) Open Label (“OL”) periods. With the exception of the duration of the OL period, these two studies were nearly identical with respect to patient population and main assessment tools (namely, Positive and Negative Syndrome Scale (“PANSS”), Personal and Social Performance Scale (“PSP”), and Clinical Global Impression (“CGI”)).</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Results of the C03 trial supported the primary hypothesis that after 12 weeks of treatment, roluperidone is superior to placebo in reducing negative symptoms of schizophrenia. In the primary efficacy analysis, 64 mg roluperidone resulted in a statistically significant reduction of negative symptoms of schizophrenia as measured by PANSS Pentagonal Structured Model Negative score (“PSM”) (p ≤ 0.0036). A post hoc analysis of the change from Baseline to Week 12 in the NSFS also demonstrated a statistically significant difference for 64 mg roluperidone compared with placebo (p ≤ 0.001). Statistically significant improvements with 64 mg roluperidone compared with placebo after 12 weeks of the Double Blind (“DB”) period were also seen for multiple secondary/exploratory efficacy analyses. Further improvements in the NSFS were also seen during the 24-week OL period.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superiority of roluperidone over placebo was also demonstrated in the C07 trial. Although the primary analysis (intent-to-treat (“ITT”)) of change from Baseline in the NSFS to Week 12 for roluperidone compared to placebo marginally missed statistical significance (p ≤ 0.064), the results were quantitatively superior for the 64 mg roluperidone dose. Furthermore, the analysis of the modified intent-to-treat (“mITT”) population (mITT data set excluded data from one clinical site with implausible results for the 17 patients recruited at this site) demonstrated a nominal statistically significant improvement in the NSFS for 64 mg roluperidone compared to placebo (p ≤ 0.044). In addition, statistically significant improvements (unadjusted) in the NSFS from Baseline were seen as early as Weeks 4 and 8 for 64 mg roluperidone compared to placebo for both the ITT and the mITT populations. PSP Total score (sole key secondary endpoint measuring vocational and social skills) reached statistical significance for both ITT and mITT populations (p ≤ 0.022 and p ≤ 0.017, respectively). Further improvements in the NSFS and PSP Total score were also seen during the 40-week OL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 Response Letter (CRL)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26, 2024, the FDA issued a CRL to our NDA for roluperidone for the treatment of negative symptoms in patients with schizophrenia.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CRL, the FDA cited the following clinical deficiencies:</w:t>
      </w:r>
    </w:p>
    <w:p>
      <w:pPr>
        <w:spacing w:after="0" w:line="99" w:lineRule="exact"/>
        <w:rPr>
          <w:sz w:val="20"/>
          <w:szCs w:val="20"/>
          <w:color w:val="auto"/>
        </w:rPr>
      </w:pPr>
    </w:p>
    <w:p>
      <w:pPr>
        <w:ind w:left="1020" w:right="4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one trial (C03) demonstrated statistical significance on the primary efficacy endpoint, it is insufficient on its own to establish substantial evidence of effectiveness.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on concomitant antipsychotic administration.</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needed to establish that the change in negative symptoms of schizophrenia with roluperidone treatment was clinically meaningful.</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submitted safety database included an inadequate number of subjects exposed to roluperidone at the proposed dose (64 mg) for at least 12 months.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address these deficiencies, the FDA stated that we must submit at least one additional positive, adequate, and well-controlled trial to support the safety and effectiveness of roluperidone for the treatment of negative symptoms. We must also provide additional data to demonstrate the safety and efficacy of roluperidone co-administered with antipsychotic medications, to support the observed effect on negative symptoms with roluperidone treatment corresponds to a clinically meaningful change, and to demonstrate the long-term safety of the proposed dose.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3 Confirmatory Trial (C19)</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Subsequent to the CRL and following multiple meetings with the FDA, we intend to conduct a new confirmatory trial with roluperidone to address the deficiencies raised by the FDA. As in the two previous clinical trials of roluperidone (C03 and C07), the new confirmatory trial (C19) will include patients diagnosed with schizophrenia who present with stable impairing negative symptoms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color w:val="auto"/>
        </w:rPr>
        <w:t>and stable positive symptoms for the six months prior to entering the trial. We agreed with the FDA that best efforts will be made to secure 25-30% of patients from the U.S., subject to competitive recruitment. The FDA confirmed that roluperidone can be studied in monotherapy where patients will receive a double-blinded single daily 64 mg dose of roluperidone or placebo. The confirmatory trial primary endpoint is based on the 64 mg dose of roluperidone versus placebo, rather than the 64 mg and 32 mg doses used in the two previous trials.</w:t>
      </w:r>
    </w:p>
    <w:p>
      <w:pPr>
        <w:spacing w:after="0" w:line="18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FDA advised that, to support a monotherapy indication, it would be necessary to assess relapses on an observational basis for at least 52 weeks, in patients treated in monotherapy with roluperidone, placebo or antipsychotics. The FDA stated that it would consider a resubmission of the NDA that included a double-blind, placebo- or active-controlled trial of roluperidone with a duration of at least 52 weeks with the efficacy primary endpoint at week</w:t>
      </w:r>
    </w:p>
    <w:p>
      <w:pPr>
        <w:spacing w:after="0" w:line="1" w:lineRule="exact"/>
        <w:rPr>
          <w:sz w:val="20"/>
          <w:szCs w:val="20"/>
          <w:color w:val="auto"/>
        </w:rPr>
      </w:pPr>
    </w:p>
    <w:p>
      <w:pPr>
        <w:ind w:right="40" w:firstLine="8"/>
        <w:spacing w:after="0" w:line="252"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ongoing feedback from the FDA, the C19 trial is currently expected to be initiated, including first patient screened, in the second quarter of 2026. The trial is designed to enroll 380 patients, randomized on a 1:1 basis to receive either placebo or a double-blinded single daily 64 mg dose of roluperidone. The primary efficacy endpoint is expected to be the change from baseline in the NSFS at 12 weeks of treatment with roluperidone compared to placebo. Following the initial 12-week treatment period, patients are expected to enter a 40-week relapse assessment phase, during which patients will crossover to receive either a daily 64 mg dose of roluperidone or antipsychotics. We currently expect topline efficacy results in the second half of 2027 and relapse assessment data in the second half of 2028.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Chemistry, Manufacturing and Controls program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chemistry, manufacturing and controls (“CMC”) scale-up program for roluperidone is ongoing to ensure consistency between the drug batches used during Phase 3 testing and those that will be available for potential marketing and commercialization and subsequent regulatory submission and review of an NDA for roluperidone. The CMC program requires validation of all aspects of the manufacturing processes required to result in a drug product that consistently meets approved quality standards.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2019 we entered into a long-term commercial supply agreement for roluperidone with Catalent, Inc. (“Catalent”), a leading global provider of advanced delivery technologies, development, and manufacturing solutions for drugs, biologics, gene therapies, and consumer health products. Under the terms of the agreement, Catalent manufactures and packages the finished dose form of roluperidone at its facility in Schorndorf, Germany. To date, Catalent has worked with us to enable the transfer from pilot to commercial-scale production. This has included analytical methods transfer and validation, process optimization, stability studies, and registration batch manufacturing, as well as packaging studies and the assessment of the influence of formulation factors on the product’s critical quality attributes as required by Quality by Design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1b Clinical Trial (C18)</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completed a clinical trial to evaluate the safety, tolerability, pharmacodynamics and pharmacokinetics of the co-administration of roluperidone and olanzapine in adult subjects with moderate to severe negative symptoms of schizophrenia. This clinical trial was designed to investigate the pharmacodynamic and pharmacokinetic effects and safety of the concomitant therapy of roluperidone with an established and widely used antipsychotic.</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enrolled 17 male and female subjects with moderate to severe negative symptoms of schizophrenia for this trial. Out of the 17 enrolled subjects, 13 completed all 17 days of daily dosing with roluperidone 64 mg (for 7 days) and roluperidone with olanzapine 10 mg (for 10 additional days). Two subjects withdrew consent after enrollment, one patient was discontinued due to a major protocol deviation, and one was discontinued due to a treatment-unrelated serious adverse event. Roluperidone administered concomitantly with olanzapine was generally well tolerated and no unexpected safety signals were detected, with few treatment-emergent adverse events (TEAEs) reported, most of which were mild, and all resolved without sequelae. We observed no emergent clinically significant electrocardiogram or laboratory abnormalities during the trial. We observed no symptomatic worsening during the administration of roluperidone alone (7 days) or when administered in combination with olanzapine at 10 mg (10 days). The trial demonstrated that pharmacokinetic interactions between the two drugs were not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Drug-Drug Interaction Studies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completed certain pharmacology trials that include a Drug-Drug Interaction study, which comprise a standard part of the NDA. We have studied interactions separately with molecules inhibiting two subtypes of the cytochrome P450 (CYP2D6 and CYP3A4). The data from this study show minimal to no interaction with the strong CYP3A4 inhibitor, and some interaction (&lt; 1.6-fold increase in exposure) with the moderate CYP2D6 inhibitor.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Dose Escalation Study with formulation employed in Phase 3 clinical trial</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completed a prospective, double-blind, placebo-controlled, randomized single-escalating dose study in healthy subjects to evaluate the investigational drug roluperidone as monotherapy administered at nine ascending doses (16, 32, 64, 96, 128, 160, 192, 224 and 256 mg). The highest dose tested is 4 multiples of the highest dose (64 mg) used in the Phase 3 trial.</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trial included a total of 90 subjects. 72 received 9 different doses of roluperidone, and 18 received placebo. All subjects who were dosed completed the study as planned except for one male subject who received placebo and subsequently withdrew his consent.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the findings from the trial suggest an expanded therapeutic window and a significantly improved safety margin for roluperidone. Furthermore, we believe these data suggest the potential for future testing of roluperidone in schizophrenic patients with an exacerbation of psychosis at higher doses than those used in the Phase 3 trial.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Brain-Derived Neurotrophic Factor (“BDNF”) Findings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completed non-clinical studies that provide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synaptic regulation and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18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in cultured astrocytes. Furthermore, data showed that roluperidone enhanced BDNF gene expression at drug concentrations comparable to those observed in humans at tested doses. Based on these results, we believe that the effect of roluperidone on BDNF and GDNF may indicate its potential for disease modification and improved neuroplasticity, in addition to its observed effects on the serotoninergic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and α</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and α</w:t>
      </w:r>
      <w:r>
        <w:rPr>
          <w:rFonts w:ascii="Times New Roman" w:cs="Times New Roman" w:eastAsia="Times New Roman" w:hAnsi="Times New Roman"/>
          <w:sz w:val="24"/>
          <w:szCs w:val="24"/>
          <w:color w:val="auto"/>
          <w:vertAlign w:val="subscript"/>
        </w:rPr>
        <w:t>1B</w:t>
      </w:r>
      <w:r>
        <w:rPr>
          <w:rFonts w:ascii="Times New Roman" w:cs="Times New Roman" w:eastAsia="Times New Roman" w:hAnsi="Times New Roman"/>
          <w:sz w:val="18"/>
          <w:szCs w:val="18"/>
          <w:color w:val="auto"/>
        </w:rPr>
        <w:t>- adrenergic neurotransmitter pathways.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Roluperidone License Agreement with Tanabe Pharma Corporation (formerly Mitsubishi Tanabe Pharma Corporation)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entered into a license agreement with Tanabe Pharma Corporation (formerly Mitsubishi Tanabe Pharma Corporation) (“Tanabe Pharma”) dated as of August 30, 2007, as amended (“Roluperidone License Agreement”). Under the terms of the Roluperidone License Agreement, we acquired an exclusive license to the lead compound known as CYR-101 (subsequently renamed MIN-101 and roluperidone), and other compounds with a similar structure and intended purpose and other data included within the valid claims of certain patents licensed to us under the Roluperidone License Agreement. The license is for world-wide rights other than certain countries in Asia, including China, Japan, India and South Korea. We will pay Tanabe Pharma a tiered royalty for net sales of product by us or any of our affiliates or sublicensees containing the licensed compound at a range of percentages of the high single digits to the low teens depending on net sales of products under the Roluperidone License Agreement. We were also required to make certain milestone payments upon the achievement of certain development and commercial milestones, potentially up to $57.5 million for roluperidone and up to $59.5 million for additional products.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January 2014 we renegotiated the structure of the license for roluperidone such that we are required to make milestone payments upon the achievement of one development milestone totaling $0.5 million and certain commercial milestones, which could total up to $47.5 million, in the aggregate, as well as the tiered royalty payments described above. In addition, in the event that we sell the rights to the license, Tanabe Pharma will be entitled to a percentage of milestone payments in the low teens and a percentage of royalties received by us in the low double digits. This license agreement expires upon the expiration of our obligation to pay royalties, upon which we will have a fully paid-up, non-exclusive, perpetual, irrevocable license. Our obligation to pay royalties continues, on a country-by-country basis, until the 12 year anniversary from the launch of the product in each country in our territory.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Seltorexant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 of Seltorexant and the Royalty Pharma Arrangement</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Seltorexant is an innovative selective orexin 2 receptor antagonist that we co-developed with Janssen for the treatment of insomnia and MDD. Insomnia is the repeated difficulty with sleep initiation, maintenance or quality that occurs despite adequate time and opportunity for sleep, resulting in daytime impairment. Insomnia can be the primary condition for patients or a secondary symptom of, and contributor to, another medical or psychiatric condition, such as MDD or schizophrenia.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right="80"/>
        <w:spacing w:after="0" w:line="258" w:lineRule="auto"/>
        <w:rPr>
          <w:sz w:val="20"/>
          <w:szCs w:val="20"/>
          <w:color w:val="auto"/>
        </w:rPr>
      </w:pPr>
      <w:r>
        <w:rPr>
          <w:rFonts w:ascii="Times New Roman" w:cs="Times New Roman" w:eastAsia="Times New Roman" w:hAnsi="Times New Roman"/>
          <w:sz w:val="18"/>
          <w:szCs w:val="18"/>
          <w:color w:val="auto"/>
        </w:rPr>
        <w:t>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 payments, subject to completion of Phase 3 trials by Janssen and regulatory approvals.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Clinical Developments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2019 we announced top-line results from a Phase 2b clinical trial in which flexibly dosed seltorexant (20 mg or 40 mg) was compared to flexibly dosed quetiapine XR (150 mg or 300 mg) for adjunctive treatment of patients with MDD. There were 102 patients enrolled, each with MDD not responding adequately to SSRIs and SNRIs. The primary endpoint was all cause discontinuation of therapy over 6 months. Mood improvement, measured using the MADRS, and safety and tolerability were evaluated. The primary intent of this exploratory trial was to generate data to assist with the planning of Phase 3 studies; it was not powered to detect statistical significance. Quetiapine XR was used as a comparator, because it is the only medication approved for the adjunctive treatment of MDD in both the U.S. and the European Union.</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May 2019 we announced positive top-line results from a Phase 2b trial of seltorexant as adjunctive therapy to antidepressants in adult patients with MDD who have responded inadequately to antidepressant therapy, including selective serotonin reuptake inhibitors (“SSRIs”) and/or serotonin-norepinephrine reuptake inhibitors (“SNRIs”). We believe these results represent the first clinical observation in a large, late-stage study that a selective orexin molecule can achieve a positive effect as an adjunctive treatment in patients with MDD who have an inadequate response to SSRIs and SNRIs. We believe these findings, if confirmed in Phase 3 studies, may suggest a novel approach to treating MDD with an improved safety profile compared to existing therapies. Approximately 60%-70% of patients diagnosed and treated with first-line therapies, including SSRIs and/or SNRIs, do not experience adequate treatment response, and seltorexant potentially represents an opportunity to improve treatment response rates safely in most of these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 Competition in the Pharmaceutical Market for the Treatment of Schizophrenia</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Current drug therapies for the treatment of schizophrenia mainly target the positive symptoms of the disease. When patients present positive symptoms and require treatment, they are typically given either conventional “first-generation” antipsychotic medication, such as GlaxoSmithKline’s Thorazine Sanofi-Aventis’ Largactil (chlorpromazine) and Janssen’s Haldol (haloperidol), or second-generation “atypical antipsychotics,” such as Novartis’ Clozaril (clozapine), Janssen’s Risperdal (risperidone), AstraZeneca’s Seroquel (quetiapine), Eli Lilly’s Zyprexa (olanzapine) and Bristol-Myers Squibb’s Abilify (aripiprazole). More recently, in February 2020, Intra-Cellular Therapies launched Caplyta (lumateperone) for the treatment of schizophrenia. It has since demonstrated efficacy in bipolar depression and received FDA approval in December 2021. In September 2024, FDA approved a new type of treatment for schizophrenia from Bristol Meyers Squibb which works differently from “atypical antipsychotics”. Cobenfy (previously known as KarXT and developed by Karuna Therapeutics) targets proteins in the brain called muscarinic receptors, which may indirectly impact dopamine.</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Both first and second generation antipsychotics as well as more recent entrants to the market have not shown any benefit on negative symptoms and cognitive symptoms in a monotherapy clinical study. In addition, certain older therapies have extensive side effects such as weight gain, metabolic syndrome, sedation, nausea, movement disorders, restlessness, insomnia, impairment of cognitive skills, and prolactin increase. More recent entrants into the market have made claims that they have an improved side effect profile compared to antipsychotics. Since schizophrenia has a wide range of symptoms, multiple therapeutics are often prescribed in an attempt to address all aspects of the disease, compounding these side effects.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Given the focus of currently approved drug therapies for positive symptoms and their side effect profiles, we believe these therapies are unlikely to be directly competitive with roluperidone, which is intended to target primarily negative symptoms. However, new drug therapies in addition to roluperidone are being developed to address the limitations of current therapies. Several new pharmacological approaches have been investigated. One targets a neurotransmitter called glutamate and the other targets a neurotransmitter called nicotine. Glutamate is the most predominant neurotransmitter system in maintaining the brain in an active state and is involved in maintaining accurate vigilance, attention and contributing to some cognitive skills. Nicotine is among the most predominant neurotransmitter system involved in learning and some other cognitive skills.</w:t>
      </w:r>
    </w:p>
    <w:p>
      <w:pPr>
        <w:spacing w:after="0" w:line="18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Specific compounds under late-stage development that include negative symptoms as a target include Acadia Pharmaceuticals’ pimavanserin, a selective serotonin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inverse agonist (“SSIA”) that is approved for the treatment of hallucinations and delusions associated with Parkinson’s disease psychosis. During 2019, Acadia initiated a second Phase 3 pivotal study, ADVANCE-2. The Phase 3 program evaluated the efficacy of pimavanserin in patients with predominantly negative symptoms of schizophrenia who have</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8"/>
          <w:szCs w:val="18"/>
          <w:color w:val="auto"/>
        </w:rPr>
        <w:t>achieved adequate control of positive symptoms with their existing antipsychotic treatment. On March 11th 2024, Acadia announced that the study did not meet the primary endpoint. There have been no further clinical studies initiated with pimavanserin in negative symptoms of schizophrenia. In January 2019, Lundbeck indicated they would begin proof-of-concept studies for Lu AF11167, a PDE-10 inhibitor for the treatment of persistent negative symptoms in schizophrenia. In August 2020, Lundbeck announced they were discontinuing the trial based on the results of a futility interim analysis, which concluded that the trial was unlikely to achieve statistical significance on its primary endpoint, mean change from baseline to week 12 on the Brief Negative Symptom Scale (“BNSS”).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2025, FDA determined that the direct-to-consumer TV advertisement (TV ad) for Cobenfy, a drug developed for schizophrenia by Karuna Therapeutics Inc., a BMS Co, is false or misleading. The information in the TV ad purports that treatment with Cobenfy improves both positive and negative symptoms of schizophrenia. FDA stated that the pivotal trials supporting the schizophrenia indication for Cobenfy were not designed to capture changes in positive or negative symptoms as distinct groups and therefore the TV ad misbrands Cobenfy and makes the distribution of the drug in violation of the Federal Food, Drug, and Cosmetic Act (FD&amp;C Act).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products in clinical development, as a monotherapy or as an adjunctive treatment, whose targets include negative symptoms, (although not necessarily defined as a primary outcome of their clinical trials) are Reviva Pharmaceuticals Brilaroxazine, SyneuRx’s NaBen, Neurocrine direclidine and NBI-570, and a product being developed by Denovo Biopharma. In addition, a number of academic groups are conducting studies with existing compounds for the treatment of negative symptoms of schizophrenia.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products and technologies that we believe are important to our business, including seeking and maintaining patent protection intended to cover the composition of our product candidates, their methods of use, related technology and other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portfolios for our product candidates, which we own or are exclusively licensed to us,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Compound</w:t>
      </w:r>
    </w:p>
    <w:p>
      <w:pPr>
        <w:spacing w:after="0" w:line="227"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own numerous granted patents and patent applications worldwide that provide strong protection for roluperidone. These include patents and applications directed to pharmaceutical compositions comprising roluperidone and methods of using roluperidone.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Compositions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own four granted U.S. patents, U.S. Patent Nos. 9,458,130, 9,730,920, 10,258,614 and 10,799,493, and patents in Australia, Brazil, Chile, Colombia, Eurasia, Europe, Israel, Mexico, New Zealand, Peru, South Africa, and Ukraine, as well as pending applications in the U.S., Australia, Canada, Israel, and South Africa that cover a novel formulation comprising roluperidone. This novel formulation provides improved therapeutic response and minimizes the potential for transient QTc increases – and thus safety issues – when compared to previous formulations. Because of this improved safety profile, it is this formulation of roluperidone that is being used in Phase 3 clinical trials, and it is this formulation that we expect will be the basis for approval in the US and EU. The granted U.S. patents, as well as any other U.S. or foreign patents that may grant from these applications, will expire no earlier than November 30, 2035. The U.S. patents are listable in the FDA’s Orange Book and would, we believe, bar generic competition during their terms. In addition to the patent terms referenced above, a patent term extension of up to 5 years may also be available.</w:t>
      </w:r>
    </w:p>
    <w:p>
      <w:pPr>
        <w:spacing w:after="0" w:line="1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also own two granted U.S. Patents, U.S. Patent Nos. 11,464,744 and 12,048,768, and patents in Australia, Chile, Colombia, Israel, Mexico, Peru, Russian, South Africa and Ukraine, as well as pending applications in the U.S., Australia, Brazil, Canada, Europe, Israel, Mexico, New Zealand, Russia, Ukraine, and South Africa that cover gastro-resistant, controlled release dosage formulations of roluperidone. The terms of any future granted patents in this patent family would expire no earlier than June 21, 2038. U.S. patents in this family may be listable in the FDA’s Orange Book. In addition to the patent terms referenced above, a patent term extension of up to 5 years may also be available.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of Use</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own U.S. Patent No. 9,732,059, and patents in Canada, Europe, and Russia, as well as pending applications in United States, Canada, and Europe, across two patent families that are directed to methods of use of roluperidone to treat negative and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80"/>
        <w:spacing w:after="0" w:line="258" w:lineRule="auto"/>
        <w:rPr>
          <w:sz w:val="20"/>
          <w:szCs w:val="20"/>
          <w:color w:val="auto"/>
        </w:rPr>
      </w:pPr>
      <w:r>
        <w:rPr>
          <w:rFonts w:ascii="Times New Roman" w:cs="Times New Roman" w:eastAsia="Times New Roman" w:hAnsi="Times New Roman"/>
          <w:sz w:val="18"/>
          <w:szCs w:val="18"/>
          <w:color w:val="auto"/>
        </w:rPr>
        <w:t>symptoms of schizophrenia, sleep disorders, depression, and other sigma-2 disorders or conditions. U.S. Patent No. 9,732,059 covers the use of roluperidone to treat one or more negative symptoms of schizophrenia and will not expire until 2033, including 558 days of Patent Term Adjustment. This patent is listable in the FDA’s Orange Book and would, we believe, bar generic competition during its term. A patent term extension of up to 5 years may also be available. The foreign patents, as well as any future U.S. or foreign patents granting in these families, are scheduled to expire no earlier than July 20, 2031.</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we own U.S. Patent No. 11,083,723, and patents in Chile, Mexico, and Russia, as well as pending applications in the U.S., Australia, Canada, Chile, Europe, Israel, Mexico, New Zealand, Russia, Ukraine, and South Africa directed to the use of roluperidone to treat negative symptoms, various disorders (including autism disorders, amblyopia, personality disorders, traumatic brain injury), as well as increasing neuroplasticity and promoting neuroprotection in subjects in need thereof. The U.S. Patent and any future U.S. or foreign patents granting from these applications would expire no earlier than August 21, 2039.</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own patents in Europe, as well as pending applications in the U.S., Australia, Brazil, Canada, Chile, China, Eurasia, Europe, Israel, Japan, South Korea, Mexico, New Zealand, Ukraine, and South Africa directed to methods of preventing relapse in a schizophrenia patient comprising administering roluperidone to the patient. Any future U.S. or foreign patents granting from these applications would expire no earlier than February 13, 2043.</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also own an international (PCT) application directed to methods of treating lysosomal storage disorders or a symptom of a lysosomal storage disorder comprising administering roluperidone. Any patents granting from national phase applications that may be filed based upon this PCT application would expire no earlier than October 23, 2044.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 Exclusivity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patent protection, our product candidates may also be eligible for data and market exclusivity protection in the U.S., EU and certain other countries. If our product candidates are approved and this protection is available, no competitor may use the data in our application for regulatory approval of our product candidates to obtain regulatory approval of a generic product during the data exclusivity period; and no competitor may obtain regulatory approval of a generic product during the market exclusivity period.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small molecules, such as roluperidone, the data and market exclusivity period in the U.S. is generally four and five years, respectively, measured from the FDA approval date. The data and market exclusivity periods in the U.S. may be extended by an additional 6 months of pediatric exclusivity if a qualifying pediatric study is performed. Similar data and market exclusivity opportunities are available in the EU; for more information, see the section titled “—Government Regulation and Product Approval—</w:t>
      </w:r>
      <w:r>
        <w:rPr>
          <w:rFonts w:ascii="Times New Roman" w:cs="Times New Roman" w:eastAsia="Times New Roman" w:hAnsi="Times New Roman"/>
          <w:sz w:val="18"/>
          <w:szCs w:val="18"/>
          <w:i w:val="1"/>
          <w:iCs w:val="1"/>
          <w:color w:val="auto"/>
        </w:rPr>
        <w:t>Data and Market Exclusivity in the EU</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manufacturing of our product candidates for pre-clinical and clinical testing, as well as for commercial manufacturing if our product candidates receive regulatory approval. Our product candidates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Except for most of Asia, we have global commercialization rights for roluperidone. We believe that it will be possible for us to access European and, in the case of roluperidone, other priority markets including the United States, Asia, and Latin America, through a focused, specialized sales force where the population dynamics would prove efficient. We may enter into sales, distribution or other marketing arrangements with third parties for priority markets or limited to certain territories for any of our drug candidates that obtain regulatory approval.</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receiving regulatory approvals, we expect to commence commercialization activities by building a focused sales and marketing organization, either alone or through collaborations with third parties, in the United States, EU and Latin America to sell our product candidates. We believe that such an organization will be able to target the community of physicians who are the key specialists in treating the patient populations for which our product candidates are being developed. Additionally, we plan to engage fully with all key constituencies involved in treatment decisions, including payors, patients and others.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Medicinal Products in the European Union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 in the EU</w:t>
      </w:r>
    </w:p>
    <w:p>
      <w:pPr>
        <w:spacing w:after="0" w:line="227"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In the EU, clinical trials are governed by the Clinical Trials Regulation (EU) No 536/2014 (“CTR”), which entered into application on January 31, 2022, repealing and replacing the former Clinical Trials Directive 2001/20 (“CTD”) and related national implementing legislation of EU Member States.</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CTR is intended to harmonize and streamline clinical trial authorizations, simplify adverse-event reporting procedures, improve the supervision of clinical trials and increasing their transparency. Specifically, the Regulation, which is directly applicable in all EU Member States, introduces a streamlined application procedure through a single-entry point, the “EU portal,”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 The CTR foresaw a three-year transition period that ended on January 31, 2025. Since this date, all new or ongoing trials are subject to the provisions of the CTR.</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all cases, the clinical trials must be conducted in accordance with EU and national requirements governing clinical trials, including the Good Clinical Practice Directive 2005/28 and ethical principles that have their origin in the Declaration of Helsinki. Studies should also be conducted in accordance with all applicable European Medicines Agency (“EMA”), European Commission and national guidelines and investigational medicinal products used in clinical trials must be manufactured in accordance with Good Manufacturing Practices and in a GMP licensed facility, which can be subject to GMP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 in the EU</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a related marketing authorization (“MA”) has been granted. A company may submit a marketing authorization application (“MAA”), either on the basis of the centralized, or decentralized procedure or mutual recognition procedure.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obtain a MA for a product in the EEA (which is comprised of the 27 Member States of the European Union plus Norway, Iceland and Liechtenstein), an applicant must submit an MAA either under a centralized procedure administered by the EMA or one of the procedures administered by competent authorities in the EU Member States (decentralized procedure, national procedure or mutual recognition procedure). An MA may be granted only to an applicant established in the EU.</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that is valid for all EU Member States. Pursuant to Regulation (EC) No 726/2004, the centralized procedure is compulsory for specific products, including for (i) medicinal products derived from biotechnological processes, (ii)products designated as orphan medicinal products, (iii) advanced therapy medicinal products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an MAA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4" w:name="page15"/>
    <w:bookmarkEnd w:id="14"/>
    <w:p>
      <w:pPr>
        <w:ind w:right="40"/>
        <w:spacing w:after="0" w:line="254"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Decentralized Procedures – Human (“CMDh”) for review. The subsequent decision of the European Commission is binding on all EU Member States.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eCTD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EU, Regulation (EC) No 1901/2006 provides that all marketing authorization applications for new medicinal products must include the results of trials conducted in the pediatric population, in compliance with a pediatric investigation plan (“PIP”), agreed with the EMA’s Pediatric Committee (“PDCO”).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(“SPC”), if any is in effect at the time of authorization or, in the case of orphan medicinal products, a two-year extension of orphan market exclusivity.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Regulation in the EU</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Various requirements apply to the manufacturing and placing on the EU market of medicinal products. The manufacturing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 is subject to compliance with the applicable EU laws, regulations and guidelines, including the requirement to hold appropriate authorizations for distribution granted by the competent authorities of EU Member States. Marketing authorization holders and/or manufacturing and import authorization, or MA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of quantity of supplementary data to be provided for different types of biological product.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Data Disclosure</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jurisdictions have mandatory clinical trial information obligations incumbent on sponsors. In the EU, transparency requirements relating to clinical trial information are established in the CTR. The CTR establishes a general principle according to which information contained in CTIS shall be made publicly accessible unless confidentiality is justified on grounds of protecting personal data, or commercially confidential information, necessary to protect confidential communications between EU Member States in relation to the preparation of an assessment report, or necessary to ensure effective supervision of the conduct of a clinical trial by EU Member States. This confidentiality exception may be overruled if there is an overriding public interest in disclosure. The publication of data and documents in relation to the conduct of a clinical trial will take place in accordance with specific timelines. The timelines are established by the EMA and are determined based on the documents and the categorization of the clinical trial.</w:t>
      </w:r>
    </w:p>
    <w:p>
      <w:pPr>
        <w:spacing w:after="0" w:line="18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Regulation No. 1049/2001 on access to documents, or the ATD Regulation, and the related EMA policy 0043 on access to documents, provide for a wide right for EU-based interested parties to submit an access to documents request to the EMA to access certain information held by the EMA. Only very limited information is exempted from disclosure (i.e., commercially confidential information, which is construed increasingly narrowly and protected personal data). It is possible for competitors to access and use this data in their own research and development programs anywhere in the world, once these data are in the public domain.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FDA Approval Process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packaging, storage, recordkeeping, approval, labeling, advertising, promotion and marketing, distribution, post-approval monitoring and reporting, sampling, and import and export of pharmaceutical products. Failure to comply with applicable U.S. requirements may subject a company to a variety of administrative or judicial sanctions, such as FDA refusal to allow pending Investigational New Drug Applications (“INDs”), and approve NDAs, withdrawal of a marketing approval, imposition of clinical holds or termination of clinical trials, or issuance of Warning or Untitled Letters, product recalls, product seizures, refusal to allow imports or exports total or partial suspension of production or distribution, debarment, injunctions, fines, refusal of government contracts, exclusion from participation in federal and state healthcare programs, restitution, disgorgement, civil penalties and criminal prosecution, including criminal fines and imprisonment.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FDA approval is required before any new unapproved drug or dosage form, including a new use of a previously approved drug, can be marketed in the United States. Pharmaceutical product development in the United States typically involves, among other things,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significant financial investment, and the actual time and cost required may vary substantially based upon the type, complexity and novelty of the product or disease indicated for treatment.</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pharmacology, stability,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any available clinical data or literature, and a proposed clinical trial protocol, among other items. Certain pre-clinical tests,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right="180"/>
        <w:spacing w:after="0" w:line="261" w:lineRule="auto"/>
        <w:rPr>
          <w:sz w:val="20"/>
          <w:szCs w:val="20"/>
          <w:color w:val="auto"/>
        </w:rPr>
      </w:pPr>
      <w:r>
        <w:rPr>
          <w:rFonts w:ascii="Times New Roman" w:cs="Times New Roman" w:eastAsia="Times New Roman" w:hAnsi="Times New Roman"/>
          <w:sz w:val="18"/>
          <w:szCs w:val="18"/>
          <w:color w:val="auto"/>
        </w:rPr>
        <w:t>such as animal tests of reproductive toxicity and carcinogenicity, may be conducted after the IND is submitted. A 30-day waiting period after the submission of each IND is required prior to the commencement of clinical testing in humans. If the FDA has not placed a clinical hold on the IND within this 30-day period, the clinical trial proposed in the IND may begin. Should FDA place a clinical hold on the IND, the IND sponsor and the FDA must resolve any outstanding concerns before the clinical trial may begin.</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a qualified investigator. Clinical trials must be conducted in compliance with federal regulations, good clinical practices (“GCP”), which include the ethical principles that all research subjects provide their informed consent in writing for their participation in any clinical trial, and that all trials be approved and monitored on an ongoing basis by an institutional review board (“IRB”). Clinical trials must also be conducted under protocols detailing the objectives of the trial, trial procedures, the parameters to be used in monitoring safety and the effectiveness criteria to be evaluated, and a statistical analysis plan. Each protocol involving testing in U.S. subjects and subsequent protocol amendments must be submitted to the FDA as part of the IND. The study protocol and informed consent information for subjects in clinical trials, along with all amendments, must also be submitted to an IRB for approval.</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subjects with the target disease or condition, the drug is tested to assess safety, metabolism, pharmacokinetics, pharmacological actions, side effects associated with increasing doses and, if possible, early evidence of effectiveness. Phase 2 usually involves trials in a limited subject population with the target disease or condition to evaluate the effectiveness of the drug for a particular indication or indications, dosage tolerance and optimum dosage, and identify possible adverse effects and safety risks. If a compound demonstrates evidence of effectiveness and an acceptable safety profile in Phase 2 evaluations, generally two adequate and well-controlled Phase 3 trials are undertaken to obtain additional information about clinical efficacy and safety in a larger number of subjects, typically at geographically dispersed clinical trial sites, to establish the overall benefit-risk relationship of the drug and to provide adequate information for the labeling of the drug. In some cases, the FDA may condition approval on the sponsor’s agreement to conduct additional clinical trials to further assess the drug’s safety and effectiveness after approval. Such post-approval trials are typically referred to as Phase 4 trials. Progress reports detailing the results of the clinical trials must be submitted at least annually to the FDA and more frequently if serious adverse events occur. Information about certain clinical trials, including a description of the study and study results must also be submitted within specific timeframes to the National Institutes of Health (“NIH”), for public dissemination on their clinicaltrials.gov website.</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the Current Good Manufacturing Practices (“cGMPs”). Investigational drugs and active pharmaceutical ingredients imported into the United States are also subject to regulation by FDA relating to their labeling and distribution. Further, the export of investigational drug products outside of the United States is subject to regulatory requirements of the receiving country as well as United States export requirements.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may impose a clinical hold on a clinical trial, or impose other sanctions, at any time on various grounds, including a finding that the research subjects are being exposed to an unacceptable health risk or if it believes that the clinical trials are not being conducted in accordance with FDA requirements. Similarly, an IRB can suspend or terminate approval of a clinical trial at its institution if the clinical trial is not being conducted in accordance with the IRB’s requirements or if the drug has been associated with unexpected serious harm to subjects, or may impose other conditions on the conduct of the research.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Sponsors may also suspend or terminate a clinical trial based on safety concerns, a lack of evidence of drug efficacy, evolving business objectives and/or competitive climate.</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and proposed labeling, among other things. Under federal law, the submission of most marketing applications is subject to a substantial application user fee, and the sponsor of an approved application is also subject to annual program fees.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marketing application or supplement to a marketing application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20"/>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(“REMS”), either during the application process or after the approval of the drug to mitigate any identified or suspected serious risks, and to identify any new risks that were not apparent in clinical investigations. The REMS plan could include medication guides, physician communication plans, assessment plans, and elements to assure safe use, such as restricted distribution methods, patient registries or other risk minimization tools.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the FDA has agreed to certain performance goals in the review of NDAs. The FDA has a goal of reviewing ninety percent of applications for non-priority drug products within 10 months of the FDA’s acceptance of the full application for filing. The review process may be extended by the FDA under certain circumstances.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FDCA and FDA guidance, before approving a drug for which no active ingredient (including any ester or salt of the active ingredients) has previously been approved by the FDA or a first-of-a-kind, first-in-class biologic, FDA must either refer that drug to an external advisory committee or provide in an action letter, a summary of the reasons why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Additionally, the FDA will inspect the facility or the facilities at which the drug is manufactured. The FDA will not approve the product unless the facility, and all of its subcontractors and contract manufacturers, demonstrate compliance with cGMPs, and provide adequate assurance that they can consistently produce the product within required specifications, and the NDA contains data that provides substantial evidence that the drug is safe and effective for the indication sought in the proposed labeling. Additionally, the FDA will typically inspect one or more clinical trial sites to assure compliance with GCPs before approving a marketing application. After the FDA evaluates the marketing application and the manufacturing facilities, it may issue an approval letter, or a complete response letter. A complete response letter generally outlines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those deficiencies have been addressed to the FDA’s satisfaction in a resubmission of the NDA, the FDA may issue an approval letter.</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with specific prescribing information for specific indications. As a condition of NDA approval, the FDA may require substantial post-approval testing and surveillance to monitor the drug’s safety or efficacy and may impose other conditions, including labeling restrictions, limitations on the approved indications, contraindications, warnings or precautions, such as boxed warnings, distribution restrictions or other risk-management mechanisms under a REMS which can materially affect the potential market and profitability of the drug. The FDA may prevent or limit further marketing of a product based on the results of post-marketing trials or surveillance programs. Further, if there are any modifications to the drug, including changes in indications, labeling, manufacturing processes or facilities, or new safety issues arise, a new or supplemental NDA or a post-implementation notification or other report may be required or requested depending on the change, which may require additional data or additional pre-clinical studies and clinical trials. Once granted, product approvals may be withdrawn if compliance with regulatory standards is not maintained or problems are identified following initial marketing.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approvals from the FDA or comparable foreign regulatory authorities are subject to pervasive and continuing regulation by the FDA, or comparable foreign regulatory authorities including, among other things, requirements relating to recordkeeping, periodic reporting, product sampling and distribution, advertising and promotion, and reporting of adverse experiences with the product and drug shortages. After approval, most changes to the approved product, such as adding new indications, manufacturing changes or other labeling claims, are subject to further testing requirements and prior review and approval by the FDA or comparable foreign regulatory authorities.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subject to periodic announced and unannounced inspections by the FDA, state agencies, as well as comparable foreign regulatory authorities for compliance with cGMP and other regulatory requirements. Changes to the manufacturing process are strictly regulated and may require prior approval from or notification to the FDA or comparable foreign regulatory authorities before being implemented. FDA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900"/>
        <w:spacing w:after="0" w:line="282" w:lineRule="auto"/>
        <w:rPr>
          <w:sz w:val="20"/>
          <w:szCs w:val="20"/>
          <w:color w:val="auto"/>
        </w:rPr>
      </w:pPr>
      <w:r>
        <w:rPr>
          <w:rFonts w:ascii="Times New Roman" w:cs="Times New Roman" w:eastAsia="Times New Roman" w:hAnsi="Times New Roman"/>
          <w:sz w:val="18"/>
          <w:szCs w:val="18"/>
          <w:color w:val="auto"/>
        </w:rPr>
        <w:t>and comparable foreign regulatory authorities also require investigation and correction of any deviations from cGMP and impose reporting and documentation requirements upon the sponsor and any third-party manufacturers that the sponsor may decide to use.</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FDA and comparable foreign regulatory authorities strictly regulate marketing, labeling, advertising and promotion of products that are placed on the market. Although physicians, in the practice of medicine, may prescribe approved drugs for unapproved indications if in their professional medical judgment they believe it to be appropriate, pharmaceutical companies may only market and promote their drug products for the FDA approved indications and in accordance with the provisions of the approved label. The FDA and other regulatory authorities actively enforce the laws prohibiting the marketing and promotion of off-label uses, and a company that is found to have improperly marketed or promoted off-label uses may be subject to significant liability, including, among others, criminal and civil penalties under the FDCA and False Claims Act, exclusion from participation in federal healthcare programs, and mandatory compliance programs. Equivalent limitations and penalties are provided in the EU both at the EU and at national level in individual EU Member States.</w:t>
      </w:r>
    </w:p>
    <w:p>
      <w:pPr>
        <w:spacing w:after="0" w:line="1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Moreover, the Drug Quality and Security Act imposes obligations on manufacturers of pharmaceutical products, among others, related to product and tracking and tracing.</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new MAAs in the European Union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RMPs and PSURs can be made available to third parties requesting access, subject to limited redactions and related conditions.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EU Member State and can differ from one country to another. All advertising and promotional activities for the product must be consistent with the approved summary of product characteristics in connection with an MA. The SmPC is the document that provides information to physicians concerning the safe and effective use of the product. Promotional activity that does not comply with the SmPC is considered off-label and is prohibited in the EU. Direct-to-consumer advertising of prescription only medicines is also prohibited in the European Union.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in the United Kingdom</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Medicines and Healthcare products Regulatory Agency, or MHRA, is the UK’s standalone regulator for medicinal products and medical devices. The United Kingdom is no longer subject to EU regulations ((Northern Ireland continues to follow certain limited EU regulatory rules, including in relation to medical devices, but not in relation to medicinal products).</w:t>
      </w:r>
    </w:p>
    <w:p>
      <w:pPr>
        <w:spacing w:after="0" w:line="176"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7"/>
          <w:szCs w:val="17"/>
          <w:color w:val="auto"/>
        </w:rPr>
        <w:t>While the UK’s regulatory framework in relation to clinical trials was historically based on the Medicines for Human Use (Clinical Trials) Regulations 2004, which implemented the CTD, this has been significantly reformed by the Medicines for Human Use (Clinical Trials) (Amendment) Regulations</w:t>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2024. The new legislation, which was adopted in April 2025, modernizes the United Kingdom’s approach to make it a more attractive location for research, and includes key features such as: (i) a risk-proportionate approach, including a notification scheme for lower-risk trials; (ii) a combined review process integrating ethics committee and regulatory approvals into a single, streamlined pathway; (iii) enhanced transparency requirements mandating registration of clinical trials in a public registry and publication of trial results within 12 months of trial completion (with scope for deferrals in certain circumstances);</w:t>
      </w:r>
    </w:p>
    <w:p>
      <w:pPr>
        <w:spacing w:after="0" w:line="1" w:lineRule="exact"/>
        <w:rPr>
          <w:sz w:val="20"/>
          <w:szCs w:val="20"/>
          <w:color w:val="auto"/>
        </w:rPr>
      </w:pPr>
    </w:p>
    <w:p>
      <w:pPr>
        <w:ind w:right="380" w:firstLine="8"/>
        <w:spacing w:after="0" w:line="260" w:lineRule="auto"/>
        <w:tabs>
          <w:tab w:leader="none" w:pos="3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flexibility to support innovation in clinical trial design; and (v) measures to promote patient and public involvement. The amendments will become applicable on April 28, 2026 following a one-year transition period.</w:t>
      </w:r>
    </w:p>
    <w:p>
      <w:pPr>
        <w:spacing w:after="0" w:line="18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Marketing authorizations in the UK are governed by the Human Medicines Regulations (SI 2012/1916), as amended. Since January 1, 2021, an applicant for the EU centralized procedure marketing authorization can no longer be established in the UK. As a result, since this date, companies established in the UK cannot use the EU centralized procedure and instead must follow one of the UK national authorization procedures or one of the remaining post-Brexit international cooperation procedures to obtain a marketing authorization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right="100"/>
        <w:spacing w:after="0" w:line="256" w:lineRule="auto"/>
        <w:rPr>
          <w:sz w:val="20"/>
          <w:szCs w:val="20"/>
          <w:color w:val="auto"/>
        </w:rPr>
      </w:pPr>
      <w:r>
        <w:rPr>
          <w:rFonts w:ascii="Times New Roman" w:cs="Times New Roman" w:eastAsia="Times New Roman" w:hAnsi="Times New Roman"/>
          <w:sz w:val="18"/>
          <w:szCs w:val="18"/>
          <w:color w:val="auto"/>
        </w:rPr>
        <w:t>to market products in the UK. All existing EU marketing authorizations for centrally authorized products were automatically converted or grandfathered into UK marketing authorization, effective in Great Britain only, free of charge on January 1, 2021, unless the marketing authorization holder opted-out of this possibility. Northern Ireland remained within the scope of EU authorizations in relation to centrally authorized medicinal products until January 1, 2025. However, on January 1, 2025, a new arrangement as part of the so-called “Windsor Framework” came into effect and reintegrated Northern Ireland under the regulatory authority of the MHRA with respect to medicinal products. The Windsor Framework removes EU licensing processes and EU labelling and serialization requirements in relation to Northern Ireland and introduces a UK-wide licensing process for medicines.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MHRA has also introduced changes to national marketing authorization procedures. This includes introduction of procedures to prioritize access to new medicines that will benefit patients, including a 150-day assessment route, a rolling review procedure and the International Recognition Procedures which entered into application on January 1, 2024. Since January 1, 2024, the MHRA may rely on the International Recognition Procedure, or IRP, when reviewing certain types of marketing authorization applications. This procedure is available for applicants for marketing authorization who have already received an authorization for the same product from a reference regulator. These include the FDA, the EMA, and national competent authorities of individual EEA countries. A positive opinion from the EMA and CHMP, or a positive end of procedure outcome from the mutual recognition or decentralized procedures are considered to be authorizations for the purposes of the IRP. The IRP allows medicinal products approved by such trusted regulatory partners that meet certain criteria to undergo a fast-tracked MHRA review to obtain and/or update a MA in the United Kingdom. Applications should be decided within a maximum of 60 days if: (i) there are no major objections identified that cannot be resolved within such 60 day period and (ii) the approval from the trusted regulatory partner selected has been granted within the previous 2 years. Where major objections are identified or such approval has not been granted within the previous 2 years, the decision timeline extends to 110 days. Applicants can submit initial MAAs to the IRP but the procedure can also be used throughout the lifecycle of a product for post-authorization procedures including line extensions, variations and renewals.</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is no pre-marketing authorization orphan designation for medicinal products in the UK. Instead, the MHRA reviews applications for orphan designation in parallel to the corresponding marketing authorization application. The criteria are essentially the same as those in the EU, but have been tailored for the market. This includes the criterion that prevalence of the condition in the United Kingdom, rather than the EU,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the United Kingdom.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Fraud and Abuse, Data Privacy and Security and Transparency Laws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pharmaceutical products, other federal and state healthcare laws restrict business practices in the biopharmaceutical industry. These laws include, without limitation, state and federal anti-kickback and false claims laws, data privacy and security laws, as well as transparency laws regarding payments or other items of value provided to healthcare providers.</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 There are a number of statutory exceptions and regulatory safe harbors protecting some common activities from prosecution, but the exceptions and safe harbors are drawn narrowly and require strict compliance in order to offer protection. Additionally, the intent standard under the federal Anti-Kickback Statute was amended by the Patient Protection and Affordable Care Act, as amended by the Health Care and Education Reconciliation Act of 2010 (collectively, “ACA”), to a stricter standard such that a person or entity does not need to have actual knowledge of the statute or specific intent to violate it in order to have committed a violation. Further, the ACA codified case law that a claim including items or services resulting from a violation of the federal Anti-Kickback Statute constitutes a false or fraudulent claim for purposes of the civil False Claims Act.</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federal false claims laws, including the civil False Claims Act, which can be enforced through civil whistleblower or qui tam actions, impose civil and criminal penalties on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 Further, 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federal Health Insurance Portability and Accountability Act of 1996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Moreover, HIPAA, as amended by the Health Information Technology for Economic and Clinical Health Act of 2009 (“HITECH”), and their respective implementing regulations, impose requirements on certain covered healthcare providers, health plans and healthcare clearinghouses as well as their respective business associates and covered subcontractors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Most states and foreign countries also have statutes or regulations similar to the fraud and abuse laws described above, including certain state laws which apply to items and services reimbursed under Medicaid and other state programs, or, in several states, apply regardless of the payor. We may also be subject to state laws governing the privacy and security of health information in certain circumstances, many of which differ from each other in significant ways and often are not preempted by the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health regulatory laws described above or any other laws that apply to us, we may be subject to penalties, including potentially significant criminal and civil and/or administrative penalties, damages, fines, disgorgement, individual imprisonment, exclusion from participation in government healthcare programs, contractual damages, reputational harm, administrative burdens,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products are sold in a foreign country, we may be subject to similar foreign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payors provide coverage for and establish adequate reimbursement levels for our product candidates, once approved.</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Government health administration authorities, private health insurers and other third-party payors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Sales of our product candidates will therefore depend substantially, both domestically and abroad, on the extent to which the costs of our product candidates will be covered by third-party payors. The market for our product candidates will depend significantly on access to third-party payors’ formularies without prior authorization, step therapy, or other limitations such as approved lists of treatments for which third-party payors provide coverage and reimbursement. Also, third-party payors are developing increasingly sophisticated methods of controlling healthcare costs. Coverage and reimbursement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with no assurance that adequate coverage and reimbursement will be obtained.</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2" w:name="page23"/>
    <w:bookmarkEnd w:id="22"/>
    <w:p>
      <w:pPr>
        <w:ind w:right="80"/>
        <w:spacing w:after="0" w:line="266" w:lineRule="auto"/>
        <w:rPr>
          <w:sz w:val="20"/>
          <w:szCs w:val="20"/>
          <w:color w:val="auto"/>
        </w:rPr>
      </w:pPr>
      <w:r>
        <w:rPr>
          <w:rFonts w:ascii="Times New Roman" w:cs="Times New Roman" w:eastAsia="Times New Roman" w:hAnsi="Times New Roman"/>
          <w:sz w:val="18"/>
          <w:szCs w:val="18"/>
          <w:color w:val="auto"/>
        </w:rPr>
        <w:t>In the United States, the European Union and other potentially significant markets for our product candidates, government authorities and other third-party payors are developing increasingly sophisticated methods of controlling healthcare costs and are increasingly imposing additional requirements and restrictions on coverage.</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the increased emphasis on managed healthcare in the United States and on country and national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organizations, competition within therapeutic classes, availability of generic equivalents or biosimilars, judicial decisions and governmental laws related to Medicare, Medicaid and healthcare reform, pharmaceutical coverage and reimbursement policies and pricing in general. The cost containment measures that healthcare payors and providers are instituting and the effect of any healthcare reform implemented in the future could significantly reduce our revenues from the sale of any approved product candidates. We cannot provide any assurances that we will be able to obtain and maintain governmental or private third-party coverage or adequate reimbursement for our product candidates in whole or in part.</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For example, the U.S. Department of Health and Human Services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the EU, pricing and reimbursement schemes vary widely from country to country. Some countries provide that products may be marketed only after a reimbursement price has been agreed. Other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1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some EEA countries may require the completion of additional studies that compare the cost-effectiveness of a particular medicinal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enacting or have enacted a number of additional legislative and regulatory proposals designed to change the healthcare system in ways that could affect our ability to sell our products profitably.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the pharmaceutical industry has been a particular focus of these efforts and has been significantly affected by major legislative initiatives, including the ACA, which substantially changed healthcare financing and delivery by both governmental and private insurers, and significantly impacted the pharmaceutical industry. There have been executive, judicial and congressional challenges and amendments to the ACA, as well as to repeal or replace certain aspects of the ACA. For example, on July 4, 2025,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unclear how any such challenges and additional healthcare reform measures of the current administration will impact the ACA and our business.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9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(“HTA”) amending Directive 2011/24/EU, was adopted in the EU. This Regulation, which entered into force in January 2022 and has applied since January 2025, through a phased implementation. The Regulation initially applies to new active substances for oncology and ATMPs. It will be expanded to orphan medicinal products in January 2028, and to all centrally authorized medicinal products as of 2030. Select high-risk medical devices also came into scope in 2026. The Regulation is intended to boost cooperation among EU Member States in assessing health technologies, including new medicinal products, and establishes the framework for EU level joint clinical assessments, joint scientific consultations, and the early identification of emerging health technologies.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Individual EU Member States continue to be responsible for assessing non-clinical (e.g., economic, social, ethical) aspects of health technologies, and making decisions on pricing and reimbursement.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Foreign Corrupt Practices Act</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we had 7 full-time employees. In addition, we are or have engaged with a number of consultants and companies, including Pharma Partnering in Research &amp; Strategy SAS (“PPRS”), that provide expertise in the key functions involved with the development of our products. None of our employees is subject to a collective bargaining agreement and we consider our relationship with our employees to be good.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and Development</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believe the skills and experience of our employees are an essential driver of our business and important to our future prospects. We face intense competition for qualified individuals from numerous pharmaceutical and biotechnology companies, universities, governmental entities and other research institutions, and we believe that our future success will depend in part on our continued ability to attract and retain highly skilled employees. To attract qualified applicants and retain our employees, we offer our employees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840"/>
        <w:spacing w:after="0" w:line="282" w:lineRule="auto"/>
        <w:rPr>
          <w:sz w:val="20"/>
          <w:szCs w:val="20"/>
          <w:color w:val="auto"/>
        </w:rPr>
      </w:pPr>
      <w:r>
        <w:rPr>
          <w:rFonts w:ascii="Times New Roman" w:cs="Times New Roman" w:eastAsia="Times New Roman" w:hAnsi="Times New Roman"/>
          <w:sz w:val="18"/>
          <w:szCs w:val="18"/>
          <w:color w:val="auto"/>
        </w:rPr>
        <w:t>what we believe to be competitive salaries, comprehensive benefit packages, equity compensation awards, and discretionary bonuses based on a combination of seniority, individual performance and corporate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Minerva Neurosciences, Inc. was formed in November 2013 from the merger of Cyrenaic Pharmaceuticals, Inc. and Sonkei Pharmaceuticals, Inc. These two predecessor companies had exclusively licensed roluperidone and another compound from Tanabe Pharma. In February 2014, we acquired Mind-NRG Sarl. Our principal executive offices are located at 1500 District Avenue, Burlington, Massachusetts 01803, and our telephone number is (617) 600-7373. Our website address is www.minervaneurosciences.com. Information contained on, or that can be accessed through, our website is not incorporated by reference into this Annual Report on Form 10-K, and you should not consider information on our website to be part hereof. Our common stock is listed on the Nasdaq Capital Market under the symbol “NERV.”</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including annual reports on Form 10-K, quarterly reports on Form 10-Q, current reports on Form 8-K, and any other filings required by the SEC. We make available on our website (www.minervaneurosciences.com) our annual report on Form 10-K, quarterly reports on Form 10-Q, current reports on Form 8-K, and all amendments to those reports as soon as reasonably practicable after such material is electronically filed with or furnished to the SEC. These materials are available free of charge on or through our website via the Investor Relations page at www.minervaneurosciences.com. References to our website address in this report are intended to be inactive textual references only, and none of the information contained on our website is part of this report or incorporated in this report by reference.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authorities,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the other information in this Annual Report on Form 10-K, including our consolidated financial statements and the notes thereto, and “Management’s Discussion and Analysis of Financial Condition and Results of Operations.” The occurrence of any of the events or developments described below could adversely affect our business, results of operations, financial condition, reputation, and prospects. In such an event, the market price of our common stock could decline, and you may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from product sales to date, and we may never generate product revenue or achieve profitability. Our net loss was $293.4 million and our net income was $1.4 million for the fiscal years ended December 31, 2025 and 2024, respectively. As of December 31, 2025, we had an accumulated deficit of approximately $688.8 million.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lead product candidate, roluperidone, is in development for the treatment of negative symptoms in patients diagnosed with schizophrenia. In August 2022, we submitted a New Drug Application (“NDA”) with the U.S. Food and Drug Administration (“FDA”) for roluperidone for the treatment of negative symptoms in schizophrenia. On February 26, 2024, the FDA issued a Complete Response Letter (the “CRL”) to our NDA for roluperidone. Subsequent to the CRL, we have had multiple interactions with the FDA to confirm the design of an additional Phase 3 confirmatory clinical trial to address the deficiencies cited in the CRL and resubmit the NDA. See the section titled “Item 1. Business—Our Clinical-Stage Programs” for more information. While we are advancing plans for an additional confirmatory Phase 3 clinical trial for roluperidone for the treatment of negative symptoms in schizophrenia, which we refer to as the C19 trial, in consultation with the FDA and expect to fund such trial and our resubmission of the NDA in part with net proceeds from our October 2025 private placement, there can be no assurances that we will successfully resubmit the NDA and obtain approval for roluperidone in a timely manner, on favorable terms, or at all. As a result, the regulatory approval process for roluperidone in the United States is highly uncertain. If we do not obtain approval of roluperidone in the United States, or if the approval is delayed, it would have a material adverse impact on our business. Even if we are able to obtain approval, the expense and time to do so could adversely impact our ability to successfully commercialize roluperidone or conduct our other business operations and our financial condition could be materially harmed.</w:t>
      </w:r>
    </w:p>
    <w:p>
      <w:pPr>
        <w:spacing w:after="0" w:line="1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 w:name="page27"/>
    <w:bookmarkEnd w:id="26"/>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December 31, 2025, we had cash, cash equivalents, and restricted cash of $82.4 million. We believe that this amount will be sufficient to meet our operating commitments for at least twelve months from the date that our financial statements are issued.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are uncertain, including the C19 trial required by the FDA for roluperidone.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on the requisite timing or on reasonable terms, if at all, and our ability to raise additional capital may be adversely impacted by global economic conditions, geopolitical conflicts, such as the war in Ukraine and hostilities in the Middle East, and other factors. Our future funding requirements, both short and long-term, will depend on many factors, including:</w:t>
      </w:r>
    </w:p>
    <w:p>
      <w:pPr>
        <w:spacing w:after="0" w:line="79" w:lineRule="exact"/>
        <w:rPr>
          <w:sz w:val="20"/>
          <w:szCs w:val="20"/>
          <w:color w:val="auto"/>
        </w:rPr>
      </w:pPr>
    </w:p>
    <w:p>
      <w:pPr>
        <w:ind w:left="1020" w:right="58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ind w:left="1020" w:right="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ind w:left="1020" w:right="3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9" w:lineRule="exact"/>
        <w:rPr>
          <w:rFonts w:ascii="Times New Roman" w:cs="Times New Roman" w:eastAsia="Times New Roman" w:hAnsi="Times New Roman"/>
          <w:sz w:val="18"/>
          <w:szCs w:val="18"/>
          <w:color w:val="auto"/>
        </w:rPr>
      </w:pPr>
    </w:p>
    <w:p>
      <w:pPr>
        <w:ind w:left="1020" w:right="660" w:hanging="503"/>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may have to delay, limit or terminate the development or commercialization of one or more of our product candidates or other operations, including exploring strategic alternatives and partnership opportunities and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equity securities will cause dilution to existing stockholders. Raising additional funds through debt financings may involve restrictive covenants and raising funds through lending and licensing arrangements may restrict our operations or require us to relinquish proprietary rights.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 financings, strategic alliances and license and development agreements or other collaborations. We cannot guarantee that future financing will be available in sufficient amounts or on terms acceptable to us, if at all. If we raise additional equity financing, our stockholders may experience significant dilution of their ownership interests, the terms of these securities may include liquidation or other preferences that could adversely affect the rights of a common stockholder, and the per-share value of our common stock could decline. If we engage in debt financing, we may be required to accept terms that restrict or limit our ability to take specific actions, such as incurring additional indebtedness, making capital expenditures or declaring dividends, and other restrictive covenants that could adversely impact our ability to conduct our business. If we raise additional funds through collaborations, strategic alliances or marketing, distribution or licensing arrangements with third parties, we may have to relinquish valuable rights to our future revenue streams, research programs or any future product candidate or grant licenses on terms that may not be favorable to us. If we are unable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ind w:right="40"/>
        <w:spacing w:after="0" w:line="282" w:lineRule="auto"/>
        <w:rPr>
          <w:sz w:val="20"/>
          <w:szCs w:val="20"/>
          <w:color w:val="auto"/>
        </w:rPr>
      </w:pPr>
      <w:r>
        <w:rPr>
          <w:rFonts w:ascii="Times New Roman" w:cs="Times New Roman" w:eastAsia="Times New Roman" w:hAnsi="Times New Roman"/>
          <w:sz w:val="18"/>
          <w:szCs w:val="18"/>
          <w:color w:val="auto"/>
        </w:rPr>
        <w:t>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(“NOL”) carryforwards may be limited.</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U.S. tax law, federal NOL carryforwards generated in taxable years beginning after December 31, 2017, may be carried forward indefinitely, but the deductibility of such NOL carryforwards is limited to 80% of taxable income. Many states have similar laws. As of December 31, 2025, we had approximately $188.2 million of federal net operating losses that will begin to expire in 2036, if not utilized. Of the total federal net operating loss, approximately $166.8 million has an unlimited carryforward and therefore will not expire. As of December 31, 2025, we had approximately $7.7 million of New Jersey and approximately $180.4 million of Massachusetts operating losses that will begin to expire in 2029 and 2037, respectively, if not utilized. Accordingly, certain of our federal and state NOL carryforwards could expire unused and be unavailable to offset future income tax liabilities.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“Code”), federal NOL carryforwards may become subject to an annual limitation in the event of an ownership change (generally defined as a greater than 50% change, by value, in its equity ownership over a three-year period). We may be subject to an annual limitations on the amount of NOL carryforwards that can be utilized in each year. It is also possible that some or all of our NOL carryforwards could be limited by the provisions of Section 382 of the Code as a result of future changes in ownership, including as a result of subsequent sales of securities by us or our stockholders. Further,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or tax rulings could materially affect our financial position, results of operations, and cash flows.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Tax Cuts and Jobs Act, the Coronavirus Aid, Relief, and Economic Security Act, the Inflation Reduction Act, or the IRA, and the One Big Beautiful Bill Act made many significant changes to U.S. tax laws, including the imposition by the IRA of, among other rules, a 15% minimum tax on the book income of certain large corporations and a 1% excise tax on certain corporate stock repurchases. Further, existing tax laws, statutes, rules, regulations, or ordinances could be interpreted differently, changed, repealed, or modified at any time. Any such enactment, interpretation, change, repeal, or modification could adversely affect us, possibly with retroactive effect. In particular, changes in corporate tax rates, the realization of net deferred tax assets, the taxation of foreign earnings, and the deductibility of expenses could have a material impact on the value of our deferred tax assets, result in significant one-time charges, and increase our future tax expenses. In addition, our tax position could be adversely impacted by changes in tax laws applicable to corporate multinationals which have been proposed, and, in some cases, enacted by various countries, and by other international tax developments including the implementation of the base erosion and profit shifting project led by the Organization for Economic Cooperation and Development and certain tax initiatives proposed by the European Commission. These changes and developments include changes to the existing framework in respect of income taxes, as well as the imposition of new types of non-income taxes (such as taxes based on a percentage of revenue) which could apply to our business. These types of changes to the taxation of our activities could increase our worldwide effective tax rate, increase the amount of taxes imposed on our business and our compliance costs, and harm our financial position. Such changes may also apply retroactively to our historical operations and result in taxes greater than the amounts estimated and recorded in our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roluperidone, as well as any other potential future product candidates. If we are unable to successfully complete clinical development of, obtain regulatory approval for, or commercialize, roluperidone or any other potential future product candidates, or if we experience delays in doing so, our business will be materially harmed.</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future success and ability to generate revenue from roluperidone or any potential future product candidates, which we do not expect will occur for several years, if ever, is dependent on our ability to successfully develop, obtain regulatory approval for and commercialize one or more product candidates. Subject to ongoing feedback from the FDA, we expect to initiate our C19 trial in the second quarter of 2026. We currently expect topline efficacy results in the second half of 2027 and relapse assessment data in the second half of 2028. If roluperidone encounters undesirable safety signals, insufficient efficacy results, development delays, regulatory issues or other problems, our development plans and business would be significantly harmed. See also the risk factor captioned “</w:t>
      </w:r>
      <w:r>
        <w:rPr>
          <w:rFonts w:ascii="Times New Roman" w:cs="Times New Roman" w:eastAsia="Times New Roman" w:hAnsi="Times New Roman"/>
          <w:sz w:val="18"/>
          <w:szCs w:val="18"/>
          <w:i w:val="1"/>
          <w:iCs w:val="1"/>
          <w:color w:val="auto"/>
        </w:rPr>
        <w:t>We have incurred significant losses since our inception. We expect to continue to incur losses over the next several years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may never achieve or maintain profitability.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regulatory approval process is expensive and the time required to obtain approval from the European Commission (following the opinion of the Committee of Medicinal Products for Human Use of the European Medicines Agency (“EMA”)), FDA or other comparable regulatory authorities in other jurisdictions to sell any product is uncertain and may take years.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Moreover, the filing of an application for regulatory approval, including an NDA, or Biologics License Application (“BLA”), a Marketing Authorization Application (“MAA”) in the EEA, or comparable foreign regulatory applications for approval, requires a payment of a significant user fee upon submission. The filing of applications for regulatory approval of our product candidates may be delayed due to our lack of financial resources to pay such user fee.</w:t>
      </w:r>
    </w:p>
    <w:p>
      <w:pPr>
        <w:spacing w:after="0" w:line="1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On October 14, 2022, we received a refusal-to-file communication from the FDA for our NDA submission for roluperidone, our lead product candidate, which decision was confirmed by the FDA in a subsequent Type A meeting. On April 27, 2023, the FDA filed our NDA for roluperidone following our request for formal dispute resolution and appeal of the refusal-to-file letter. On May 8, 2023, we received confirmation from the FDA that our NDA for roluperidone had been assigned a standard review classification and a PDUFA goal date of February 26, 2024. The FDA also advised that it identified potential review issues that had been previously cited in the RTF decision letter, which included those discussed at the Type C meeting in March 2022. See the section titled “Item 1. Business— Our Clinical-Stage Programs— Clinical and Regulatory Updates—Type C Meeting” for more information. On February 26, 2024, the FDA issued a CRL to our NDA for roluperidone. See the section titled “Item 1. Business—Our Clinical-Stage Programs—Clinical and Regulatory Updates—Complete Response Letter” for more information. See also the risk factor above titled “</w:t>
      </w:r>
      <w:r>
        <w:rPr>
          <w:rFonts w:ascii="Times New Roman" w:cs="Times New Roman" w:eastAsia="Times New Roman" w:hAnsi="Times New Roman"/>
          <w:sz w:val="18"/>
          <w:szCs w:val="18"/>
          <w:i w:val="1"/>
          <w:iCs w:val="1"/>
          <w:color w:val="auto"/>
        </w:rPr>
        <w:t>We have incurred significant losses since our inception. We expect to continue to incur losses over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next several years and may never achieve or maintain profitability.</w:t>
      </w:r>
      <w:r>
        <w:rPr>
          <w:rFonts w:ascii="Times New Roman" w:cs="Times New Roman" w:eastAsia="Times New Roman" w:hAnsi="Times New Roman"/>
          <w:sz w:val="18"/>
          <w:szCs w:val="18"/>
          <w:color w:val="auto"/>
        </w:rPr>
        <w:t>” As a result of the CRL, we need to conduct an additional Phase 3 trail,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 increased costs and delays in the regulatory approval process. Our C19 Phase 3 confirmatory trial may not be successful, may be significantly delayed, and may not result in marketing authorization for roluperidone in any jurisdiction.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9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the design or implementation of our clinical trials.</w:t>
      </w:r>
    </w:p>
    <w:p>
      <w:pPr>
        <w:spacing w:after="0" w:line="27" w:lineRule="exact"/>
        <w:rPr>
          <w:rFonts w:ascii="Times New Roman" w:cs="Times New Roman" w:eastAsia="Times New Roman" w:hAnsi="Times New Roman"/>
          <w:sz w:val="18"/>
          <w:szCs w:val="18"/>
          <w:color w:val="auto"/>
        </w:rPr>
      </w:pPr>
    </w:p>
    <w:p>
      <w:pPr>
        <w:ind w:left="1020" w:right="50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EMA, the European Commission, the FDA or other comparable regulatory authorities that a product candidate is safe and effective for its proposed indication.</w:t>
      </w:r>
    </w:p>
    <w:p>
      <w:pPr>
        <w:ind w:left="1020" w:right="20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EMA, the European Commission, FDA or other regulatory authorities for approval.</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any safety risks.</w:t>
      </w:r>
    </w:p>
    <w:p>
      <w:pPr>
        <w:spacing w:after="0" w:line="9"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European Commission, the FDA or other regulatory authorities may disagree with our interpretation of data from pre-clinical studies or clinical trials.</w:t>
      </w:r>
    </w:p>
    <w:p>
      <w:pPr>
        <w:ind w:left="1020" w:right="26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an NDA or other submission or to obtain regulatory approval in the United States or elsewhere.</w:t>
      </w:r>
    </w:p>
    <w:p>
      <w:pPr>
        <w:ind w:left="1020" w:right="58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competent authorities of EU Member States, FDA or other regulatory authorities may fail to approve the manufacturing processes or facilities of third-party manufacturers with which we contract for clinical and commercial supplies.</w:t>
      </w:r>
    </w:p>
    <w:p>
      <w:pPr>
        <w:ind w:left="1020" w:right="20" w:hanging="503"/>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European Commission, FDA or other regulatory authorities may significantly change in a manner rendering our clinical data insufficient for approval.</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boxed warning, may grant approval contingent on the performance of costly post-marketing clinical trials or other post-market requirements, including risk evaluation and mitigation strategies (“REMS”) or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9" w:name="page30"/>
    <w:bookmarkEnd w:id="29"/>
    <w:p>
      <w:pPr>
        <w:ind w:right="460"/>
        <w:spacing w:after="0" w:line="282" w:lineRule="auto"/>
        <w:rPr>
          <w:sz w:val="20"/>
          <w:szCs w:val="20"/>
          <w:color w:val="auto"/>
        </w:rPr>
      </w:pPr>
      <w:r>
        <w:rPr>
          <w:rFonts w:ascii="Times New Roman" w:cs="Times New Roman" w:eastAsia="Times New Roman" w:hAnsi="Times New Roman"/>
          <w:sz w:val="18"/>
          <w:szCs w:val="18"/>
          <w:color w:val="auto"/>
        </w:rPr>
        <w:t>comparable foreign strategies,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For example, our Phase 3 trial (C07) of roluperidone for the treatment of negative symptoms of schizophrenia failed to meet its primary endpoint despite our Phase 2b trial (C03) of the same design achieving statistical significance on the same endpoint. Inconsistencies such as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positive results in earlier trials.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comparable foreign regulatory authorities.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in the past and intend to conduct our future clinical trials at sites outside the United States. Although the FDA may accept data from clinical trials conducted outside the United States, acceptance of this data would be subject to certain conditions imposed by the FDA. For example, the study population must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an application for regulatory approval. For our Confirmatory Phase 3 trial, we agreed with the FDA that best efforts will be made to secure 25-30% of patients from the U.S., subject to competitive recruitment. If we are unable to enroll 25-30% of our C19 patients from the U.S. or if the FDA does not accept the data from international clinical trial sites, it would likely result in the need for additional trials , which would be costly and time-consuming and could delay or permanently halt the development of roluperidone. Similar requirements and consequences apply outside the United States in relation to acceptance by for foreign regulatory authorities of data from clinical trials conducted outside their territory.</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completion of clinical development can be delayed or halted for a number of reasons, including:</w:t>
      </w:r>
    </w:p>
    <w:p>
      <w:pPr>
        <w:spacing w:after="0" w:line="117" w:lineRule="exact"/>
        <w:rPr>
          <w:sz w:val="20"/>
          <w:szCs w:val="20"/>
          <w:color w:val="auto"/>
        </w:rPr>
      </w:pPr>
    </w:p>
    <w:p>
      <w:pPr>
        <w:ind w:left="1020" w:right="56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regulatory approval to commence a clinical trial or complying with conditions imposed by a regulatory authority regarding the scope or term of a clinical trial;</w:t>
      </w:r>
    </w:p>
    <w:p>
      <w:pPr>
        <w:ind w:left="1020" w:right="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20" w:right="7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failing to conduct the trial in accordance with regulatory requirements;</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 parties, such as CROs, to satisfy their contractual duties or meet expected deadlines;</w:t>
      </w:r>
    </w:p>
    <w:p>
      <w:pPr>
        <w:spacing w:after="0" w:line="9"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identification and auditing of central or other laboratories and the transfer and validation of assays or tests to be used;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subjects complete participation in a trial or return for post-treatment follow-up;</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left="1020" w:hanging="503"/>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IRB approval or Ethics Committee positive opinions as part of the decision on the authorization of the clinical trial issued by EU Member States including input from the national competent authorities and Ethics Committee to conduct a trial at a prospective site, or complying with conditions imposed by IRBs, Ethics Committees or comparable foreign regulatory authorities;</w:t>
      </w:r>
    </w:p>
    <w:p>
      <w:pPr>
        <w:spacing w:after="0" w:line="1"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recruiting and enrolling subjects to participate in clinical trials for a variety of reasons, including competition from other programs for the treatment of similar conditions;</w:t>
      </w: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adverse events experienced by subjects in a clinical trial;</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our product candidate roluperidone;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investigators and clinical sites;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and</w:t>
      </w:r>
    </w:p>
    <w:p>
      <w:pPr>
        <w:spacing w:after="0" w:line="9" w:lineRule="exact"/>
        <w:rPr>
          <w:rFonts w:ascii="Times New Roman" w:cs="Times New Roman" w:eastAsia="Times New Roman" w:hAnsi="Times New Roman"/>
          <w:sz w:val="18"/>
          <w:szCs w:val="18"/>
          <w:color w:val="auto"/>
        </w:rPr>
      </w:pPr>
    </w:p>
    <w:p>
      <w:pPr>
        <w:ind w:left="1020" w:right="180" w:hanging="503"/>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imposed by competent authorities, including national regulatory authorities of EU Member States, the FDA or IRBs or Ethics Committees.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national competent authorities of EU Member States or the FDA due to a number of factors, including:</w:t>
      </w:r>
    </w:p>
    <w:p>
      <w:pPr>
        <w:spacing w:after="0" w:line="6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the trial protocols and applicable laws;</w:t>
      </w:r>
    </w:p>
    <w:p>
      <w:pPr>
        <w:spacing w:after="0" w:line="27" w:lineRule="exact"/>
        <w:rPr>
          <w:rFonts w:ascii="Times New Roman" w:cs="Times New Roman" w:eastAsia="Times New Roman" w:hAnsi="Times New Roman"/>
          <w:sz w:val="18"/>
          <w:szCs w:val="18"/>
          <w:color w:val="auto"/>
        </w:rPr>
      </w:pPr>
    </w:p>
    <w:p>
      <w:pPr>
        <w:ind w:left="1020" w:right="16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observations during inspection of the clinical trial operations or trial sites by the national competent authorities of EU Member States, FDA or other comparable foreign regulatory authorities that ultimately result in the imposition of a clinical hold;</w:t>
      </w: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national competent authorities of EU Member States,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or foreign regulatory authorities caused by funding shortages or global health concerns could negatively impact our business.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proposed clinical trials or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Similar considerations are applicable to foreign regulatory authorities.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or comparable foreign regulatory authorities may also slow the time necessary for new product candidates to be reviewed and/or approved,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1" w:name="page32"/>
    <w:bookmarkEnd w:id="31"/>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advancing product candidates beyond Phase 3, which makes it difficult to assess our ability to develop and commercialize our product candidates.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no experience in progressing clinical trials past Phase 3, obtaining regulatory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enroll subjects in clinical trials, we will be unable to complete these trials on a timely basis or at 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timely completion of clinical trials largely depends on subject enrollment. Many factors affect subject enrollment, including:</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subject population;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we enroll;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subjects;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subject consents;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and</w:t>
      </w:r>
    </w:p>
    <w:p>
      <w:pPr>
        <w:spacing w:after="0" w:line="9" w:lineRule="exact"/>
        <w:rPr>
          <w:rFonts w:ascii="Times New Roman" w:cs="Times New Roman" w:eastAsia="Times New Roman" w:hAnsi="Times New Roman"/>
          <w:sz w:val="18"/>
          <w:szCs w:val="18"/>
          <w:color w:val="auto"/>
        </w:rPr>
      </w:pPr>
    </w:p>
    <w:p>
      <w:pPr>
        <w:ind w:left="1020" w:right="220" w:hanging="503"/>
        <w:spacing w:after="0" w:line="26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in Europe and in the United States and, while we have agreements governing their committed activities, we have limited influence over their actual performance. We may also experience difficulties enrolling subjects for our clinical trials relating to roluperidone due to the mental health of the subjects that we will need to enroll, related diagnoses and drop-out rates.</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a Phase 2b trial in MDD with respect to a drug that we were previously developing, MIN-117, failed to achieve its primary endpoint, and we decided to discontinue development of MIN-117 for MDD. Regulatory authorities may find that our studies do not support, in combination with other studies, approval of our product candidates for the target indication. In addition, our product candidates may be associated with undesirable side effects or have characteristics that are unexpected, which may result in abandoning their development or regulatory authorities restricting or denying regulatory approval. For instance, prior clinical studies indicated that roluperidone and MIN-117 may cause adverse events, including, but not limited to, dizziness, vital sign changes, central nervous system events, cardiac events, including prolongation of the QT/QTc interval, and gastrointestinal events. Most product candidates that commence clinical trials are never approved by the applicable regulatory authorities.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case of our product candidate roluperidone, we are seeking to develop a treatment for schizophrenia, which adds a layer of complexity to our clinical trials and may delay regulatory approval. The cause and pathophysiology of schizophrenia are not fully understood, and our results rely on subjective feedback from patients, caregivers and healthcare providers,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our product candidates are not shown to be both safe and effective in clinical trials, we will not be able to obtain regulatory approval or commercialize our product candidates.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2" w:name="page33"/>
    <w:bookmarkEnd w:id="3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For instance, at the present time we are prioritizing the development of the most advanced of our product candidates, roluperidone. As a result, we have suspended further development of MIN-301, and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 product candidate or the approval may be for a narrower indication than we expect.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authorities may not complete their review processes in a timely manner, or we may not be able to obtain regulatory approval from the relevant regulatory authorities.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or comparable foreign strategies, additional safety monitoring,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thoughts and behavior in young adults, ages 18 to 24, during initial treatment. If approved for marketing, our drugs may be required to carry warnings similar to this and other class-wide warnings.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approved products would further be subject to ongoing requirements imposed by the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w:t>
      </w:r>
    </w:p>
    <w:p>
      <w:pPr>
        <w:spacing w:after="0" w:line="18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addition, if there are any modifications to the drug, including changes in indications, labeling, manufacturing processes or facilities, or if new safety issues arise, a new or supplemental NDA, marketing authorization application or comparable foreign application, post-implementation notification, application for a variation or an existing marketing authorization, or other reporting may be required or requested, which may require additional data or additional pre-clinical studies and clinical trials.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The EMA, FDA and other comparable foreign regulatory authorities will continue to closely monitor the safety profile of any product even after approval. If the EMA, FDA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ind w:right="420"/>
        <w:spacing w:after="0" w:line="282" w:lineRule="auto"/>
        <w:rPr>
          <w:sz w:val="20"/>
          <w:szCs w:val="20"/>
          <w:color w:val="auto"/>
        </w:rPr>
      </w:pPr>
      <w:r>
        <w:rPr>
          <w:rFonts w:ascii="Times New Roman" w:cs="Times New Roman" w:eastAsia="Times New Roman" w:hAnsi="Times New Roman"/>
          <w:sz w:val="18"/>
          <w:szCs w:val="18"/>
          <w:color w:val="auto"/>
        </w:rPr>
        <w:t>or other comparable foreign regulatory authorities become aware of new adverse safety information after approval of any of our product candidates, a number of potentially significant negative consequences could result, including:</w:t>
      </w:r>
    </w:p>
    <w:p>
      <w:pPr>
        <w:spacing w:after="0" w:line="54" w:lineRule="exact"/>
        <w:rPr>
          <w:sz w:val="20"/>
          <w:szCs w:val="20"/>
          <w:color w:val="auto"/>
        </w:rPr>
      </w:pPr>
    </w:p>
    <w:p>
      <w:pPr>
        <w:ind w:left="1020" w:right="1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restrict or suspend marketing of such product or the manufacturing process for any component thereof, or withdraw, recall or seize, such product;</w:t>
      </w: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vary, or suspend approvals of such product;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otherwise restrict the product’s indicated use, label, or marketing;</w:t>
      </w:r>
    </w:p>
    <w:p>
      <w:pPr>
        <w:spacing w:after="0" w:line="9"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issue safety alerts, Dear Healthcare Provider letters, press releases or other communications containing warnings about such product;</w:t>
      </w:r>
    </w:p>
    <w:p>
      <w:pPr>
        <w:ind w:left="102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issue a conditional approval and we may fail to fulfill the requirements of the conditional approval;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 or surveillance;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including contracted facilities, are subject to continual review and periodic inspections by national competent authorities of EU Member States, the FDA and other comparable foreign regulatory authorities for compliance with current Good Manufacturing Practices (“cGMP”), regulations and standards. The European Union cGMP guidelines are as set forth in Commission Directive 2017/1572 of October 15, 2017. Despite our efforts to audit and verify regulatory compliance, third-party manufacturing vendors may be found on regulatory inspection by the FDA or other comparable foreign regulatory authorities to be noncompliant with cGMP regulations. This may result in shutdown of the third-party vendor or invalidation of drug product lots or processes. In some cases, a product recall may be warranted or required, which would materially affect our ability to supply and market our drug products. If we or a regulatory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regulatory approval, a regulatory authority may, depending on the stage of product development and approval:</w:t>
      </w:r>
    </w:p>
    <w:p>
      <w:pPr>
        <w:spacing w:after="0" w:line="7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adverse inspectional findings;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and update labels or package inserts;</w:t>
      </w:r>
    </w:p>
    <w:p>
      <w:pPr>
        <w:spacing w:after="0" w:line="9"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criminal and/or administrative penalties, damages or monetary fines or imprisonment;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vary or withdraw regulatory approval;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vary or terminate any ongoing clinical studies;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 us from submitting or assisting in the submission of new regulatory applications;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or delay approval of pending applications or supplements to applications filed by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government contracts;</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(“HHS’s”) Office of Inspector General, state attorneys general,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t>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authorities. Additionally, comparable foreign regulatory authorities will heavily scrutinize advertising and promotion of any product candidate that obtains approval outside of the United States.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legislation,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Promotional activity that does not comply with the SmPC is considered off-label and is prohibited in the EU. Direct-to-consumer advertising of prescription medicinal products is also prohibited in the EU. Enforcement of advertising and promotional requirements relating to medicinal products in the EU is carried out at the national level by the national competent authorities of EU Member States. Furthermore, national or industry codes of conduct or practice, such as the Association of the British Pharmaceutical Industry (the United Kingdom innovative pharmaceutical industry trade association) code of practice, may established additional, stricter requirements than applicable legislative requirements.</w:t>
      </w:r>
    </w:p>
    <w:p>
      <w:pPr>
        <w:spacing w:after="0" w:line="1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products for off-label uses can also subject the entity engaging in such conduct to false claims litigation under federal and state statutes, which can lead to civil, criminal and/or administrative penalties, damages, monetary fines, disgorgement, exclusion from participation in Medicare, Medicaid and other federal healthcare programs, curtailment or restructuring of its operations and agreements that materially restrict the manner in which it promotes or distributes drug products. Accordingly, we are subject to the federal civil False Claims Act, which prohibits persons and entities from knowingly filing, or causing to be filed, a false claim, or the knowing use of false statements, to obtain payment from the federal government. Certain suits filed under the civil False Claims Act, known as “qui tam” actions, can be brought by any individual on behalf of the government and such individuals, commonly known as “whistleblowers,” may share in certain amounts paid by the entity to the government in fines or settlement. When an entity is determined to have violated the civil False Claims Act, it may be required to pay up to three times the actual damages sustained by the government, plus civil penalties for each separate false claim. Various states have also enacted laws modeled after the federal civil False Claims Act. We are also subject to the federal criminal False Claims Act, which imposes criminal fines or imprisonment against individuals or entities who make or present a claim to the government knowing such claim to be false, fictitious, or fraudulent. Additionally, we may be subject to civil monetary penalties that may be imposed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8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policies of the FDA, the competent authorities of the EU Member States, the European Commission and other comparable regulatory authorities with respect to drugs or clinical trials may change and additional government regulations may be enacted. As an example, the regulatory landscape related to clinical trials in the EU has evolved. The EU Clinical Trials Regulation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CTR foresaw a three-year transition period that ended on January 31, 2025. Since this date, all new or ongoing trials are subject to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860"/>
        <w:spacing w:after="0" w:line="282" w:lineRule="auto"/>
        <w:rPr>
          <w:sz w:val="20"/>
          <w:szCs w:val="20"/>
          <w:color w:val="auto"/>
        </w:rPr>
      </w:pPr>
      <w:r>
        <w:rPr>
          <w:rFonts w:ascii="Times New Roman" w:cs="Times New Roman" w:eastAsia="Times New Roman" w:hAnsi="Times New Roman"/>
          <w:sz w:val="18"/>
          <w:szCs w:val="18"/>
          <w:color w:val="auto"/>
        </w:rPr>
        <w:t>provisions of the CTR. Our compliance with the CTR requirements and that of our third-party service providers, such as CROs, may impact our developments plans.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 - comprised of a new directive and regulation to replace existing legislation – 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 If we are slow or unable to adapt to changes in existing requirements or the adoption of new requirements or policies governing clinical trials, our development plans may be impacted.</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 candidates are intended for the treatment of schizophrenia, MDD, and Parkinson’s disease. Our projections of both the number of people who have these disorders or diseases,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notification to the FDA or comparable foreign regulatory authorities or approval from the FDA or comparable foreign regulatory authorities.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European Union and the United States. We also expect to seek regulatory approval in additional foreign countries. To market and sell our products in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European Commission or FDA approval. The regulatory approval process outside the European Union and United States generally includes risks substantially similar to those associated with obtaining European Commission or FDA approval. In addition, in many countries outside the United States, we must secure product price and reimbursement approvals before regulatory authorities will approve the product for sale in that country or within a short time after receiving such regulatory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do not receive applicable regulatory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jurisdictions require prior approval of a treatment by the domestic regulatory authority. Our failure to obtain approval of any of our product candidates by regulatory authorities in another country may significantly diminish the commercial prospects of that product candidate and our business prospects could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us.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less costly and/or have a better safety profile than our products, and competitors may also be more successful than us in manufacturing and marketing their products.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or comparable foreign regulatory authorities, standards for interchangeability, the structure of government and commercial managed care formularies, and applicable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receives regulatory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If any of our drug candidates receives regulatory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perceived and potential advantages compared to alternative treatments, including any similar generics and biosimilars;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relative to alternative treatment;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drugs for sale at competitive prices relative to alternative treatments;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distribution support;</w:t>
      </w:r>
    </w:p>
    <w:p>
      <w:pPr>
        <w:spacing w:after="0" w:line="9"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products or the willingness of patients to pay out-of-pocket in the absence of coverage and adequate reimbursement by third-party payors;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7" w:name="page38"/>
    <w:bookmarkEnd w:id="37"/>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drugs together with other medications.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currently have no marketing or sales organization for the marketing, sales and distribution of pharmaceutical products. In order to commercialize any product candidates, we must build our marketing, sales, distribution, managerial and other non-technical capabilities or make arrangements with third parties to perform these services. We may not be successful in doing so on commercially reasonable terms or at all.</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1020" w:right="54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clinical benefits of our products to achieve market acceptance;</w:t>
      </w:r>
    </w:p>
    <w:p>
      <w:pPr>
        <w:ind w:left="1020" w:right="18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personnel on legal compliance matters and monitoring their actions;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personnel failing to comply with the applicable legal requirements;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5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laws that govern regulatory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regulatory approval.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right="20"/>
        <w:spacing w:after="0" w:line="256"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In the European Union (“EU”), the pricing and reimbursement schemes of drugs is governed by the national legislation of each EU Member State and also vary widely from country to country. In these countries, pricing negotiations with governmental authorities can take considerable time after receipt of regulatory approval for a product.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there can be considerable pressure by governments and other stakeholders on prices and reimbursement levels, including as part of cost containment measures in the current economic climate in the European Union. There is very limited harmonization between EU Member States regarding pricing and reimbursement practices.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drugs established in other countries as “reference prices” to help determine the price of the product in their own territory. Reference pricing used by various EU Member States and parallel distribution, or arbitrage between low-priced and high-priced EU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 Consequently, a downward trend in prices of drugs in some countries could contribute to similar downward trends elsewhere.</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reimbursement of our drugs is unavailable or limited in scope or amount, or if pricing is set at unsatisfactory levels, our business could be materially harmed.</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9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right="240"/>
        <w:spacing w:after="0" w:line="282" w:lineRule="auto"/>
        <w:rPr>
          <w:sz w:val="20"/>
          <w:szCs w:val="20"/>
          <w:color w:val="auto"/>
        </w:rPr>
      </w:pPr>
      <w:r>
        <w:rPr>
          <w:rFonts w:ascii="Times New Roman" w:cs="Times New Roman" w:eastAsia="Times New Roman" w:hAnsi="Times New Roman"/>
          <w:sz w:val="18"/>
          <w:szCs w:val="18"/>
          <w:color w:val="auto"/>
        </w:rPr>
        <w:t>support for the use of our products to each payor separately, with no assurance that coverage and adequate reimbursement will be applied consistently or obtained in the first instance.</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European Commission,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For example,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regulatory approval of our product candidates, restrict or regulate post-approval activities and affect our ability to profitably sell any product candidate for which we obtain regulatory approval.</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of 2010 (collectively, “ACA”) broadened access to health insurance, reduced or constrained the growth of healthcare spending, enhanced remedies against healthcare fraud and abuse, add imposed new transparency requirements for healthcare and health insurance industries, imposed new taxes and fees on pharmaceutical manufacturers and imposed additional health policy reforms. Since the ACA’s enactment, there have been executive, judicial and Congressional challenges and amendments to certain aspects of the ACA. For example, on July 4, 2025,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possible that the ACA will be subject to judicial or Congressional challenges in the future. It is unclear how any such challenges and additional healthcare reform measures of the current administration will impact the ACA and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 Congress is considering additional health reform measures. We expect that federal and state healthcare reform measures that may be adopted in the future may result in more rigorous coverage criteria and lower reimbursement, and in additional downward pressure on the price that may be charged for any of our product candidates, if approved.</w:t>
      </w:r>
    </w:p>
    <w:p>
      <w:pPr>
        <w:spacing w:after="0" w:line="17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or HTA, amending Directive 2011/24/EU, was adopted in the EU. This Regulation, which entered into force in January 2022 and began to apply on January 12, 2025, through a phased implementation. The Regulation is intended to boost cooperation among EU Member States in assessing health technologies, including new medicinal products, and provides the basis for cooperation at EU level for joint clinical assessments in these areas. The Regulation permits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technologies, and making decisions on pricing and reimbursement. If we are unable to maintain favorable pricing and reimbursement status in EU Member States for drug candidates that we may successfully develop and for which we may obtain regulatory approval, any anticipated revenue from and growth prospects for those products in the EU could be negatively affected. In light of the fact that the United Kingdom has left the EU, Regulation No 2021/2282 on HTA does not apply in the United Kingdom. However, the UK Medicines and Healthcare products Regulation Agency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 including relaunching the Innovative Licensing and Access Pathway with more predicable timelines and closer involvement of the National Health Service.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spacing w:after="0" w:line="255"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likely will continue to be healthcare reform measures, including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foreign currency and exchange rate risks.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we plan to continue to conduct our clinical trials in Europe, we are exposed to currency fluctuations and exchange rate risks. The costs of our CROs may be incurred in Euros and we may pay them in Euros, or other currencies, however, we expect to keep the substantial portion of our cash, cash equivalents, marketable securities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 our clinical development,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own one Swiss subsidiary, expect to engage in significant cross-border activities, and we will be subject to risks related to international operations, including:</w:t>
      </w:r>
    </w:p>
    <w:p>
      <w:pPr>
        <w:spacing w:after="0" w:line="54" w:lineRule="exact"/>
        <w:rPr>
          <w:sz w:val="20"/>
          <w:szCs w:val="20"/>
          <w:color w:val="auto"/>
        </w:rPr>
      </w:pPr>
    </w:p>
    <w:p>
      <w:pPr>
        <w:ind w:left="1020" w:right="30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conduct of clinical trials of investigational drugs and obtaining and maintaining approval of drugs in foreign countries;</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contractual and intellectual property rights in certain countries;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9"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foreign economies and markets, such as the instability caused by geopolitical conflicts including the war in Ukraine and hostilities in the Middle East, or public health issues or pandemics;</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laws of various jurisdictions, including with respect to intercompany transfer pricing arrangements and taxable nexus;</w:t>
      </w:r>
    </w:p>
    <w:p>
      <w:pPr>
        <w:spacing w:after="0" w:line="9" w:lineRule="exact"/>
        <w:rPr>
          <w:rFonts w:ascii="Times New Roman" w:cs="Times New Roman" w:eastAsia="Times New Roman" w:hAnsi="Times New Roman"/>
          <w:sz w:val="18"/>
          <w:szCs w:val="18"/>
          <w:color w:val="auto"/>
        </w:rPr>
      </w:pPr>
    </w:p>
    <w:p>
      <w:pPr>
        <w:ind w:left="1020" w:right="4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obligations and tighter restrictions on privacy and the collection, use, and other processing of personal data, including patient data; and</w:t>
      </w:r>
    </w:p>
    <w:p>
      <w:pPr>
        <w:ind w:left="1020" w:right="420" w:hanging="503"/>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political instability, hostilities, war and terrorism, such as the war in Ukraine and hostilities in the Middle East, or natural disasters including pandemics, earthquakes, typhoons, floods and fires.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issues were to occur, our business could be materially harmed.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and retaining highly qualified personnel, we may not be able to successfully implement our business strategy.</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40"/>
        <w:spacing w:after="0" w:line="258" w:lineRule="auto"/>
        <w:rPr>
          <w:sz w:val="20"/>
          <w:szCs w:val="20"/>
          <w:color w:val="auto"/>
        </w:rPr>
      </w:pPr>
      <w:r>
        <w:rPr>
          <w:rFonts w:ascii="Times New Roman" w:cs="Times New Roman" w:eastAsia="Times New Roman" w:hAnsi="Times New Roman"/>
          <w:sz w:val="18"/>
          <w:szCs w:val="18"/>
          <w:color w:val="auto"/>
        </w:rPr>
        <w:t>the lives of any of our other employees. In order to induce valuable employees to continue their employment with us, we have provided stock options that vest over time and performance-based restricted stock units. The value to employees of such equity grants that vest over time is significantly affected by movements in our stock price that are beyond our control, and may at any time be insufficient to counteract more lucrative offers from other companies. In addition, if performance conditions in these awards, to the extent applicable, are not met or if our stock-based compensation otherwise ceases to be viewed as a valuable benefit, our ability to attract, retain and motivate personnel could be weakened, which could harm our business.</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Despite our efforts to retain valuable employees, members of our management, scientific and development teams generally may terminate their employment with us, with or without good reason, upon written notice to us. Pursuant to their employment arrangements, some of our executive officers may voluntarily terminate their employment at any time by providing as little as thirty days advance notice. Our employment arrangements, other than those with our executive officers, provide for at-will employment, which means that any of our employees (other than our executive 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89"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 of December 31, 2025, we had 7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collaborators, contractors and other third parties;</w:t>
      </w: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systems; and</w:t>
      </w:r>
    </w:p>
    <w:p>
      <w:pPr>
        <w:spacing w:after="0" w:line="9" w:lineRule="exact"/>
        <w:rPr>
          <w:rFonts w:ascii="Times New Roman" w:cs="Times New Roman" w:eastAsia="Times New Roman" w:hAnsi="Times New Roman"/>
          <w:sz w:val="18"/>
          <w:szCs w:val="18"/>
          <w:color w:val="auto"/>
        </w:rPr>
      </w:pPr>
    </w:p>
    <w:p>
      <w:pPr>
        <w:ind w:left="1020" w:right="120" w:hanging="503"/>
        <w:spacing w:after="0" w:line="26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compliance infrastructure and processes to ensure compliance with complex regulations and industry standards regarding us and our product candidates.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mergers or joint ventures could disrupt our business and otherwise harm our business.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collaborators or suppliers as a result of such a transaction;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3" w:name="page44"/>
    <w:bookmarkEnd w:id="43"/>
    <w:p>
      <w:pPr>
        <w:ind w:left="1020" w:right="28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revisions, marketing or promotional restrictions;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access, natural disasters, outbreaks of contagious diseases, such as coronavirus, terrorism, war and telecommunication and electrical failures. For example, a cyber-attack on one of our external contractors during the summer of 2019 resulted in a disruption to patient recruitment in our Phase 3 clinical trial of roluperidone. Further similar events could occur and cause interruptions in our operations, and could result in a material disruption of our drug development programs. For example, the loss of clinical trial data from completed or ongoing or planned clinical trials could result in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4" w:name="page45"/>
    <w:bookmarkEnd w:id="44"/>
    <w:p>
      <w:pPr>
        <w:ind w:right="160"/>
        <w:spacing w:after="0" w:line="266" w:lineRule="auto"/>
        <w:rPr>
          <w:sz w:val="20"/>
          <w:szCs w:val="20"/>
          <w:color w:val="auto"/>
        </w:rPr>
      </w:pPr>
      <w:r>
        <w:rPr>
          <w:rFonts w:ascii="Times New Roman" w:cs="Times New Roman" w:eastAsia="Times New Roman" w:hAnsi="Times New Roman"/>
          <w:sz w:val="18"/>
          <w:szCs w:val="18"/>
          <w:color w:val="auto"/>
        </w:rPr>
        <w:t>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We are required to comply with the SEC’s rules that implement Section 404 of the Sarbanes-Oxley Act and the Committee on Sponsoring Organizations,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and independent contractors, such as principal investigators, CROs, manufacturers, consultants, commercial partners and vendors, could include failures to comply with regulations of the FDA or comparable foreign regulatory authorities, to provide accurate information to the FDA or comparable foreign regulatory authorities to comply with manufacturing standards we have established, to comply with US federal and state healthcare fraud and abuse laws and comparable foreign regulatory requirements, to report financial information or data accurately or to disclose unauthorized activities to us. For example, in our Phase 3 trial of roluperidone (C07) for the treatment of negative symptoms of schizophrenia, one clinical site that recruited 17 patients reported implausible behavioral (schizophrenia symptoms) and physiological (blood pressure) data. As a result, these 17 patients were excluded and made part of an mITT analysis set. Sales, marketing and other business arrangements in the healthcare industry are subject to extensive laws intended to prevent fraud, kickbacks, self-dealing and other abusive practices. These laws may restrict or prohibit a wide range of business activities, including,</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ind w:right="200"/>
        <w:spacing w:after="0" w:line="258" w:lineRule="auto"/>
        <w:rPr>
          <w:sz w:val="20"/>
          <w:szCs w:val="20"/>
          <w:color w:val="auto"/>
        </w:rPr>
      </w:pPr>
      <w:r>
        <w:rPr>
          <w:rFonts w:ascii="Times New Roman" w:cs="Times New Roman" w:eastAsia="Times New Roman" w:hAnsi="Times New Roman"/>
          <w:sz w:val="18"/>
          <w:szCs w:val="18"/>
          <w:color w:val="auto"/>
        </w:rPr>
        <w:t>but not limited to certain activities related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comply with such laws or regulations. If any such actions are instituted against us, those actions could have a significant impact on our business, including the imposition of civil, criminal and administrative penalties, damages, monetary fines, disgorgement, individual imprisonment, possible exclusion from participation in Medicare, Medicaid and other federal healthcare programs or comparable foreign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 any of which could adversely affect our ability to operate.</w:t>
      </w:r>
    </w:p>
    <w:p>
      <w:pPr>
        <w:spacing w:after="0" w:line="1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as well as equivalent foreign legislation. If we are unable to comply, or have not fully complied, with such laws, we could face penalties, contractual damages, reputational harm, diminished profits and future earnings and curtailment or restructuring of our operations.</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75" w:lineRule="exact"/>
        <w:rPr>
          <w:sz w:val="20"/>
          <w:szCs w:val="20"/>
          <w:color w:val="auto"/>
        </w:rPr>
      </w:pPr>
    </w:p>
    <w:p>
      <w:pPr>
        <w:ind w:left="1020" w:right="20" w:hanging="503"/>
        <w:spacing w:after="0" w:line="25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w:t>
      </w:r>
    </w:p>
    <w:p>
      <w:pPr>
        <w:spacing w:after="0" w:line="3"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spacing w:after="0" w:line="2"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jc w:val="both"/>
        <w:ind w:left="1020" w:right="22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1" w:lineRule="exact"/>
        <w:rPr>
          <w:rFonts w:ascii="Times New Roman" w:cs="Times New Roman" w:eastAsia="Times New Roman" w:hAnsi="Times New Roman"/>
          <w:sz w:val="18"/>
          <w:szCs w:val="18"/>
          <w:color w:val="auto"/>
        </w:rPr>
      </w:pPr>
    </w:p>
    <w:p>
      <w:pPr>
        <w:ind w:left="1020" w:right="120" w:hanging="503"/>
        <w:spacing w:after="0" w:line="25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6" w:name="page47"/>
    <w:bookmarkEnd w:id="46"/>
    <w:p>
      <w:pPr>
        <w:jc w:val="both"/>
        <w:ind w:left="1020" w:right="60"/>
        <w:spacing w:after="0" w:line="257" w:lineRule="auto"/>
        <w:rPr>
          <w:sz w:val="20"/>
          <w:szCs w:val="20"/>
          <w:color w:val="auto"/>
        </w:rPr>
      </w:pPr>
      <w:r>
        <w:rPr>
          <w:rFonts w:ascii="Times New Roman" w:cs="Times New Roman" w:eastAsia="Times New Roman" w:hAnsi="Times New Roman"/>
          <w:sz w:val="18"/>
          <w:szCs w:val="18"/>
          <w:color w:val="auto"/>
        </w:rPr>
        <w:t>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 w:lineRule="exact"/>
        <w:rPr>
          <w:sz w:val="20"/>
          <w:szCs w:val="20"/>
          <w:color w:val="auto"/>
        </w:rPr>
      </w:pPr>
    </w:p>
    <w:p>
      <w:pPr>
        <w:ind w:left="1020" w:right="4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and covered subcontractors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1"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Centers for Medicare &amp; Medicaid Services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2" w:lineRule="exact"/>
        <w:rPr>
          <w:rFonts w:ascii="Times New Roman" w:cs="Times New Roman" w:eastAsia="Times New Roman" w:hAnsi="Times New Roman"/>
          <w:sz w:val="18"/>
          <w:szCs w:val="18"/>
          <w:color w:val="auto"/>
        </w:rPr>
      </w:pPr>
    </w:p>
    <w:p>
      <w:pPr>
        <w:ind w:left="1020" w:right="46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and other activities that potentially harm consumers.</w:t>
      </w:r>
    </w:p>
    <w:p>
      <w:pPr>
        <w:ind w:left="1020" w:right="60" w:hanging="503"/>
        <w:spacing w:after="0" w:line="265"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ind w:left="1020" w:righ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(3) require the reporting of information related to drug pricing, ,and (4) govern the privacy and security of health information in certain circumstances. State laws are not uniform, may differ from each other in significant ways and may be applied with differing effects.</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any sales of our products or product candidates once commercialized outside the United States will also likely subject us to foreign equivalents of the healthcare laws mentioned above. Outside the United States,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These laws may include, for instance, the UK Bribery Act 2010 other national anti-corruption legislation related to EU Member States’ adherence to the OECD Convention on Combating Bribery of Foreign Public Officials in International Business Transactions, European Union consumer laws protecting against defective products, including the Product Liability Directive 85/374/EEC, the UK ABPI Code of Practice as well as the French “Bertrand Law” and related Decrees and Ordinances Imposing Transparency requirements on manufacturers in their interactions with French healthcare actors, and comparable requirements in other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significant civil, criminal and administrative penalties, damages, monetary fines, disgorgement, individual imprisonment, possible exclusion from participation in Medicare, Medicaid and other federal healthcare programs or comparable foreign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Foreign Corrupt Practices Act.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right="100"/>
        <w:spacing w:after="0" w:line="261" w:lineRule="auto"/>
        <w:rPr>
          <w:sz w:val="20"/>
          <w:szCs w:val="20"/>
          <w:color w:val="auto"/>
        </w:rPr>
      </w:pPr>
      <w:r>
        <w:rPr>
          <w:rFonts w:ascii="Times New Roman" w:cs="Times New Roman" w:eastAsia="Times New Roman" w:hAnsi="Times New Roman"/>
          <w:sz w:val="18"/>
          <w:szCs w:val="18"/>
          <w:color w:val="auto"/>
        </w:rPr>
        <w:t>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policies, industry standards,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requires businesses to provide specific disclosures in privacy notices and honor requests of California residents to exercise certain privacy rights, such as those noted below. The CCPA provides for fines for intentional violations and allows private litigants affected by certain data breaches to recover significant statutory damages. Although the CCPA and other state laws exempt some data processed in the context of clinical trials, these developments further complicate compliance efforts and increase legal risk and compliance costs for us and the third parties with whom we work.</w:t>
      </w:r>
    </w:p>
    <w:p>
      <w:pPr>
        <w:spacing w:after="0" w:line="19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addition, data privacy and security laws have been proposed at the federal, state, and local levels in recent years, which could further complicate compliance efforts, and we expect more states to pass similar laws in the future.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including the European Union’s General Data Protection Regulation (“EU GDPR”) and the United Kingdom’s GDPR (“UK GDPR”) (collectively, “GDPR”), which impose strict requirements for processing personal data. Violators of these laws face significant penalties. For example, under the GDPR, companies may face temporary or definitive bans on data processing and other corrective actions; fines of up to 20 million Euros under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Swiss Federal Act on Data Protection, or the FADP, also applies to the collection and processing of personal data, including health-related information, by companies located in Switzerland, or in certain circumstances, by companies located outside of Switzerland. Compliance with the FADP and its revised ordinances may result in an increase of costs of compliance, risks of noncompliance and penalties for noncompliance.</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have adopted and may adopt stringent data localization and cross-border data transfer laws. Although there are currently various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40"/>
        <w:spacing w:after="0" w:line="261" w:lineRule="auto"/>
        <w:rPr>
          <w:sz w:val="20"/>
          <w:szCs w:val="20"/>
          <w:color w:val="auto"/>
        </w:rPr>
      </w:pPr>
      <w:r>
        <w:rPr>
          <w:rFonts w:ascii="Times New Roman" w:cs="Times New Roman" w:eastAsia="Times New Roman" w:hAnsi="Times New Roman"/>
          <w:sz w:val="18"/>
          <w:szCs w:val="18"/>
          <w:color w:val="auto"/>
        </w:rPr>
        <w:t>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 We publish privacy policies, marketing materials and other statements, such as compliance with certain certifications or self-regulatory principles, regarding data privacy and security. Regulators in the United States have scrutinized and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individuals’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and certain cases have, necessitate changes to our information technologies, systems, and data processing practices and to those of any third parties that process personal data on our behalf.</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right="620"/>
        <w:spacing w:after="0" w:line="282" w:lineRule="auto"/>
        <w:rPr>
          <w:sz w:val="20"/>
          <w:szCs w:val="20"/>
          <w:color w:val="auto"/>
        </w:rPr>
      </w:pPr>
      <w:r>
        <w:rPr>
          <w:rFonts w:ascii="Times New Roman" w:cs="Times New Roman" w:eastAsia="Times New Roman" w:hAnsi="Times New Roman"/>
          <w:sz w:val="18"/>
          <w:szCs w:val="18"/>
          <w:color w:val="auto"/>
        </w:rPr>
        <w:t>commercialize our products; expenditure of time and resources to defend any claim or inquiry; adverse publicity; or revision or restructuring of our operations.</w:t>
      </w:r>
    </w:p>
    <w:p>
      <w:pPr>
        <w:spacing w:after="0" w:line="15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and data related to clinical trials), intellectual property, and trade secrets (collectively, sensitive information).</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20"/>
        <w:spacing w:after="0" w:line="254" w:lineRule="auto"/>
        <w:rPr>
          <w:sz w:val="20"/>
          <w:szCs w:val="20"/>
          <w:color w:val="auto"/>
        </w:rPr>
      </w:pPr>
      <w:r>
        <w:rPr>
          <w:rFonts w:ascii="Times New Roman" w:cs="Times New Roman" w:eastAsia="Times New Roman" w:hAnsi="Times New Roman"/>
          <w:sz w:val="18"/>
          <w:szCs w:val="18"/>
          <w:color w:val="auto"/>
        </w:rPr>
        <w:t>In particular, ransomware attacks, including by organized criminal threat actors, nation-states, and nation-state-supported actors,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Remote work has increased risks to our information technology systems and data, as our employees utilize network connections, computers and devices outside our premises or network, including working at home, while in transit and in public locations.</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We also share or receive sensitive information with or from third parties. Our ability to monitor these third parties’ information security practices is limited, and these third parties may not have adequate information security measures in place. While we may be entitled to damages if our third-party service providers or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or those of the third parties with whom we work, will be effective. We take steps designed to detect, mitigate, and remediate vulnerabilities in our information systems (such as our hardware and/or software, including that of third parties with whom we work), but we may not be able to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Also,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(and has in the past disrupted) our ability (and that of third parties with whom we work) to provide our services or conduct our operations. We expend significant resources and may have to modify our business activities (including our clinical trial activities) to try to protect against security incidents. Certain data privacy and security obligations require us to implement and maintain specific security measures, industry-standard or reasonable security measures to protect our information technology systems and sensitive information.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or to implement other requirements, such as providing credit monitoring. Such disclosures and compliance with such requirements are costly, and the disclosure or the failure to comply with such requirements could lead to adverse consequences. If we (or a third party with whom we work)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negatively impact our ability to grow and operate our business or disrupt our ability to develop and provide our products and services.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contracts may not contain relevant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right="240"/>
        <w:spacing w:after="0" w:line="282" w:lineRule="auto"/>
        <w:rPr>
          <w:sz w:val="20"/>
          <w:szCs w:val="20"/>
          <w:color w:val="auto"/>
        </w:rPr>
      </w:pPr>
      <w:r>
        <w:rPr>
          <w:rFonts w:ascii="Times New Roman" w:cs="Times New Roman" w:eastAsia="Times New Roman" w:hAnsi="Times New Roman"/>
          <w:sz w:val="18"/>
          <w:szCs w:val="18"/>
          <w:color w:val="auto"/>
        </w:rPr>
        <w:t>arising out of our privacy and security practices, that such coverage will continue to be available on commercially reasonable terms or at all, or that such coverage will pay future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and our CROs are required to comply with current GCPs, which are regulations and guidelines enforced by the FDA, the national competent authorities of EEA countries and comparable foreign regulatory authorities for all of our products in clinical development. Regulatory authorities enforce these GCPs through periodic unannounced inspections of trial sponsors, principal investigators and trial sites. If we or any of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8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regulatory approval. This reliance on third parties increases the risk that we will not have sufficient quantities of our drug candidates or drugs, or such quantities at an acceptable cost or quality, which could delay, prevent or impair our ability to timely conduct our clinical trials or our other development or commercialization efforts.</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also expect to rely on third-party manufacturers or third-party collaborators for the manufacturing of commercial supply of any other drug candidates for which we or our collaborators obtain regulatory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costs associated with changing suppliers, including additional regulatory filings;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Moreover, the facilities used by our contract manufacturers to manufacture our products must be approved by the FDA pursuant to inspections that will be conducted after we submit our marketing application to the FDA. Other comparable foreign regulatory authorities have comparable requirements and powers. We, our contract manufacturers, any future collaborators and their contract manufacturers could be subject to periodic unannounced inspections by the FDA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While we are ultimately responsible for the manufacture of our product candidates, other than through our contractual arrangements, we do not control the manufacturing process of, and are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comparable regulatory authorities, we will not be able to secure and/or maintain regulatory approval for their manufacturing facilities. In addition, other than through our contractual agreements, we have limited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Further, our suppliers are subject to regulatory requirements, covering manufacturing, testing, quality control, and record keeping relating to our product candidates, and subject to ongoing inspections by the regulatory authorities.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If on regulatory inspection by the FDA or other comparable foreign regulatory authorities, one or more of our third-party manufacturing vendors are found to be to be noncompliant with cGMP regulation, this may result in shutdown of the third-party vendor or invalidation of drug product lots or processes. In some cases, a product recall may be warranted or required, which would materially affect our ability to supply and market our drug products.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regulatory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manufacturing of our drug candidates or drugs may adversely affect our future profit margins and our ability to commercialize any drugs that receive regulatory approval on a timely and competitive basis.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or will be subject to supranational, national,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3" w:name="page54"/>
    <w:bookmarkEnd w:id="53"/>
    <w:p>
      <w:pPr>
        <w:ind w:right="120"/>
        <w:spacing w:after="0" w:line="256" w:lineRule="auto"/>
        <w:rPr>
          <w:sz w:val="20"/>
          <w:szCs w:val="20"/>
          <w:color w:val="auto"/>
        </w:rPr>
      </w:pPr>
      <w:r>
        <w:rPr>
          <w:rFonts w:ascii="Times New Roman" w:cs="Times New Roman" w:eastAsia="Times New Roman" w:hAnsi="Times New Roman"/>
          <w:sz w:val="18"/>
          <w:szCs w:val="18"/>
          <w:color w:val="auto"/>
        </w:rPr>
        <w:t>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 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collaboration with Tanabe Pharma Corporation (formerly Mitsubishi Tanabe Pharma Corporation) (“Tanabe Pharma”) , and could be seriously harmed if our license agreement with Tanabe Pharma was terminated.</w:t>
      </w:r>
    </w:p>
    <w:p>
      <w:pPr>
        <w:spacing w:after="0" w:line="1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exclusively license roluperidone, our lead product candidate, from Tanabe Pharma, with the rights to develop, sell and import roluperidone globally, excluding most of Asia. If our license agreement with Tanabe Pharma was terminated, it could have a material impact on our operations.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potential future milestone payments from Royalty Pharma depend on the development and commercialization of seltorexant. We may be obligated to make payments to Royalty Pharma even if Janssen breaches its obligations to pay us.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19, 2021, we entered into an agreement with Royalty Pharma under which Royalty Pharma acquired our royalty interest in seltorexant for an upfront payment of $60 million and up to $95 million in future milestone payments that are contingent upon the achievement of certain clinical, regulatory and commercial milestones for seltorexant by Janssen Pharmaceutica NV, one of the Janssen Pharmaceutical Companies of Johnson &amp; Johnson (“Janssen”), or any other party in the event that Janssen sells seltorexant. For more information regarding this arrangement, see the sections titled “Item 1. Business—Overview” and “Item 1. Business—Our Clinical-Stage Programs—Seltorexant” in this Annual Report on Form 10-K.</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Therefore, we will only realize future payments if Janssen achieves certain milestones over which we have no control. Some or all of the milestones may never be achieved, and we may never receive any such future payments.</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addition, if Janssen breaches its contractual obligations to pay royalties, we will be obligated to Royalty Pharma to provide makeup payments to compensate for the loss of those royalties, which payments could be substantial.</w:t>
      </w:r>
    </w:p>
    <w:p>
      <w:pPr>
        <w:spacing w:after="0" w:line="15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may also seek to enter into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 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 increased competition and reduce or eliminate our ability to recover our development costs. As a result, our owned and licensed patent portfolio may not provide us with sufficient rights to exclude others from commercializing products similar or identical to ours.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5" w:name="page56"/>
    <w:bookmarkEnd w:id="55"/>
    <w:p>
      <w:pPr>
        <w:ind w:right="220"/>
        <w:spacing w:after="0" w:line="282" w:lineRule="auto"/>
        <w:rPr>
          <w:sz w:val="20"/>
          <w:szCs w:val="20"/>
          <w:color w:val="auto"/>
        </w:rPr>
      </w:pPr>
      <w:r>
        <w:rPr>
          <w:rFonts w:ascii="Times New Roman" w:cs="Times New Roman" w:eastAsia="Times New Roman" w:hAnsi="Times New Roman"/>
          <w:sz w:val="18"/>
          <w:szCs w:val="18"/>
          <w:color w:val="auto"/>
        </w:rPr>
        <w:t>certain that it will be entitled to new chemical entity exclusivity. Such diminution of our proprietary position could have a material adverse effect on our business, results of operations and financial condition.</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 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license or acquire additional patents and intellectual property rights.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 Trademark Office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our patent rights relating to our product candidates may limit our ability to prevent third parties from competing against us.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 any method of use. We have filed and in-licensed composition-of-matter patent applications for all of our product candidates. 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6" w:name="page57"/>
    <w:bookmarkEnd w:id="56"/>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 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w:t>
      </w:r>
    </w:p>
    <w:p>
      <w:pPr>
        <w:spacing w:after="0" w:line="1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79"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120"/>
        <w:spacing w:after="0" w:line="26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ind w:left="1020" w:right="8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make the inventions covered by the issued patents or pending patent applications that we own or have exclusively licensed.</w:t>
      </w: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file patent applications covering certain of our inventions.</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9" w:lineRule="exact"/>
        <w:rPr>
          <w:rFonts w:ascii="Times New Roman" w:cs="Times New Roman" w:eastAsia="Times New Roman" w:hAnsi="Times New Roman"/>
          <w:sz w:val="18"/>
          <w:szCs w:val="18"/>
          <w:color w:val="auto"/>
        </w:rPr>
      </w:pPr>
    </w:p>
    <w:p>
      <w:pPr>
        <w:ind w:left="1020" w:right="46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ind w:left="1020" w:right="68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what the market price of our common stock will be and, as a result, it may be difficult for you to sell your shares of our common stock.</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we cannot control. As a result of this volatility, investors may not be able to sell their securities at a profit. The market price of our securities could be subject to wide fluctuations in response to a variety of factors, including but not limited to:</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or delays in our preclinical or clinical trials or those of our competitors;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including adverse regulatory decision,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or commercialize any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limited market sizes or pricing for any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strategic collaborations or enter into new collaborations;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9" w:lineRule="exact"/>
        <w:rPr>
          <w:rFonts w:ascii="Times New Roman" w:cs="Times New Roman" w:eastAsia="Times New Roman" w:hAnsi="Times New Roman"/>
          <w:sz w:val="18"/>
          <w:szCs w:val="18"/>
          <w:color w:val="auto"/>
        </w:rPr>
      </w:pPr>
    </w:p>
    <w:p>
      <w:pPr>
        <w:ind w:left="1020" w:right="64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or any inability to obtain additional funding;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9" w:lineRule="exact"/>
        <w:rPr>
          <w:rFonts w:ascii="Times New Roman" w:cs="Times New Roman" w:eastAsia="Times New Roman" w:hAnsi="Times New Roman"/>
          <w:sz w:val="18"/>
          <w:szCs w:val="18"/>
          <w:color w:val="auto"/>
        </w:rPr>
      </w:pPr>
    </w:p>
    <w:p>
      <w:pPr>
        <w:ind w:left="1020" w:right="48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changes in the structure of healthcare payment systems, including coverage and reimbursement;</w:t>
      </w:r>
    </w:p>
    <w:p>
      <w:pPr>
        <w:ind w:left="1020" w:right="22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stockholder litigation and litigation filed by us or filed against us pertaining to patent infringement or other violations of intellectual property rights;</w:t>
      </w: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including in connection with the war in Ukraine, which has resulted in decreased stock prices for many companies notwithstanding the lack of a fundamental change in their underlying business models or prospects. Biopharmaceutical companies in particular have experienced extreme price and volume fluctuations that have often been unrelated or disproportionate to the operating performance of these companies. Broad market and industry factors, including potentially worsening economic conditions, increased inflation and other adverse effects or developments, including political, regulatory and other market conditions, may negatively affect the market price of shares of our common stock, regardless of our actual operating performance. The market price of shares of our common stock may decline, and you may lose some or all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our Series A Preferred Stock.</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our Series A Preferred Stock, and we do not expect a market to develop. In addition, we do not intend to apply for listing of the Series A Preferred Stock on any national securities exchange or other nationally recognized trading system. Without an active market, the liquidity of the Series A Preferred Stock will be limited.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will be diluted by any conversions of outstanding Series A Preferred Stock and exercises of outstanding warrants.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2025, there were (i) 1,559,008 shares of common stock issuable upon conversion of outstanding Series A Preferred Stock for no additional consideration, (ii) 37,840,000 shares of common stock issuable upon exercise of outstanding tranche A warrants to purchase Series A Preferred Stock and (iii) 18,920,000 shares of common stock issuable upon exercise of outstanding tranche B warrants to purchase Series A Preferred Stock. The outstanding Series A Preferred Stock is convertible any time at the option of the holder thereof subject to beneficial ownership limitations. The tranche A warrants became exercisable immediately upon issuance. The exercise of such warrants and conversion of the Series A Preferred Stock for shares of our common stock will result in further dilution of our stockholders’ investment and could negatively affect the market price of our common stock. In addition, stockholders may experience further dilution if we issue common stock, or securities convertible into common stock, in the future. As a result of this dilution, stockholders may receive significantly less than the full purchase price paid for the shares in the event of liquidation.</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our knowledge, our executive officers, directors, holders of 5% or more of our outstanding common stock and their respective affiliates beneficially owned approximately 55.9% of our outstanding common stock as of December 31, 2025. Accordingly, if our executive officers, directors and stockholders who owned more than 5% of our outstanding common stock acted together, they may be able to significantly influence the outcome of any corporate transaction or other matter submitted to the stockholders for approval, including mergers, consolidations, and the sale of all or substantially all of our assets and other significant corporate actions. Unless full participation of all stockholders takes place in such stockholder meetings, the larger stockholders may be able to approve such matters itself. This concentration of ownership may (i) delay or deter a change of control of our Company; (ii) deprive stockholders of an opportunity to receive a premium for their common stock as part of a sale of our Company; and (iii) affect the market price and liquidity of our common stock. The interests of our executive officers, directors, holders of 5% or more of our capital stock and their respective affiliates may not always coincide with the interests of other stockholders and they may act in a manner that advances their best interests and not necessarily those of other stockholders. The effect of these rights and these principal stockholders’ influence may impact the price that investors are willing to pay for our securities. If these principal stockholders sell a substantial number of shares of our common stock in the public market, the market price of our common stock could be adversely impacted. The perception among the public that these sales will occur could also contribute to a decline in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 These sales, or the possibility that these sales may occur, might also make it more difficult for us to sell equity securities in the future at a time and price that we deem appropriate. See also the risk factor above titled “</w:t>
      </w:r>
      <w:r>
        <w:rPr>
          <w:rFonts w:ascii="Times New Roman" w:cs="Times New Roman" w:eastAsia="Times New Roman" w:hAnsi="Times New Roman"/>
          <w:sz w:val="18"/>
          <w:szCs w:val="18"/>
          <w:i w:val="1"/>
          <w:iCs w:val="1"/>
          <w:color w:val="auto"/>
        </w:rPr>
        <w:t>Our principal stockholders and management own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percentage of our stock and will be able to exert significant control over matters subject to stockholder approval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shares of common stock, or other equity or debt securities convertible into common stock, in connection with a financing, acquisition, employee arrangement or otherwise. Any such issuance, including pursuant to any at-the-market agreements, could result in substantial dilution to our existing stockholders and could cause the price of our common stock to decline.</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continue to have broad discretion over the use of the proceeds we received in our public offerings, private placements, warrant exercises and loans and might not apply the proceeds in ways that increase the value of your investment.</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management will continue to have broad discretion to use the net proceeds from our public offerings, private placements, warrant exercises and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loans in ways that enhance stockholder value, we may fail to achieve the expected financial results, which could cause our stock price to decline.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0" w:name="page61"/>
    <w:bookmarkEnd w:id="60"/>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that we will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2013 Equity Incentive Plan, our management is authorized to grant stock options and other equity-based awards of up to 14,578,917 shares to our employees, directors and consultants. To the extent that new awards are granted and exercised or settled, or we issue additional shares of common stock in the future, our stockholders may experience additional dilution, which could cause our stock price to fall.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(“SEC”), annual, quarterly and current reports with respect to our business and financial condition. In addition, changing laws, regulations and standards relating to corporate governance and public disclosure, including regulations implemented by the SEC and The Nasdaq Stock Market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because we have opted to use the reduced reporting requirements available to us, certain investors may find investing in our securities less attractive.</w:t>
      </w:r>
    </w:p>
    <w:p>
      <w:pPr>
        <w:spacing w:after="0" w:line="159"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the SEC’s disclosure rules, meaning that we have either: (i) a public float of less than $250 million; or (ii) annual revenues of less than $100 million during the most recently completed fiscal year; and no public float; or a public float of less than $700 million.</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the accommodations available to smaller reporting companies. Until we cease to be a smaller reporting company, the scaled-back disclosure in our SEC filings will result in less information about our company being available than for other public companies. If investors consider our common shares less attractive as a result of our election to use the scaled-back disclosure permitted for smaller reporting companies, there may be a less active trading market for our common shares and our share price may be more volatile.</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also a non-accelerated filer under the Exchange Act of 1934, and we are not required to comply with the auditor attestation requirements of Section 404(b) of the Sarbanes-Oxley Act of 2002. Therefore, our internal controls over financial reporting will not receive the level of review provided by the process relating to the auditor attestation included in annual reports of issuers that are subject to the auditor attestation requirements. In addition, we cannot predict if investors will find our common shares less attractive because we are not required to comply with the auditor attestation requirements. We cannot predict if investors will find our securities less attractive because we rely on these available exemptions. If some investors find our securities less attractive as a result, there may be a less active trading market for our securities and the market price of our securities may be more volatile.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litigation could result in substantial damages and may divert management’s time and attention from our business.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We have and may become the target of securities litigation in the future. The outcome of litigation is necessarily uncertain, and we could be forced to expend significant resources in the defense of such suits, and we may not prevail. Monitoring and defending against legal actions is time-consuming for our management and detracts from management’s ability to fully focus our internal resources on our business activities. In addition, we may incur substantial legal fees and costs in connection with any such litigation. We have not established any reserves for any potential liability relating to any such potential lawsuits. It is possible that we could, in the future, incur judgments or enter into settlements of claims for monetary damages. We currently maintain insurance coverage for some of these potential liabilities. Other potential liabilities may not be covered by insurance, insurers may dispute coverage or the amount of insurance may not be enough to cover damages awarded. In addition, certain types of damages may not be covered by insurance, and insurance coverage for all or certain forms of liability may become unavailable or prohibitively expensive in the future. A decision adverse to our interests on one or more legal matters or litigation could result in the payment of substantial damages, or possibly fines, and could have a material adverse effect on our reputation, financial condition and results of operations.</w:t>
      </w:r>
    </w:p>
    <w:p>
      <w:pPr>
        <w:spacing w:after="0" w:line="186"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such that not all members of the board are elected at one time;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authorized number of directors to be changed only by resolution of our board of directors;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removal of directors by the stockholders;</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the terms of which may be established and shares of which may be issued without stockholder approval;</w:t>
      </w: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thereby requiring all stockholder actions to be taken at a meeting of our stockholders;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w:t>
      </w:r>
    </w:p>
    <w:p>
      <w:pPr>
        <w:spacing w:after="0" w:line="9"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than can be acted upon at stockholder meetings; and</w:t>
      </w:r>
    </w:p>
    <w:p>
      <w:pPr>
        <w:ind w:left="1020" w:right="120" w:hanging="503"/>
        <w:spacing w:after="0" w:line="26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the holders of at least 66 2/3% of the votes that all of our stockholders would be entitled to cast to amend or repeal our bylaws.</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pursuant to the Delaware General Corporation Law, our amended and restated certificate of incorporation, as amended, or our amended and restated bylaws, or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2" w:name="page63"/>
    <w:bookmarkEnd w:id="62"/>
    <w:p>
      <w:pPr>
        <w:ind w:right="380"/>
        <w:spacing w:after="0" w:line="282" w:lineRule="auto"/>
        <w:rPr>
          <w:sz w:val="20"/>
          <w:szCs w:val="20"/>
          <w:color w:val="auto"/>
        </w:rPr>
      </w:pPr>
      <w:r>
        <w:rPr>
          <w:rFonts w:ascii="Times New Roman" w:cs="Times New Roman" w:eastAsia="Times New Roman" w:hAnsi="Times New Roman"/>
          <w:sz w:val="18"/>
          <w:szCs w:val="18"/>
          <w:color w:val="auto"/>
        </w:rPr>
        <w:t>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amended and restated bylaws to be inapplicable or unenforceable in an action, we may incur additional costs associated with resolving such action in other jurisdictions, which could harm our business and financial condition.</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As previously disclosed, we are subject to a discretionary panel monitor by Nasdaq for a period of one year ending on March 17, 2026.</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maintain compliance with the requirements for listing our common stock on Nasdaq. If we are unable to satisfy the Nasdaq criteria for continued listing, our common stock would be subject to delisting. A delisting of our common stock could negatively impact us by, among other things, (i) reducing the liquidity and market price of our common stock; (ii) reducing the number of investors willing to hold or acquire our common stock, which could negatively impact our ability to raise equity financing; (iii) decreasing the amount of news and analyst coverage of us; (iv) limiting our ability to issue additional securities or obtain additional financing in the future; (v) limiting our ability to use a registration statement to offer and sell freely tradable securities, thereby preventing us from accessing the public capital markets; and (vi) impairing our ability to provide equity incentives to our employees. In addition, delisting from Nasdaq may negatively impact our reputation and, consequently,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patient data, and data related to our clinical trials (“Information Systems and Data”).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3" w:name="page64"/>
    <w:bookmarkEnd w:id="63"/>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Company’s information security function and third-party service providers help identify, assess and manage the Company’s cybersecurity threats and risks, including through the use of the Company’s risk assessment process. The Company’s information security function and third-party service providers identify and assess risks from cybersecurity threats by monitoring and evaluating our threat environment and risk profile using various methods including, for example:</w:t>
      </w:r>
    </w:p>
    <w:p>
      <w:pPr>
        <w:spacing w:after="0" w:line="7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tools;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to reports and services that identify cybersecurity threats;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reports of threats and actors;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scans of the threat environment;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our and our industry’s risk profile;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threats reported to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audits;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threat assessments for internal and external threats;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vulnerability assessments to identify vulnerabilities;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external intelligence feeds.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incident response plan;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detection and response processes;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disaster recovery/business continuity plan;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operations center (SOC);</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encryption of certain data;</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controls;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tracking and disposal;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monitoring;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insurance;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cybersecurity staff.</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the Company’s information security function works with management, including our Chief Operating Officer (“COO”) to prioritize our risk management processes and mitigate cybersecurity threats that are more likely to lead to a material impact to our business.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external IT service provider;</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firms, including legal counsel;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consultants;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cybersecurity service providers;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 firms.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contract research organizations and contract manufacturing organizations. As part of our vendor security due diligence and to manage cybersecurity risks associated with our use of certain vendors, we perform risk assessments on vendors and may include cybersecurity obligations in our contracts with them. Depending on the nature of the services provided, the sensitivity of the Information Systems and Data at issue, and the identity of the provider, our vendor due diligence involves different levels of assessment designed to help identify cybersecurity risks associated with a provider. For example, we may impose contractual obligations related to cybersecurity on the provider.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 in this Annual Report on Form 10-K, including:</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4" w:name="page65"/>
    <w:bookmarkEnd w:id="64"/>
    <w:p>
      <w:pPr>
        <w:ind w:left="1020" w:right="60" w:hanging="503"/>
        <w:spacing w:after="0" w:line="267"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COO.</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COO is responsible for managing our information security function and overseeing our third-party information technology service providers. The COO is also responsible for helping to integrate cybersecurity risk considerations into the Company’s overall risk management strategy, communicating key priorities to relevant personnel, and approving budgets. Our outsourced Chief Information Security Officer who has over 20 years in executive-level IT and cybersecurity roles, is responsible for developing and implementing our technology environment and cybersecurity framework, helping the Company prepare for cybersecurity incidents, approving and implementing certain cybersecurity processes, and reviewing security assessments and other security-related reports.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members of management depending on the circumstances, including the COO and Chief Financial Officer (“CFO”). The COO and CFO work with the other members of the Company’s incident response team to help the Company mitigate and remediate cybersecurity incidents of which they are notified. In addition, the Company will report to the audit committee of the board of directors for certain cybersecurity incidents.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updates from the CFO and finance department concerning the Company’s significant cybersecurity threats and risk and the processes the Company has implemented to address them. The audit committee also receives various updates, summaries or presentations related to cybersecurity threats, risk and mitigation.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1500 District Avenue, Burlington, MA 01803. We lease this facility, which consists of approximately 88 square feet of office space. The lease is on a month-to-month basis, with the renewed agreement commencing on February 1, 2026. We believe that our existing facility is sufficient for our current needs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Form 10-K,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97" w:right="599" w:bottom="1440" w:gutter="0" w:footer="0" w:header="0"/>
        </w:sectPr>
      </w:pPr>
    </w:p>
    <w:bookmarkStart w:id="66" w:name="page67"/>
    <w:bookmarkEnd w:id="6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common stock was traded on the Nasdaq Global Market under the symbol “NERV” from our initial public offering on July 1, 2014 until September 11, 2022. Effective September 12, 2022, our common stock began trading on The Nasdaq Capital Market under the symbol “NERV.”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the close of business on March 6, 2026, there were approximately 51 holders of record of our common stock, including Cede &amp; Co., a nominee for The Depository Trust Company (“DTC”), which holds shares of our common stock on behalf of an indeterminate number of beneficial owners. All of the shares of common stock held by brokerage firms, banks and other financial institutions as nominees for beneficial owners are deposited into participant accounts at DTC, and are considered to be held of record by Cede &amp; Co. as one stockholder. Because many of our shares are held by brokers and other institutions on behalf of stockholders, we are unable to estimate the total number of stockholders represented by these record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plan information required by this Item is incorporated by reference to the information in Part III, Item 12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certain proprietary product candidates to treat patients suffering from central nervous system (“CNS”) diseases.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lead product candidate, roluperidone, is in development for the treatment of negative symptoms in patients diagnosed with schizophrenia. In August 2022, we submitted a New Drug Application (“NDA”) with the U.S. Food and Drug Administration (“FDA”) for roluperidone for the treatment of negative symptoms in schizophrenia. On February 26, 2024, the FDA issued a Complete Response Letter (“CRL”) regarding our NDA for roluperidone. Subsequent to the CRL, we have had multiple interactions with the FDA to confirm the design of an additional Phase 3 confirmatory clinical trial to address the deficiencies cited in the CRL and resubmit the NDA.</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with the completed Phase 2b (C03) and Phase 3 (C07) clinical trials of roluperidone, the new Phase 3 confirmatory trial, which we refer to as the C19 trial, will include patients diagnosed with schizophrenia who present with stable impairing negative symptoms and stable positive symptoms for the six months prior to entering the trial. We agreed with the FDA that best efforts will be made to secure 25-30% of patients from the United States, subject to competitive recruitment. The FDA confirmed that roluperidone can be studied in monotherapy where patients will receive a double-blinded single daily 64 mg dose of roluperidone or placebo. The FDA advised that, to support a monotherapy indication, it would be necessary to assess relapses on an observational basis for at least 52 weeks, in patients treated in monotherapy with roluperidone, placebo or antipsychotics. The FDA also stated that it would consider a resubmission of the NDA that included a double-blind, placebo- or active-controlled trial of roluperidone with a duration of at least 52 weeks with the efficacy primary endpoint at week 12.</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Subject to ongoing feedback from the FDA, the C19 trial is currently expected to be initiated, including first patient screened, in the second quarter of 2026. The trial is designed to enroll 380 patients, randomized on a 1:1 basis to receive either placebo or a double-blinded single daily 64 mg dose of roluperidone. The primary efficacy endpoint is expected to be the change from baseline in the PANSS Marder negative symptoms factor score (“NSFS”) at 12 weeks of treatment with roluperidone compared to placebo. Following the initial 12-week treatment period, patients are expected to enter a 40-week relapse assessment phase, during which patients will crossover to receive either a daily 64 mg dose of roluperidone or antipsychotics. We currently expect topline efficacy results in the second half of 2027 and relapse assessment data in the second half of 2028.</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we previously co-developed seltorexant with Janssen Pharmaceutica NV (“Janssen”), a subsidiary of Johnson &amp; Johnson, for the treatment of insomnia disorder and adjunctive treatment of Major Depressive Disorder (“MDD”). As a result of our collaboration with Janssen,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 To our knowledge, Janssen is currently recruiting patients under a Phase 3 trial with seltorexant.</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As of December 31, 2025 and 2024, we had an accumulated deficit of $688.8 million and $395.4 million, respectively. For the years ended December 31, 2025 and 2024, we recorded net loss of $293.4 million and a net income of $1.4 million, respectively. We expect our clinical and administrative costs will increase as we begin to incur clinical trial costs and hire additional support staff to support the Phase 3 trial of roluperidone.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21, 2025, we entered into a securities purchase agreement (the “Securities Purchase Agreement”) with certain accredited investors, pursuant to which we agreed to issue and sell, in a private placement (the “Private Placement”), (i) 80,000 shares of Series A Convertible Preferred Stock, par value $0.0001 per share (“Series A Preferred Stock”), at a purchase price of $1,000 per share, (ii) tranche A warrants (the “Preferred Tranche A Warrants”) to acquire shares of Series A Preferred Stock (the “Tranche A Warrant Shares”) and (iii) tranche B warrants (the “Preferred Tranche B Warrants,” together with the Preferred Tranche A Warrants, the “Preferred Warrants”) to acquire shares of Series A Preferred Stock for an aggregate offering price of up to $200 million. The closing of the Private Placement took place on October 23, 2025.</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gross proceeds of the Private Placement are estimated to be up to approximately $200 million, before deducting fees paid to the placement agent of the Private Placement and other estimated offering expenses payable by us, including initial upfront gross proceeds of $80 million in exchange for shares of the Series A Preferred Stock, up to an additional $80 million in gross proceeds if all Preferred Tranche A Warrants are exercised, subject to the terms and conditions specified therein, and up to an additional $40 million in gross proceeds if all Preferred Tranche B Warrants are exercised by cash payment upon the achievement of certain milestone event.</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private placement followed our announcement in August 2025 of our general alignment with the FDA on the design of a confirmatory Phase 3 trial of roluperidone. We expect to use the net proceeds of this private placement to fund the confirmatory Phase 3 trial of roluperidone and our resubmission of our NDA, to prepare for a potential commercial launch of roluperidone in the U.S., if approved, and for working capital and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Results of our operations have varied and may vary in the future based on the impact of changes in the domestic or global economy. Negative conditions in the general economy both in the United States and abroad, including conditions resulting from changes in inflation and fluctuations in interest rates, financial and credit market fluctuations, international trade relations and tariffs, pandemics, political turmoil, natural catastrophes and warfare in the United States or elsewhere, could negatively affect our business. It is not possible at this time to estimate the long-term impact that these and related events could have on our business, as the impact will depend on future developments, which are highly uncertain and cannot be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Foreign exchange gains (losses) are comprised primarily of gains and (losses)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 consists of the non-cash interest expense associated with the Royalty Pharma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consists of the gain associated with the adjustment to the carrying amount of the liability related to the sale of future royalties.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issuance of convertible preferred stock and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Loss on issuance of convertible preferred stock and warrants consists of the loss recognized due to the issuance of Series A Preferred Stock and warrants at fair value, offset by the gross proceeds received from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 cost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issuance costs are expensed as incurred and consist principally of legal, professional, and filing fees, as the warrants are classified as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the warrant liability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warrant liability consist of the gain (loss) associated with the adjustment to the carrying amount of the warranty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 Carryforwards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$188.2 million of federal net operating losses that will begin to expire in 2036, if not utilized. Of the total federal net operating loss, approximately $166.8 million has an unlimited carryforward and therefore will not expire. As of December 31, 2025, we had approximately $7.7 million of New Jersey and approximately $180.4 million of Massachusetts operating losses that will begin to expire in 2029 and 2037, respectively, if not utilized.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December 31, 2024 (in thousands):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(15,102)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issuance of convertible preferred stock and warrants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(321,499)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(293,423)</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-1559560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-1559560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$5.8 million and $11.9 million for the years ended December 31, 2025 and 2024, respectively, a decrease of $6.1 million. The decrease in research and development expenses was primarily due to costs incurred during 2024 for a drug substance validation campaign and safety study, as well as lower consultant fees and compensation expenses during 2025. Non-cash stock compensation costs included in research and development expenses were $0.4 million and $0.5 million for the years ended December 31, 2025 and 2024,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$9.3 million and $9.9 million for the years ended December 31, 2025 and 2024, respectively, a decrease of $0.6 million. The decrease in general and administrative expenses was primarily due to lower professional service fees and insurance costs. Non-cash stock compensation costs included in general and administrative expenses were $0.9 million for both the years ended December 31,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Foreign exchange losses were $57 thousand and $2 thousand for the years ended December 31, 2025 and 2024, respectively, an increase of $55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Investment income was $0.9 million and $1.3 million for the years ended December 31, 2025 and 2024, respectively, a decrease of approximately $0.4 million, primarily due to cash and cash equivalents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zero and $4.6 million for the years ended December 31, 2025 and 2024, respectively, a decrease of $4.6 million. During the third quarter of 2024 based on available data, a revision was made to the assumptions used to calculate estimated future cash flows to be received by us under the royalty purchase agreement with Royalty Pharma. Due to the reduction in future cash flow estimates, the carrying amount of the liability related to the sale of future royalties was reduced from $86.6 million to the initial cash payment received of $60.0 million. This adjustment resulted in the recognition of $26.6 million in non-cash other income during the third quarter of 2024, which represented the amount of non-cash interest expense previously recognized through June 30, 2024. No further non-cash interest expense associated with the liability related to the sale of future royalties has been recognized, and as a result, no interest expense was recognized in the fourth quarter of 2024 or full year 2025.</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income was zero and $26.6 million for the years ended December 31, 2025 and 2024, respectively, a decrease of $26.6 million. The decrease in other income was due to recognizing $26.6 million in non-cash other income during the third quarter of 2024 due to a reduction in the carrying amount of the liability related to the sale of future royalties.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issuance of convertible preferred stock and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the October 2025 private placement, we issued 80,000 shares of Series A Preferred Stock, which was convertible into 37.8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The fair value of the Series A Preferred Stock on the date of issuance was $184.6 million, based upon the conversion ratio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shares and the closing price of the common stock on the date of issuance. In addition, we issued warrants for up to 120,000 shares of Series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which, if fully exercised, are convertible into 56.8 million shares of common stock. Based on the valuation model used, the fair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on the date of issuance was calculated to be $216.9 million, which was recorded as a non-cash warrant liability. As these warrants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as a liability, any unexercised and outstanding warrants are revalued at each reporting period with subsequent changes in fair value recognized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statement of operations. For the year ended December 31, 2025, we recorded a loss on the issuance of convertible preferred stock and warrants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$321.5 million, reflecting the initial fair values of the warrants of $216.9 million and the Series A Preferred Stock of $184.6 million, offset by $80.0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gross proceeds received from investors. The warrant liability is decreased when warrants are exercised and the liability associated with such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is reclassified to stockholders’ equity. The fair value of the warrant liability also decreases or increases based on the price of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reporting period as well as any changes in other variables in the valuation model used to calculate the non-cash warrant liability.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issuance cost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conjunction with the October 2025 private placement, we incurred offering issuance costs of $5.7 million, of which $2.6 million was recorded in the balance sheet as a reduction to the Series A Preferred Stock and $3.1 million as warrant issuance expense during the fourth quarter of 2025. The allocation of the offering costs was based upon the relative fair values of the Series A Preferred Stock and warrants issued in the private placement on the date of issuance.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fair value of the warrant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warrant liability were $45.4 million and zero for the years ended December 31, 2025 and 2024, respectively, a decrease of</w:t>
      </w:r>
    </w:p>
    <w:p>
      <w:pPr>
        <w:spacing w:after="0" w:line="27"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18"/>
          <w:szCs w:val="18"/>
          <w:color w:val="auto"/>
        </w:rPr>
        <w:t>$45.4 million. Gain (loss) on the change in fair value of the warrant liability is related to the warrants issued in conjunction with the October 2025 private placement. The fair value of the non-cash warrant liability at December 31, 2025 was calculated to be $171.5 million and, as a result, the decrease in fair value of $45.4 million for the three-month period ended December 31, 2025 was recognized as a non-cash component of other income in the statement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generally accepted accounting principles (“GAAP”), we believe the following non-GAAP measures are useful in evaluating our operating performance. Non-GAAP financial measures are included with the intent of providing investors with an understanding of our historical financial results and trends and to facilitate comparisons between periods. In addition, these non-GAAP financial measures are among the indicators our management uses for planning and forecasting purposes and measuring our performance. We believe that these non-GAAP financial measures, when considered together with U.S. GAAP measures, can enhance the understanding of our financial and operating performance. Non-GAAP financial measures have no standardized meaning and investors are cautioned that, unlike financial measures prepared in accordance with U.S. GAAP, non-GAAP measures may not be comparable with the calculation of similar measures for other companies. The limitations of using non-GAAP financial measures as performance measures are that they provide a view of our results of operations without including all events during a period and may not provide a comparable view of our performance to other companies in the biopharmaceutical industry.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9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Non-GAAP total liabilities is defined as GAAP total liabilities, excluding warrant liability and liability related to the sale of future royalties. Reconciliations of reported GAAP total liabilities to non-GAAP total liabilities for the years ended December 31, 2025 and 2024 were as follows (in thousands):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r>
      <w:tr>
        <w:trPr>
          <w:trHeight w:val="209"/>
        </w:trPr>
        <w:tc>
          <w:tcPr>
            <w:tcW w:w="77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 GAAP</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233,755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(171,465)</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 non-GAAP</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shd w:val="clear" w:color="auto" w:fill="CFF0FC"/>
          </w:tcPr>
          <w:p>
            <w:pPr>
              <w:spacing w:after="0"/>
              <w:rPr>
                <w:sz w:val="19"/>
                <w:szCs w:val="19"/>
                <w:color w:val="auto"/>
              </w:rPr>
            </w:pP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-1156970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-591185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Non-GAAP adjusted net (loss) income is defined as GAAP net (loss) income, adjusted to exclude non-cash items related to: (i) stock-based compensation expense, (ii) interest expense for the sale of future royalties, (iii) other non-cash income, (iv) loss on issuance of convertible preferred stock and warrants and (v) changes in fair value of warrant liability. Non-GAAP adjusted net (loss) income per share, basic and diluted, is defined as GAAP net (loss) income per share, basic and diluted, adjusted to exclude non-cash items related to: (i) stock-based compensation expense, (ii) interest expense for the sale of future royalties, (iii) other non-cash income, (iv) loss on issuance of convertible preferred stock and warrants and (v) changes in fair value of warrant liability. Reconciliations of reported GAAP net (loss) income to non-GAAP adjusted net (loss) income, and reported GAAP net (loss) income per share, basic and diluted, to non-GAAP adjusted net (loss) income per share, basic and diluted, for the years ended December 31, 2025 and 2024 were as follows (in thousands, except share and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 GAAP</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(293,423)</w:t>
            </w: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9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(26,579)</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Loss on issuance of convertible preferred stock and warrants</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321,499</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(45,390)</w:t>
            </w: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 income – non-GAAP</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(15,987)</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(19,252)</w:t>
            </w:r>
          </w:p>
        </w:tc>
      </w:tr>
      <w:tr>
        <w:trPr>
          <w:trHeight w:val="20"/>
        </w:trPr>
        <w:tc>
          <w:tcPr>
            <w:tcW w:w="7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-316865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per share, basic –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per share, diluted –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diluted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issuance of convertible preferred stock and warrants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(34.67)</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8,464</w:t>
            </w:r>
          </w:p>
        </w:tc>
        <w:tc>
          <w:tcPr>
            <w:tcW w:w="2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7,569</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8,464</w:t>
            </w:r>
          </w:p>
        </w:tc>
        <w:tc>
          <w:tcPr>
            <w:tcW w:w="2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7060" w:space="720"/>
            <w:col w:w="3460"/>
          </w:cols>
          <w:pgMar w:left="320" w:top="97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6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6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basic – non-GAAP</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r>
      <w:tr>
        <w:trPr>
          <w:trHeight w:val="20"/>
        </w:trPr>
        <w:tc>
          <w:tcPr>
            <w:tcW w:w="7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w:t>
            </w:r>
          </w:p>
        </w:tc>
        <w:tc>
          <w:tcPr>
            <w:tcW w:w="6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8,464</w:t>
            </w: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diluted – non-GAAP</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r>
      <w:tr>
        <w:trPr>
          <w:trHeight w:val="20"/>
        </w:trPr>
        <w:tc>
          <w:tcPr>
            <w:tcW w:w="7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6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8,464</w:t>
            </w: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7,574</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-624840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-316230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we had an accumulated deficit of approximately $688.8 million. We anticipate that we will continue to incur net losses for the foreseeable future as we continue the development and potential commercialization of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73" w:name="page74"/>
    <w:bookmarkEnd w:id="73"/>
    <w:p>
      <w:pPr>
        <w:ind w:right="140"/>
        <w:spacing w:after="0" w:line="258" w:lineRule="auto"/>
        <w:rPr>
          <w:sz w:val="20"/>
          <w:szCs w:val="20"/>
          <w:color w:val="auto"/>
        </w:rPr>
      </w:pPr>
      <w:r>
        <w:rPr>
          <w:rFonts w:ascii="Times New Roman" w:cs="Times New Roman" w:eastAsia="Times New Roman" w:hAnsi="Times New Roman"/>
          <w:sz w:val="18"/>
          <w:szCs w:val="18"/>
          <w:color w:val="auto"/>
        </w:rPr>
        <w:t>and to support our operations as a public company. We have no products approved for commercial sale and have not generated any revenue from product sales to date, and we may never generate product revenue or achieve profitability. As of December 31, 2025, we had approximately $82.4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Series A Preferred Stock and Warrants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October 21, 2025, we entered into the Securities Purchase Agreement, see the section titled "Recent Developments" for more information. The Private Placement closed on October 23, 2025 (the “Closing Date”), pursuant to which we received aggregate gross proceeds of $80.0 million, before deducting placement agent fees, financial advisor fees, and other offering expenses. We incurred approximately $5.7 million in offering costs, including deferred issuance costs included in accounts payable and accrued expenses, resulting in net proceeds of approximately $74.3 million. Costs associated with the Preferred Warrants, which are classified as liabilities, are expensed as incurred. Costs attributable to the issuance of Series A Preferred Stock are recorded as a reduction of the carrying value of the Preferred Stock. On the Closing Date, we recorded a loss on issuance of convertible preferred stock and warrants of $321.5 million, reflecting the initial fair values of the Series A Preferred Stock of $184.6 million and the warrants of $216.9 million, offset by $80.0 million in gross proceeds received from investors. The value of the Series A Preferred Stock at issuance was determined based on the contractual conversion ratio multiplied by the closing price of our common stock on the Closing Date. For further discussion regarding the warrant liability and related valuation assumptions, please refer to Note 7, Warrant Liability, to our financial statements appearing elsewhere in this Form 10-K.</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23, 2025, following the announcement of the stockholders’ approval of the issuance of common stock issuable upon conversion of the Series A Preferred Stock, we issued an aggregate of 36,280,992 shares of common stock upon the automatic conversion of an aggregate of 76,704 shares of Series A Preferred Stock in accordance with the terms set forth in the Certificate of Designation of Preferences, Rights and Limitations of the Series A Convertible Voting Preferred Stock (the “Certificate of Designation”). Immediately following such conversion, (i) there were 43,274,398 shares of common stock outstanding and (ii) an aggregate of 3,296 shares of Series A Preferred Stock remaining outstanding, which are convertible into an aggregate of 1,559,008 shares of common stock, subject to the limitations on conversion set forth in the Certificate of Designation. Each share of Series A Preferred Stock automatically converted into the number of shares of common stock at the conversion price of $2.11 per share, rounded down to the nearest whole share, subject to the terms and limitations contained in the Certificate of Designation, including that shares of Series A Preferred Stock shall not be convertible if the conversion would result in a holder beneficially owning more than 9.99% (the “Beneficial Ownership Limitation”) of our outstanding shares of common stock as of the applicable conversion date. By written notice to us, the holder may from time to time increase or decrease the Beneficial Ownership Limitation to any other percentage not in excess of 19.99% specified in such notice; provided, that any increase in the Beneficial Ownership Limitation will not be effective until the 61st day after such notice is delivered to us.</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Preferred Tranche A Warrant has an exercise price of $1,000 and may only be exercised for cash. The Preferred Tranche A Warrants are immediately exercisable upon issuance for an aggregate of 80,000 shares of Series A Preferred Stock for an aggregate cash exercise price of up to $80 million until the tenth day following the date of our public announcement that we have achieved, on a statistically significant basis, the primary endpoint of our Phase 3 confirmatory trial of roluperidone in schizophrenia at the 12-week timepoint (the “Milestone Event”).</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Each Preferred Tranche B Warrant has an exercise price of $1,000 and may be exercised by a cashless exercise. The Preferred Tranche B Warrants are exercisable for an aggregate of 40,000 shares of Series A Preferred Stock for an aggregate cash exercise price of up to $40 million commencing on the earlier of (i) our public announcement of the Milestone Event and (ii) the three year anniversary of the Closing Date. The Preferred Tranche B Warrants will expire on the four (4)-year anniversary of the Closing Date.</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Preferred Warrants are subject to forfeiture in the event the applicable holder engages in any Short Sales (as defined in the Securities Purchase Agreement) involving our securities during the 48-months period following the Closing Date. In addition, the shares of common stock and/or Series A Preferred Stock, as applicable, underlying the Preferred Tranche B Warrants are subject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400"/>
        <w:spacing w:after="0" w:line="282" w:lineRule="auto"/>
        <w:rPr>
          <w:sz w:val="20"/>
          <w:szCs w:val="20"/>
          <w:color w:val="auto"/>
        </w:rPr>
      </w:pPr>
      <w:r>
        <w:rPr>
          <w:rFonts w:ascii="Times New Roman" w:cs="Times New Roman" w:eastAsia="Times New Roman" w:hAnsi="Times New Roman"/>
          <w:sz w:val="18"/>
          <w:szCs w:val="18"/>
          <w:color w:val="auto"/>
        </w:rPr>
        <w:t>reduction if the applicable holder sells or transfers any shares of Series A Preferred Stock or shares of common stock received upon conversion of the Series A Preferred Stock before the Exercisability Date (as defined therein), except to affiliates for no consideration.</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Certificate of Designation, no fractional shares or scrip representing fractional shares of common stock shall be issued upon the conversion of the Series A Preferred Stock. All fractional shares shall be rounded down to the nearest whole shares of common stock. Holders of Series A Preferred Stock are not entitled to receive any dividends except to the extent that dividends are paid on our common stock. If dividends are paid on shares of common stock, holders of Series A Preferred Stock are entitled to participate in such dividends on an as-converted basis. Upon the liquidation, dissolution, or winding up of us, each holder of Series A Preferred Stock will participate pari passu with any distribution of proceeds to holders of common stock. Holders of the Series A Preferred Stock are entitled to vote together with the holders of common stock on an as-if-converted basis on all matters submitted to a vote of stockholders.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we filed a registration statement on Form S-3 (File No. 333-292410), which was declared effective by the SEC on January 6, 2026, covering the resale of the Registrable Securities (as such term is defined in the Securities Purchase Agreement). We have agreed to take all steps necessary to keep such registration statement effective at all times until all Registrable Shares have been resold, or there remains no Registrable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January 19, 2021, we sold our royalty interest in seltorexant to Royalty Pharma for an upfront payment of $60 million and up to an additional $95 million in potential future milestone payments, contingent upon the achievement of certain clinical, regulatory and commercial milestones for seltorexant by Janssen.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geopolitical conflicts, such as the war in Ukraine and hostilities in the Middle East,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8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w:t>
            </w:r>
          </w:p>
        </w:tc>
        <w:tc>
          <w:tcPr>
            <w:tcW w:w="19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27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(13.5)</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Investing activities</w:t>
            </w:r>
          </w:p>
        </w:tc>
        <w:tc>
          <w:tcPr>
            <w:tcW w:w="19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19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7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424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$13.5 million during the year ended December 31, 2025 was primarily due to our net loss of $293.4 million and a $45.4 million decrease in fair value of the warranty liability, partially offset by the loss on issuance of convertible preferred stock and warrants of $321.5 million, warrant issuance costs of $3.1 million and stock-based compensation expense of $1.3 million.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approximately $19.6 million during the year ended December 31, 2024 was primarily due to our net income of $1.4 million, non-cash interest expense for the sale of future royalties of $4.6 million and stock-based compensation expense of $1.3 million, offset by the adjustment to the carrying amount of the liability related to the sale of future royalties of $26.6 million and an approximately $0.3 million decrease in accrued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years ended December 31,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approximately $74.5 million during the year ended December 31, 2025 was primarily due to the net proceeds from the Private Placement that closed in October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twelve months ended December 31,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financial statements appearing elsewhere in this Form 10-K, we believe that the following accounting policies are the most critical for fully understanding and evaluating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our research and development projects as well as fees paid to consultants and various entities that perform certain research and testing on our behalf and costs related to salaries, benefits, bonuses and stock-based compensation granted to employees in research and development functions. We determine our expenses related to clinical studies based on our estimates of the services received and efforts expended pursuant to contracts with multiple research institutions and contract research organizations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ind w:right="40"/>
        <w:spacing w:after="0" w:line="255" w:lineRule="auto"/>
        <w:rPr>
          <w:sz w:val="20"/>
          <w:szCs w:val="20"/>
          <w:color w:val="auto"/>
        </w:rPr>
      </w:pPr>
      <w:r>
        <w:rPr>
          <w:rFonts w:ascii="Times New Roman" w:cs="Times New Roman" w:eastAsia="Times New Roman" w:hAnsi="Times New Roman"/>
          <w:sz w:val="18"/>
          <w:szCs w:val="18"/>
          <w:color w:val="auto"/>
        </w:rPr>
        <w:t>that conduct and manage clinical studies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condensed consolidated financial statements as prepaid or accrued expenses.</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make estimates of our accrued research and development expenses as of each balance sheet date in our financial statements based on facts and circumstances known at that time. Although we do not expect that our estimates will be materially different from amounts actually incurred, our understanding of status and timing of services performed relative to the actual status and timing of services performed may vary and may result in our reporting amounts that are too high or too low for any particular period. There had been no material adjustments to our prior period estimates of accrued expenses for clinical trials. However, due to the nature of estimates, we cannot assure you that we will not make changes to our estimates in the future as we become aware of additional information about the status or conduct of our clinical trials.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test our goodwill for impairment annually, or whenever events or changes in circumstances indicate an impairment may have occurred, by comparing our reporting unit’s carrying value to its fair value. Impairment may result from, among other things, deterioration in the performance of the acquired business, adverse market conditions, adverse changes in applicable laws or regulations and a variety of other circumstances. If we determine that an impairment has occurred, we are required to record a write-down of the carrying value and charge the impairment as an operating expense in the period the determination is made. In evaluating the recoverability of the carrying value of goodwill, we must make assumptions regarding estimated future cash flows and other factors to determine the fair value of the acquired assets. Changes in strategy or market conditions could significantly impact those judgments in the future and require an adjustment to the recorded balances. We have a single reporting unit, which is the level that the goodwill impairment test is performed. There was no impairment of goodwill for the years ended December 31, 2025 and 2024. As of December 31, 2025, $14.9 million of goodwill was associated with a reporting unit with zero or negative carrying value. As the reporting unit had a positive fair value, there was no impairment associated with this reporting unit.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treat the sale of future royalties to Royalty Pharma as a debt financing, as we have significant continuing involvement in facilitating the transfer of royalties to Royalty Pharma and Royalty Pharma has recourse against us relating to the payments due from Janssen. As a result, we recorded the upfront payment of $60 million from this transaction as a liability related to the sale of future royalties, and up to an additional $95 million in potential milestone payments will also be recorded as a liability related to the sale of future royalties and amortized as interest expense over the estimated remaining life of the agreement. Under the terms of the agreement, all payments from Royalty Pharma to us,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liability related to sale of future royalties and the related interest expense is based on our current estimates of future royalties expected to be paid over the life of the arrangement. We will periodically assess the expected royalty payments using a combination of internal projections and forecasts from external sources. To the extent our future estimates of royalty payments are greater or less than previous estimates or the estimated timing of such payments is materially different than its previous estimates, we will recognize related non-cash interest expense or other income.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third quarter of 2024, we made a significant revision to our estimates for the timing and amount of future royalty payments to be earned over the life of the co-development and license agreement with Janssen. As a result, the estimate of undiscounted royalty payments were less than the original carrying value of the upfront $60 million payment received from Royalty Pharma. Therefore, under the retrospective interest model, as of December 31, 2024 we adjusted the liability related to the sale of future royalties (the “Royalty Obligation”) to the initial upfront payment received of $60 million and recognized $26.6 million as a component of Other Income, representing the amount of amortized non-cash interest expense through June 30, 2024. In addition, we do not expect to recognize non-cash interest expense in the future related to the Royalty Obligation, as the effective annual interest rate is negative.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further discussion of the sale of future royalties, please refer to Note 5, Sale of Future Royalties, to our financial statements appearing elsewhere in this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In conjunction with the issuance of Series A Preferred Stock and Preferred Tranche A and Tranche B Warrants, we established a warrant liability as of October 23, 2025, representing the fair value of the warrants issued, which was determined using a binomial valuation model. We account for these warrants as liabilities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due to the Fundamental Transaction provisions contained in both the Tranche A and Tranche B Warrants, as such provisions do not distinguish between transactions that are within our control and those that are not. Specifically, if, at any time while the warrants are outstanding, we shall enter into or be party to a Fundamental Transaction, then we (or the successor entity) shall purchase all outstanding warrants from the holders by paying to the holders cash in an amount equal to the Black Scholes Value of the remaining unexercised portion of each warrant on the effective date of such Fundamental Transaction. As such, The warrant liabilities are initially measured at fair value and remeasured at fair value at each reporting date, with changes in fair value recognized in earnings. The warrant liabilities are measured using Level 3 inputs within the fair value hierarchy.</w:t>
      </w:r>
    </w:p>
    <w:p>
      <w:pPr>
        <w:spacing w:after="0" w:line="18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the warrant liability and related valuation assumptions, please refer to Note 7, Warrant Liability, to our financial statements appearing elsewhere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Financial Accounting Standards Board (“FASB”) and are adopted by us as of the specified effective date. Our significant accounting policies are described in Note 2 to our financial statements appearing elsewhere in this Form 10-K. Except as described in Note 2, we believe that the impact of other recently issued, but not yet adopted, accounting pronouncements will not have a material impact on the financial position, results of operations and cash flows, or do not apply to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are a smaller reporting company as defined by Rule12b-2 of the Exchange Act and are not required to provide the information required under this item.</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5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No. 34)</w:t>
            </w:r>
          </w:p>
        </w:tc>
        <w:tc>
          <w:tcPr>
            <w:tcW w:w="4920" w:type="dxa"/>
            <w:vAlign w:val="bottom"/>
            <w:gridSpan w:val="4"/>
          </w:tcPr>
          <w:p>
            <w:pPr>
              <w:spacing w:after="0"/>
              <w:rPr>
                <w:sz w:val="24"/>
                <w:szCs w:val="24"/>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7"/>
              </w:rPr>
              <w:t>F-1</w:t>
            </w:r>
          </w:p>
        </w:tc>
      </w:tr>
      <w:tr>
        <w:trPr>
          <w:trHeight w:val="196"/>
        </w:trPr>
        <w:tc>
          <w:tcPr>
            <w:tcW w:w="46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6020" w:type="dxa"/>
            <w:vAlign w:val="bottom"/>
            <w:gridSpan w:val="5"/>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87"/>
              </w:rPr>
              <w:t>F-3</w:t>
            </w:r>
          </w:p>
        </w:tc>
      </w:tr>
      <w:tr>
        <w:trPr>
          <w:trHeight w:val="196"/>
        </w:trPr>
        <w:tc>
          <w:tcPr>
            <w:tcW w:w="64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and 2024</w:t>
            </w:r>
          </w:p>
        </w:tc>
        <w:tc>
          <w:tcPr>
            <w:tcW w:w="4200" w:type="dxa"/>
            <w:vAlign w:val="bottom"/>
            <w:gridSpan w:val="3"/>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87"/>
              </w:rPr>
              <w:t>F-4</w:t>
            </w:r>
          </w:p>
        </w:tc>
      </w:tr>
      <w:tr>
        <w:trPr>
          <w:trHeight w:val="196"/>
        </w:trPr>
        <w:tc>
          <w:tcPr>
            <w:tcW w:w="106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Redeemable Preferred Stock and Stockholders’ Deficit for the Years Ended December 31, 2025 and 2024</w:t>
            </w:r>
          </w:p>
        </w:tc>
        <w:tc>
          <w:tcPr>
            <w:tcW w:w="5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65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and 2024</w:t>
            </w:r>
          </w:p>
        </w:tc>
        <w:tc>
          <w:tcPr>
            <w:tcW w:w="310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87"/>
              </w:rPr>
              <w:t>F-6</w:t>
            </w:r>
          </w:p>
        </w:tc>
      </w:tr>
      <w:tr>
        <w:trPr>
          <w:trHeight w:val="196"/>
        </w:trPr>
        <w:tc>
          <w:tcPr>
            <w:tcW w:w="3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520" w:type="dxa"/>
            <w:vAlign w:val="bottom"/>
            <w:gridSpan w:val="6"/>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87"/>
              </w:rPr>
              <w:t>F-7</w:t>
            </w:r>
          </w:p>
        </w:tc>
      </w:tr>
      <w:tr>
        <w:trPr>
          <w:trHeight w:val="668"/>
        </w:trPr>
        <w:tc>
          <w:tcPr>
            <w:tcW w:w="5760" w:type="dxa"/>
            <w:vAlign w:val="bottom"/>
            <w:gridSpan w:val="3"/>
          </w:tcPr>
          <w:p>
            <w:pPr>
              <w:ind w:left="5540"/>
              <w:spacing w:after="0"/>
              <w:rPr>
                <w:sz w:val="20"/>
                <w:szCs w:val="20"/>
                <w:color w:val="auto"/>
              </w:rPr>
            </w:pPr>
            <w:r>
              <w:rPr>
                <w:rFonts w:ascii="Times New Roman" w:cs="Times New Roman" w:eastAsia="Times New Roman" w:hAnsi="Times New Roman"/>
                <w:sz w:val="18"/>
                <w:szCs w:val="18"/>
                <w:color w:val="auto"/>
              </w:rPr>
              <w:t>79</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ind w:right="5020"/>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Minerva Neurosciences, Inc.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Minerva Neurosciences, Inc. and subsidiaries (the “Company”) as of December 31, 2025 and 2024, the related consolidated statements of operations, redeemable preferred stock and stockholders’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Warrant Liabilities - </w:t>
      </w:r>
      <w:r>
        <w:rPr>
          <w:rFonts w:ascii="Times New Roman" w:cs="Times New Roman" w:eastAsia="Times New Roman" w:hAnsi="Times New Roman"/>
          <w:sz w:val="18"/>
          <w:szCs w:val="18"/>
          <w:i w:val="1"/>
          <w:iCs w:val="1"/>
          <w:color w:val="auto"/>
        </w:rPr>
        <w:t>Refer to Notes 2 and 7 to the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 Description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2025 the Company entered into a securities purchase agreement, according to which the Company agreed to issue and sell, in a private placement 80,000 shares of Series A Convertible Preferred Stock, tranche A warrants to acquire shares of Series A Preferred Stock, and tranche B warrants to acquire shares of Series A Preferred Stock. The Preferred Stock and warrants were recognized by the Company at fair value upon issuance. The Warrant Liability is remeasured each period and reported at its then fair value.</w:t>
      </w:r>
    </w:p>
    <w:p>
      <w:pPr>
        <w:spacing w:after="0" w:line="11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determination of the Warrant Liability fair value requires management to make estimates and assumptions related to the valuation methodology, expected timing and probability of a milestone event, the future common stock value, a discount rate, and volatility of the share price. As such there is a high degree of auditor judgment and an increased effort, including the need to involve our fair value specialists.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test the valuation of the warrant liability, we obtained the Company’s valuation analysis and:</w:t>
      </w:r>
    </w:p>
    <w:p>
      <w:pPr>
        <w:spacing w:after="0" w:line="225" w:lineRule="exact"/>
        <w:rPr>
          <w:sz w:val="20"/>
          <w:szCs w:val="20"/>
          <w:color w:val="auto"/>
        </w:rPr>
      </w:pPr>
    </w:p>
    <w:p>
      <w:pPr>
        <w:ind w:left="560" w:hanging="552"/>
        <w:spacing w:after="0"/>
        <w:tabs>
          <w:tab w:leader="none" w:pos="5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Evaluated the competency of management’s fair value specialist</w:t>
      </w:r>
    </w:p>
    <w:p>
      <w:pPr>
        <w:spacing w:after="0" w:line="224" w:lineRule="exact"/>
        <w:rPr>
          <w:rFonts w:ascii="Arial" w:cs="Arial" w:eastAsia="Arial" w:hAnsi="Arial"/>
          <w:sz w:val="18"/>
          <w:szCs w:val="18"/>
          <w:color w:val="auto"/>
        </w:rPr>
      </w:pPr>
    </w:p>
    <w:p>
      <w:pPr>
        <w:ind w:left="560" w:hanging="552"/>
        <w:spacing w:after="0"/>
        <w:tabs>
          <w:tab w:leader="none" w:pos="5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source data in the valuation and compared to the underlying terms in the securities purchase agreement</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0" w:name="page81"/>
    <w:bookmarkEnd w:id="80"/>
    <w:p>
      <w:pPr>
        <w:ind w:left="560" w:hanging="552"/>
        <w:spacing w:after="0" w:line="281" w:lineRule="auto"/>
        <w:tabs>
          <w:tab w:leader="none" w:pos="56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estimates related to the timeline and probability of exercise of the warrants, and future common stock value, by comparing to the expected timeline and success of the phase 3 confirmatory trial of roluperidone and board expectations of future common stock value</w:t>
      </w:r>
    </w:p>
    <w:p>
      <w:pPr>
        <w:spacing w:after="0" w:line="162" w:lineRule="exact"/>
        <w:rPr>
          <w:rFonts w:ascii="Arial" w:cs="Arial" w:eastAsia="Arial" w:hAnsi="Arial"/>
          <w:sz w:val="18"/>
          <w:szCs w:val="18"/>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w:t>
      </w:r>
    </w:p>
    <w:p>
      <w:pPr>
        <w:spacing w:after="0" w:line="224" w:lineRule="exact"/>
        <w:rPr>
          <w:rFonts w:ascii="Arial" w:cs="Arial" w:eastAsia="Arial" w:hAnsi="Arial"/>
          <w:sz w:val="18"/>
          <w:szCs w:val="18"/>
          <w:color w:val="auto"/>
        </w:rPr>
      </w:pPr>
    </w:p>
    <w:p>
      <w:pPr>
        <w:ind w:left="820" w:hanging="243"/>
        <w:spacing w:after="0"/>
        <w:tabs>
          <w:tab w:leader="none" w:pos="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methodology</w:t>
      </w:r>
    </w:p>
    <w:p>
      <w:pPr>
        <w:spacing w:after="0" w:line="225" w:lineRule="exact"/>
        <w:rPr>
          <w:rFonts w:ascii="Times New Roman" w:cs="Times New Roman" w:eastAsia="Times New Roman" w:hAnsi="Times New Roman"/>
          <w:sz w:val="18"/>
          <w:szCs w:val="18"/>
          <w:color w:val="auto"/>
        </w:rPr>
      </w:pPr>
    </w:p>
    <w:p>
      <w:pPr>
        <w:ind w:left="820" w:hanging="250"/>
        <w:spacing w:after="0"/>
        <w:tabs>
          <w:tab w:leader="none" w:pos="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and volatility of the share price</w:t>
      </w:r>
    </w:p>
    <w:p>
      <w:pPr>
        <w:spacing w:after="0" w:line="225" w:lineRule="exact"/>
        <w:rPr>
          <w:rFonts w:ascii="Times New Roman" w:cs="Times New Roman" w:eastAsia="Times New Roman" w:hAnsi="Times New Roman"/>
          <w:sz w:val="18"/>
          <w:szCs w:val="18"/>
          <w:color w:val="auto"/>
        </w:rPr>
      </w:pPr>
    </w:p>
    <w:p>
      <w:pPr>
        <w:ind w:left="820" w:hanging="250"/>
        <w:spacing w:after="0"/>
        <w:tabs>
          <w:tab w:leader="none" w:pos="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guideline public company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985" w:right="6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900" w:type="dxa"/>
            <w:vAlign w:val="bottom"/>
            <w:shd w:val="clear" w:color="auto" w:fill="CFF0FC"/>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82,301,813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21,362,008</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697,676</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83,099,489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22,268,903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97,968,888</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37,143,744</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Liabilities, Redeemable Preferred Stock and Stockholders’ Deficit</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639,707</w:t>
            </w:r>
          </w:p>
        </w:tc>
        <w:tc>
          <w:tcPr>
            <w:tcW w:w="2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1,607,844</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1,650,766</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2,290,473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2,836,844</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171,464,575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Pr>
          <w:p>
            <w:pPr>
              <w:spacing w:after="0"/>
              <w:rPr>
                <w:sz w:val="18"/>
                <w:szCs w:val="18"/>
                <w:color w:val="auto"/>
              </w:rPr>
            </w:pPr>
          </w:p>
        </w:tc>
      </w:tr>
      <w:tr>
        <w:trPr>
          <w:trHeight w:val="209"/>
        </w:trPr>
        <w:tc>
          <w:tcPr>
            <w:tcW w:w="7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233,755,048</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62,836,844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200,000 shares authorized; 3,296 issued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liquidation preference of $0 as of December 31, 2025 and 0 shares authorized; none issued</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outstanding as of December 31, 2024</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4,961,922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250,000,000 shares authorized; 43,274,398 shares issued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2025 and 125,000,000 shares authorized; 6,993,406 shares issued and</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548,047,331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369,682,764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(688,799,740)</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(395,376,563)</w:t>
            </w:r>
          </w:p>
        </w:tc>
      </w:tr>
      <w:tr>
        <w:trPr>
          <w:trHeight w:val="20"/>
        </w:trPr>
        <w:tc>
          <w:tcPr>
            <w:tcW w:w="7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(140,748,082)</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(25,693,100)</w:t>
            </w:r>
          </w:p>
        </w:tc>
      </w:tr>
      <w:tr>
        <w:trPr>
          <w:trHeight w:val="209"/>
        </w:trPr>
        <w:tc>
          <w:tcPr>
            <w:tcW w:w="790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liabilities, redeemable preferred stock and stockholders’ deficit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97,968,888</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37,143,744</w:t>
            </w:r>
          </w:p>
        </w:tc>
        <w:tc>
          <w:tcPr>
            <w:tcW w:w="100" w:type="dxa"/>
            <w:vAlign w:val="bottom"/>
            <w:tcBorders>
              <w:top w:val="single" w:sz="8" w:color="CFF0FC"/>
            </w:tcBorders>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-3813810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-3256915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-2399665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-1833880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5,759,473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11,898,595</w:t>
            </w:r>
          </w:p>
        </w:tc>
        <w:tc>
          <w:tcPr>
            <w:tcW w:w="100" w:type="dxa"/>
            <w:vAlign w:val="bottom"/>
          </w:tcPr>
          <w:p>
            <w:pPr>
              <w:spacing w:after="0"/>
              <w:rPr>
                <w:sz w:val="18"/>
                <w:szCs w:val="18"/>
                <w:color w:val="auto"/>
              </w:rPr>
            </w:pPr>
          </w:p>
        </w:tc>
      </w:tr>
      <w:tr>
        <w:trPr>
          <w:trHeight w:val="216"/>
        </w:trPr>
        <w:tc>
          <w:tcPr>
            <w:tcW w:w="6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9,343,497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9,949,791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1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15,102,970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21,848,386</w:t>
            </w:r>
          </w:p>
        </w:tc>
        <w:tc>
          <w:tcPr>
            <w:tcW w:w="100" w:type="dxa"/>
            <w:vAlign w:val="bottom"/>
          </w:tcPr>
          <w:p>
            <w:pPr>
              <w:spacing w:after="0"/>
              <w:rPr>
                <w:sz w:val="18"/>
                <w:szCs w:val="18"/>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(15,102,970)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(21,848,386)</w:t>
            </w:r>
          </w:p>
        </w:tc>
      </w:tr>
      <w:tr>
        <w:trPr>
          <w:trHeight w:val="216"/>
        </w:trPr>
        <w:tc>
          <w:tcPr>
            <w:tcW w:w="6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(56,555)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(1,926)</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1,272,354</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(4,562,223)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issuance of convertible preferred stock and warrants</w:t>
            </w: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(321,499,041)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(3,102,649)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16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45,389,916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 income</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(293,423,177)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1,438,865</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w:t>
            </w:r>
          </w:p>
        </w:tc>
        <w:tc>
          <w:tcPr>
            <w:tcW w:w="16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8,463,581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6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8,463,581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7,573,763</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-2313940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-925195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3" w:name="page84"/>
    <w:bookmarkEnd w:id="83"/>
    <w:p>
      <w:pPr>
        <w:jc w:val="center"/>
        <w:ind w:right="-79"/>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Preferred Stock and Stockholders’ Deficit</w:t>
      </w:r>
    </w:p>
    <w:p>
      <w:pPr>
        <w:sectPr>
          <w:pgSz w:w="11900" w:h="16838" w:orient="portrait"/>
          <w:cols w:equalWidth="0" w:num="1">
            <w:col w:w="11180"/>
          </w:cols>
          <w:pgMar w:left="320" w:top="9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80"/>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Balances at January 1, 2024 </w:t>
      </w:r>
      <w:r>
        <w:rPr>
          <w:rFonts w:ascii="Times New Roman" w:cs="Times New Roman" w:eastAsia="Times New Roman" w:hAnsi="Times New Roman"/>
          <w:sz w:val="14"/>
          <w:szCs w:val="14"/>
          <w:color w:val="auto"/>
        </w:rPr>
        <w:t>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Balances at December 31, 2024</w:t>
      </w:r>
    </w:p>
    <w:p>
      <w:pPr>
        <w:spacing w:after="0" w:line="227" w:lineRule="auto"/>
        <w:rPr>
          <w:sz w:val="20"/>
          <w:szCs w:val="20"/>
          <w:color w:val="auto"/>
        </w:rPr>
      </w:pPr>
      <w:r>
        <w:rPr>
          <w:rFonts w:ascii="Times New Roman" w:cs="Times New Roman" w:eastAsia="Times New Roman" w:hAnsi="Times New Roman"/>
          <w:sz w:val="14"/>
          <w:szCs w:val="14"/>
          <w:color w:val="auto"/>
        </w:rPr>
        <w:t>Stock-based compensation</w:t>
      </w:r>
    </w:p>
    <w:p>
      <w:pPr>
        <w:spacing w:after="0" w:line="222" w:lineRule="auto"/>
        <w:rPr>
          <w:sz w:val="20"/>
          <w:szCs w:val="20"/>
          <w:color w:val="auto"/>
        </w:rPr>
      </w:pPr>
      <w:r>
        <w:rPr>
          <w:rFonts w:ascii="Times New Roman" w:cs="Times New Roman" w:eastAsia="Times New Roman" w:hAnsi="Times New Roman"/>
          <w:sz w:val="14"/>
          <w:szCs w:val="14"/>
          <w:color w:val="auto"/>
        </w:rPr>
        <w:t>Issuance of Series A Preferred Stock</w:t>
      </w:r>
    </w:p>
    <w:p>
      <w:pPr>
        <w:spacing w:after="0" w:line="221" w:lineRule="auto"/>
        <w:rPr>
          <w:sz w:val="20"/>
          <w:szCs w:val="20"/>
          <w:color w:val="auto"/>
        </w:rPr>
      </w:pPr>
      <w:r>
        <w:rPr>
          <w:rFonts w:ascii="Times New Roman" w:cs="Times New Roman" w:eastAsia="Times New Roman" w:hAnsi="Times New Roman"/>
          <w:sz w:val="14"/>
          <w:szCs w:val="14"/>
          <w:color w:val="auto"/>
        </w:rPr>
        <w:t>under private placement offering, net of</w:t>
      </w:r>
    </w:p>
    <w:p>
      <w:pPr>
        <w:spacing w:after="0" w:line="221" w:lineRule="auto"/>
        <w:rPr>
          <w:sz w:val="20"/>
          <w:szCs w:val="20"/>
          <w:color w:val="auto"/>
        </w:rPr>
      </w:pPr>
      <w:r>
        <w:rPr>
          <w:rFonts w:ascii="Times New Roman" w:cs="Times New Roman" w:eastAsia="Times New Roman" w:hAnsi="Times New Roman"/>
          <w:sz w:val="14"/>
          <w:szCs w:val="14"/>
          <w:color w:val="auto"/>
        </w:rPr>
        <w:t>issuance costs</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Conversion of Series A Preferred Stock into common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Balances at December 31, 2025</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
        </w:trPr>
        <w:tc>
          <w:tcPr>
            <w:tcW w:w="24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 Series A Preferred Stock</w:t>
            </w:r>
          </w:p>
        </w:tc>
        <w:tc>
          <w:tcPr>
            <w:tcW w:w="24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820" w:type="dxa"/>
            <w:vAlign w:val="bottom"/>
            <w:gridSpan w:val="4"/>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2"/>
                <w:szCs w:val="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400" w:type="dxa"/>
            <w:vAlign w:val="bottom"/>
            <w:tcBorders>
              <w:bottom w:val="single" w:sz="8" w:color="auto"/>
            </w:tcBorders>
            <w:gridSpan w:val="5"/>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20" w:type="dxa"/>
            <w:vAlign w:val="bottom"/>
            <w:vMerge w:val="continue"/>
          </w:tcPr>
          <w:p>
            <w:pPr>
              <w:spacing w:after="0"/>
              <w:rPr>
                <w:sz w:val="12"/>
                <w:szCs w:val="12"/>
                <w:color w:val="auto"/>
              </w:rPr>
            </w:pPr>
          </w:p>
        </w:tc>
        <w:tc>
          <w:tcPr>
            <w:tcW w:w="1820" w:type="dxa"/>
            <w:vAlign w:val="bottom"/>
            <w:tcBorders>
              <w:bottom w:val="single" w:sz="8" w:color="auto"/>
            </w:tcBorders>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9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jc w:val="center"/>
              <w:ind w:right="90"/>
              <w:spacing w:after="0" w:line="11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6,993,406</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699</w:t>
            </w:r>
          </w:p>
        </w:tc>
        <w:tc>
          <w:tcPr>
            <w:tcW w:w="260" w:type="dxa"/>
            <w:vAlign w:val="bottom"/>
          </w:tcPr>
          <w:p>
            <w:pPr>
              <w:spacing w:after="0"/>
              <w:rPr>
                <w:sz w:val="10"/>
                <w:szCs w:val="10"/>
                <w:color w:val="auto"/>
              </w:rPr>
            </w:pPr>
          </w:p>
        </w:tc>
        <w:tc>
          <w:tcPr>
            <w:tcW w:w="140" w:type="dxa"/>
            <w:vAlign w:val="bottom"/>
            <w:tcBorders>
              <w:top w:val="single" w:sz="8" w:color="auto"/>
            </w:tcBorders>
          </w:tcPr>
          <w:p>
            <w:pPr>
              <w:jc w:val="right"/>
              <w:ind w:right="20"/>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368,357,239</w:t>
            </w:r>
          </w:p>
        </w:tc>
        <w:tc>
          <w:tcPr>
            <w:tcW w:w="240" w:type="dxa"/>
            <w:vAlign w:val="bottom"/>
          </w:tcPr>
          <w:p>
            <w:pPr>
              <w:spacing w:after="0"/>
              <w:rPr>
                <w:sz w:val="10"/>
                <w:szCs w:val="10"/>
                <w:color w:val="auto"/>
              </w:rPr>
            </w:pPr>
          </w:p>
        </w:tc>
        <w:tc>
          <w:tcPr>
            <w:tcW w:w="1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(396,815,428)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jc w:val="right"/>
              <w:ind w:right="8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(28,457,490)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1,325,525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1,438,865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1,438,865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center"/>
              <w:ind w:right="9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6,993,406</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699</w:t>
            </w: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369,682,764</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(395,376,563)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(25,693,100)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tcBorders>
              <w:bottom w:val="single" w:sz="8" w:color="auto"/>
            </w:tcBorders>
            <w:vMerge w:val="restart"/>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continue"/>
          </w:tcPr>
          <w:p>
            <w:pPr>
              <w:spacing w:after="0"/>
              <w:rPr>
                <w:sz w:val="14"/>
                <w:szCs w:val="14"/>
                <w:color w:val="auto"/>
              </w:rPr>
            </w:pPr>
          </w:p>
        </w:tc>
        <w:tc>
          <w:tcPr>
            <w:tcW w:w="20" w:type="dxa"/>
            <w:vAlign w:val="bottom"/>
            <w:vMerge w:val="continue"/>
            <w:shd w:val="clear" w:color="auto" w:fill="000000"/>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1,327,372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1,327,372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182,002,745</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(76,704)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(177,040,823)</w:t>
            </w:r>
          </w:p>
        </w:tc>
        <w:tc>
          <w:tcPr>
            <w:tcW w:w="2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36,280,992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177,037,195</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177,040,823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(293,423,177)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(293,423,177)</w:t>
            </w:r>
          </w:p>
        </w:tc>
        <w:tc>
          <w:tcPr>
            <w:tcW w:w="0" w:type="dxa"/>
            <w:vAlign w:val="bottom"/>
          </w:tcPr>
          <w:p>
            <w:pPr>
              <w:spacing w:after="0"/>
              <w:rPr>
                <w:sz w:val="1"/>
                <w:szCs w:val="1"/>
                <w:color w:val="auto"/>
              </w:rPr>
            </w:pPr>
          </w:p>
        </w:tc>
      </w:tr>
      <w:tr>
        <w:trPr>
          <w:trHeight w:val="142"/>
        </w:trPr>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center"/>
              <w:ind w:right="9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4,961,922</w:t>
            </w:r>
          </w:p>
        </w:tc>
        <w:tc>
          <w:tcPr>
            <w:tcW w:w="24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43,274,398</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4,327</w:t>
            </w: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548,047,331</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(688,799,740)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(140,748,082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-1199515</wp:posOffset>
            </wp:positionV>
            <wp:extent cx="7132320" cy="939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-788035</wp:posOffset>
            </wp:positionV>
            <wp:extent cx="7132320" cy="94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-410845</wp:posOffset>
            </wp:positionV>
            <wp:extent cx="713232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-1010920</wp:posOffset>
            </wp:positionV>
            <wp:extent cx="7132320"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-119380</wp:posOffset>
            </wp:positionV>
            <wp:extent cx="713232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00" w:space="80"/>
            <w:col w:w="8800"/>
          </w:cols>
          <w:pgMar w:left="320" w:top="985" w:right="39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2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6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(293,423,177)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1,438,865</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1,325,525</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issuance of convertible preferred stock and warrants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321,499,041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issuance cost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3,102,649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(45,389,916)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4,562,223</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Remeasurement of liability related to sale of future royalties</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(26,579,046)</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182,970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(1,059,012)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(197,476)</w:t>
            </w: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(306,097)</w:t>
            </w: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(13,510,936)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(19,550,567)</w:t>
            </w:r>
          </w:p>
        </w:tc>
      </w:tr>
      <w:tr>
        <w:trPr>
          <w:trHeight w:val="209"/>
        </w:trPr>
        <w:tc>
          <w:tcPr>
            <w:tcW w:w="76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Series A preferred stock and warrants in private placement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Costs paid in connection with private placement</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(5,393,311)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(155,948)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74,450,741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60,939,805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(19,550,567)</w:t>
            </w:r>
          </w:p>
        </w:tc>
      </w:tr>
      <w:tr>
        <w:trPr>
          <w:trHeight w:val="216"/>
        </w:trPr>
        <w:tc>
          <w:tcPr>
            <w:tcW w:w="7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21,462,008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82,401,813</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21,462,008</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766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 Condensed</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8"/>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82,301,813</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21,362,008</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82,401,813</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21,462,008</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issuance costs included in accounts payable and accrued 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195,195</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recognition of warrant liability at fair value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216,854,491</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-3436620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-2862580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-2022475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-1464945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-744855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certain proprietary product candidates to treat patients suffering from central nervous system (“CNS”) diseases.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lead product candidate, roluperidone, is in development for the treatment of negative symptoms in patients diagnosed with schizophrenia. In August 2022, the Company submitted a New Drug Application (“NDA”) with the U.S. Food and Drug Administration (“FDA”) for roluperidone for the treatment of negative symptoms in schizophrenia. On February 26, 2024, the FDA issued a Complete Response Letter (“CRL”) regarding the NDA for roluperidone. Subsequent to the CRL, the Company has had multiple interactions with the FDA to confirm the design of an additional Phase 3 confirmatory clinical trial to address the deficiencies cited in the CRL and resubmit the NDA.</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with the completed Phase 2b (C03) and Phase 3 (C07) clinical trials of roluperidone, the new Phase 3 confirmatory trial, which the Company refers to as the C19 trial, will include patients diagnosed with schizophrenia who present with stable impairing negative symptoms and stable positive symptoms for the six months prior to entering the trial. The Company agreed with the FDA that best efforts will be made to secure 25-30% of patients from the United States, subject to competitive recruitment. The FDA confirmed that roluperidone can be studied in monotherapy where patients will receive a double-blinded single daily 64 mg dose of roluperidone or placebo. The FDA advised that, to support a monotherapy indication, it would be necessary to assess relapses on an observational basis for at least 52 weeks, in patients treated in monotherapy with roluperidone, placebo or antipsychotics. The FDA also stated that it would consider a resubmission of the NDA that included a double-blind, placebo- or active-controlled trial of roluperidone with a duration of at least 52 weeks with the efficacy primary endpoint at week 12.</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Subject to ongoing feedback from the FDA, the C19 trial is currently expected to be initiated, including first patient screened, in the second quarter of 2026. The trial is designed to enroll 380 patients, randomized on a 1:1 basis to receive either placebo or a double-blinded single daily 64 mg dose of roluperidone. The primary efficacy endpoint is expected to be the change from baseline in the PANSS Marder negative symptoms factor score (“NSFS”) at 12 weeks of treatment with roluperidone compared to placebo. Following the initial 12-week treatment period, patients are expected to enter a 40-week relapse assessment phase, during which patients will crossover to receive either a daily 64 mg dose of roluperidone or antipsychotics. The Company expects topline efficacy results in the second half of 2027 and relapse assessment data in the second half of 2028.</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the Company previously co-developed seltorexant with Janssen Pharmaceutica NV (“Janssen”), a subsidiary of Johnson &amp; Johnson, for the treatment of insomnia disorder and adjunctive treatment of Major Depressive Disorder (“MDD”). As a result of the Company’s collaboration with Janssen, it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cash payment and up to an additional $95 million in potential future milestone payments, subject to completion of Phase 3 trials by Janssen and regulatory approvals. To the Company’s knowledge, Janssen is currently recruiting patients under a Phase 3 trial with seltorexant.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December 31, 2025, the Company had an accumulated deficit of approximately $688.8 million and net cash used in operating activities was approximately $13.5 million during the year ended December 31, 2025. Management expects to continue to incur operating losses and negative cash flows from operations in the future. The Company has financed its operations to date from proceeds from the sale of convertible preferred stock, common stock, warrants, loans, convertible promissory notes, collaboration agreements and royalty sales.</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cash, cash equivalents, and restricted cash of $82.4 million. The Company believes that this amount will be sufficient to meet the Company’s operating commitments for at least twelve months from the date that its financial statements are issued. On October 23, 2025, the Company completed a private placement of preferred stock and warrants for up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ind w:right="60"/>
        <w:spacing w:after="0" w:line="261" w:lineRule="auto"/>
        <w:rPr>
          <w:sz w:val="20"/>
          <w:szCs w:val="20"/>
          <w:color w:val="auto"/>
        </w:rPr>
      </w:pPr>
      <w:r>
        <w:rPr>
          <w:rFonts w:ascii="Times New Roman" w:cs="Times New Roman" w:eastAsia="Times New Roman" w:hAnsi="Times New Roman"/>
          <w:sz w:val="18"/>
          <w:szCs w:val="18"/>
          <w:color w:val="auto"/>
        </w:rPr>
        <w:t>$200 million in gross proceeds, before deducting placement agent fees and other expenses, through a private placement that included an initial upfront funding of $80 million in gross proceeds in exchange for 80,000 shares of the Company’s Series A convertible preferred stock, and up to an additional $80 million in gross proceeds if all 80,000 Tranche A warrants are exercised, subject to the terms and conditions specified therein. Additional proceeds of $40 million may be received in connection with cash exercise of all 40,000 Tranche B warrants upon the achievement of a milestone event.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net proceeds of this private placement will be used to finance the confirmatory Phase 3 trial of roluperidone, preparation and resubmission of its NDA, the readiness of the commercial launch of roluperidone in the U.S., if approved, and for working capital and general corporate purposes.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are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(“GAAP”), and include all adjustments necessary for the fair presentation of the Company’s financial position for the periods presented. From its inception, the Company has devoted substantially all of its efforts to business planning, engaging regulatory, manufacturing and other technical consultants, planning and executing clinical trials and raising capital.</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7" w:name="page88"/>
    <w:bookmarkEnd w:id="8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December 31, 2025 and 2024.</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Deferred offering costs include certain legal, accounting and other costs directly attributable to the Company’s private placement of preferred stock and warrants, which closed on October 23, 2025. These amounts were offset against the proceeds of the placement. The Company did not have any deferred offering costs as of December 31, 2025 and 2024, as costs attributable to the Company’s private placement were reclassified and allocated between the Warrants and Preferred Stock.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conjunction with the issuance of Series A Preferred Stock and Preferred Tranche A and Tranche B Warrants, the Company established a warrant liability as of October 23, 2025, representing the fair value of the warrants issued, which was determined using a binomial valuation model. The Company accounts for these warrants as liabilities in accordance with Financial Accounting Standards Board (“FASB”) Accounting Standards Codification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due to the Fundamental Transaction provisions contained in both the Tranche A and Tranche B Warrants,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do not distinguish between transactions that are within the Company’s control and those that are not. Specifically, if, at any time while the warrants are outstanding, the Company shall enter into or be party to a Fundamental Transaction, then the Company (or the successor entity) shall purchase all outstanding warrants from the holders by paying to the holders cash in an amount equal to the Black Scholes Value of the remaining unexercised portion of each warrant on the effective date of such Fundamental Transaction. As such, the warrant liability was initially measured at fair value and is remeasured at fair value at each reporting date, with changes in fair value recognized in earnings. The warrant liability is measured using Level 3 inputs within the fair value hierarchy. See Note 7 for additional information regarding the warrant liability and related valuation assumptions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 See Note 8 for information on the Company’s performance-based restricted stock units (“PRSU”) grants.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8" w:name="page89"/>
    <w:bookmarkEnd w:id="8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(Loss) income per share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(loss) income per share is calculated by dividing the net (loss) income by the weighted average number of shares of common stock outstanding for the period. Diluted (loss) income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uses a recognition threshold and measurement attribute for the financial statement recognition and measurement of a tax position taken, or expected to be taken, in a tax return. The Company has elected to treat interest and penalties, to the extent they arise, as a component of income tax expense. There was no interest or penalties related to income taxes for the years ended December 31, 2025 or 2024. Income tax years beginning in 2022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capitalized software in accordance with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350-40”), which provides guidance for computer software developed or obtained for internal use. The Company is required to continually evaluate the stage of the implementation process to determine whether costs are expensed or capitalized. Costs incurred during the preliminary project phase or planning and research phase are expensed as incurred. Costs incurred during the development phase, such as material and direct services costs, compensation costs of employees associated with the development and interest cost, are capitalized as incurred. Costs incurred during the post-implementation or operation phase, such as training and maintenance costs, are expensed as incurred. In addition, costs incurred to modify existing software that result in additional functionality are capitalized as incurred. Capitalized costs are amortized over the expected useful life of the asset.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Implementation Costs Incurred in a Cloud Computing Arrangement That Is a Service Contract</w:t>
      </w:r>
      <w:r>
        <w:rPr>
          <w:rFonts w:ascii="Times New Roman" w:cs="Times New Roman" w:eastAsia="Times New Roman" w:hAnsi="Times New Roman"/>
          <w:sz w:val="18"/>
          <w:szCs w:val="18"/>
          <w:color w:val="auto"/>
        </w:rPr>
        <w:t>. This new guidance requires a customer in a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arrangement (i.e., hosting arrangement) that is a service contract to follow the internal-use software guidance in ASC 350-40 to determine which implementation costs to capitalize as assets or expense as incurred.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9" w:name="page90"/>
    <w:bookmarkEnd w:id="89"/>
    <w:p>
      <w:pPr>
        <w:ind w:right="920"/>
        <w:spacing w:after="0" w:line="282" w:lineRule="auto"/>
        <w:rPr>
          <w:sz w:val="20"/>
          <w:szCs w:val="20"/>
          <w:color w:val="auto"/>
        </w:rPr>
      </w:pPr>
      <w:r>
        <w:rPr>
          <w:rFonts w:ascii="Times New Roman" w:cs="Times New Roman" w:eastAsia="Times New Roman" w:hAnsi="Times New Roman"/>
          <w:sz w:val="18"/>
          <w:szCs w:val="18"/>
          <w:color w:val="auto"/>
        </w:rPr>
        <w:t>Also, capitalized implementation costs related to a hosting arrangement that is a service contract will be amortized over the term of the hosting arrangement, beginning when the module or component of the hosting arrangement is ready for its intended use.</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w:t>
      </w:r>
    </w:p>
    <w:p>
      <w:pPr>
        <w:spacing w:after="0" w:line="18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the Company has elected to account for the lease and non-lease components for leases, for classes of all underlying assets, and allocate all of the contract consideration to the lease component only.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December 31, 2025 and 2024.</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has a single reporting unit, which is the level that the goodwill impairment test is performed. There was no impairment of goodwill for the years ended December 31, 2025 and 2024. As of December 31, 2025, $14.9 million of goodwill was associated with a reporting unit with zero or negative carrying value. As the reporting unit had a positive fair value, there was no impairment associated with this reporting unit.</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0" w:name="page91"/>
    <w:bookmarkEnd w:id="90"/>
    <w:p>
      <w:pPr>
        <w:ind w:right="380"/>
        <w:spacing w:after="0" w:line="282" w:lineRule="auto"/>
        <w:rPr>
          <w:sz w:val="20"/>
          <w:szCs w:val="20"/>
          <w:color w:val="auto"/>
        </w:rPr>
      </w:pPr>
      <w:r>
        <w:rPr>
          <w:rFonts w:ascii="Times New Roman" w:cs="Times New Roman" w:eastAsia="Times New Roman" w:hAnsi="Times New Roman"/>
          <w:sz w:val="18"/>
          <w:szCs w:val="18"/>
          <w:color w:val="auto"/>
        </w:rPr>
        <w:t>measurement date. Fair value measurements may be classified based on the amount of subjectivity associated with the inputs to fair valuation of these assets and liabilities using the following three levels:</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as of December 31, 2025 and 2024, measured at fair value on a recurring basis and indicates the fair value hierarchy of the valuation techniques the Company utilized to determine such fair value:</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11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79,327,870</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79,327,870</w:t>
            </w:r>
          </w:p>
        </w:tc>
        <w:tc>
          <w:tcPr>
            <w:tcW w:w="146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171,464,575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171,464,575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3"/>
          </w:tcPr>
          <w:p>
            <w:pPr>
              <w:jc w:val="right"/>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11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19,574,213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19,574,213</w:t>
            </w:r>
          </w:p>
        </w:tc>
        <w:tc>
          <w:tcPr>
            <w:tcW w:w="146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restricted cash, accounts payable, accrued expenses, warrant liability and liabilities related to the sale of future royalties. The carrying amounts of cash and cash equivalents, restricted cash, accounts payable, and accrued expenses approximate fair value because of their short-term nature. See Note 7 for additional information regarding the warrant liability and related valuation assumptions. There was no warrant liability as of December 31, 2024.</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and up to an additional $95 million in potential milestone payments will also be recorded as a liability related to the sale of future royalties and amortized as interest expense over the estimated remaining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related to sale of future royalties and the related interest expense is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 payments are greater or less than previous estimates or the estimated timing of such payments is materially different than its previous estimates, the Company will recognize related non-cash interest expense or other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the sale of future royalties, please refer to Note 5, Sale of Future Royalties.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91" w:name="page92"/>
    <w:bookmarkEnd w:id="9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about which discrete financial information is available and regularly reviewed by the chief operating decision maker (“CODM”) in deciding how to allocate resources and in assessing performance. The Company’s CODM is the Chief Executive Officer. The CODM evaluates performance of the segments based on net income (loss). The CODM also reviews operating results and previously forecasted financial information to make decisions about allocating resources and assessing performance for the entire Company.</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into one operating and one reportable segment focused on the development and commercialization of proprietary product candidates to treat patients suffering from CNS diseases. The one operating segment is managed on a consolidated basis. The operating segment’s revenue would be generated from commercial sales or license agreements of the product candidates. However, none of the Company’s product candidates have been approved for commercialization and it has not received any revenue in connection with the sale or license of its product candidates. Furthermore, except for most of Asia, the Company has global commercialization rights for roluperidone.</w:t>
      </w:r>
    </w:p>
    <w:p>
      <w:pPr>
        <w:spacing w:after="0" w:line="18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The CODM does not evaluate operating segments using asset or liability information and therefore it is not disclosed. The following table summarizes the reportable segment’s financial information:</w:t>
      </w: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staff related expenses </w:t>
            </w:r>
            <w:r>
              <w:rPr>
                <w:rFonts w:ascii="Times New Roman" w:cs="Times New Roman" w:eastAsia="Times New Roman" w:hAnsi="Times New Roman"/>
                <w:sz w:val="24"/>
                <w:szCs w:val="24"/>
                <w:color w:val="auto"/>
                <w:vertAlign w:val="superscript"/>
              </w:rPr>
              <w:t>(1)</w:t>
            </w: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1,502,271</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2,246,565</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drug product material expenses and associated costs </w:t>
            </w:r>
            <w:r>
              <w:rPr>
                <w:rFonts w:ascii="Times New Roman" w:cs="Times New Roman" w:eastAsia="Times New Roman" w:hAnsi="Times New Roman"/>
                <w:sz w:val="24"/>
                <w:szCs w:val="24"/>
                <w:color w:val="auto"/>
                <w:vertAlign w:val="superscript"/>
              </w:rPr>
              <w:t>(2)</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3,298,851</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stock compensation expenses (non-cash)</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450,537</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staff related expenses </w:t>
            </w:r>
            <w:r>
              <w:rPr>
                <w:rFonts w:ascii="Times New Roman" w:cs="Times New Roman" w:eastAsia="Times New Roman" w:hAnsi="Times New Roman"/>
                <w:sz w:val="24"/>
                <w:szCs w:val="24"/>
                <w:color w:val="auto"/>
                <w:vertAlign w:val="superscript"/>
              </w:rPr>
              <w:t>(1)</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3,631,370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3,374,711</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stock compensation expenses (non-cash)</w:t>
            </w:r>
          </w:p>
        </w:tc>
        <w:tc>
          <w:tcPr>
            <w:tcW w:w="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874,988</w:t>
            </w:r>
          </w:p>
        </w:tc>
        <w:tc>
          <w:tcPr>
            <w:tcW w:w="120" w:type="dxa"/>
            <w:vAlign w:val="bottom"/>
          </w:tcPr>
          <w:p>
            <w:pPr>
              <w:spacing w:after="0"/>
              <w:rPr>
                <w:sz w:val="18"/>
                <w:szCs w:val="18"/>
                <w:color w:val="auto"/>
              </w:rPr>
            </w:pPr>
          </w:p>
        </w:tc>
      </w:tr>
      <w:tr>
        <w:trPr>
          <w:trHeight w:val="210"/>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6,532,991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10,245,652</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Other segment expense, net </w:t>
            </w:r>
            <w:r>
              <w:rPr>
                <w:rFonts w:ascii="Times New Roman" w:cs="Times New Roman" w:eastAsia="Times New Roman" w:hAnsi="Times New Roman"/>
                <w:sz w:val="24"/>
                <w:szCs w:val="24"/>
                <w:b w:val="1"/>
                <w:bCs w:val="1"/>
                <w:color w:val="auto"/>
                <w:vertAlign w:val="superscript"/>
              </w:rPr>
              <w:t>(3)</w:t>
            </w:r>
          </w:p>
        </w:tc>
        <w:tc>
          <w:tcPr>
            <w:tcW w:w="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8,569,979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11,602,734</w:t>
            </w:r>
          </w:p>
        </w:tc>
        <w:tc>
          <w:tcPr>
            <w:tcW w:w="120" w:type="dxa"/>
            <w:vAlign w:val="bottom"/>
          </w:tcPr>
          <w:p>
            <w:pPr>
              <w:spacing w:after="0"/>
              <w:rPr>
                <w:sz w:val="18"/>
                <w:szCs w:val="18"/>
                <w:color w:val="auto"/>
              </w:rPr>
            </w:pPr>
          </w:p>
        </w:tc>
      </w:tr>
      <w:tr>
        <w:trPr>
          <w:trHeight w:val="210"/>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15,102,970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21,848,386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(15,102,970)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(21,848,386)</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exchange losses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r>
      <w:tr>
        <w:trPr>
          <w:trHeight w:val="216"/>
        </w:trPr>
        <w:tc>
          <w:tcPr>
            <w:tcW w:w="6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income</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948,122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1,272,354</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(4,562,223)</w:t>
            </w:r>
          </w:p>
        </w:tc>
      </w:tr>
      <w:tr>
        <w:trPr>
          <w:trHeight w:val="216"/>
        </w:trPr>
        <w:tc>
          <w:tcPr>
            <w:tcW w:w="6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issuance of convertible preferred stock and warrants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(321,499,041)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Warrant issuance cost</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(3,102,649)</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45,389,916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(293,423,177)</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1,438,865</w:t>
            </w:r>
          </w:p>
        </w:tc>
        <w:tc>
          <w:tcPr>
            <w:tcW w:w="120" w:type="dxa"/>
            <w:vAlign w:val="bottom"/>
            <w:shd w:val="clear" w:color="auto" w:fill="CFF0FC"/>
          </w:tcPr>
          <w:p>
            <w:pPr>
              <w:spacing w:after="0"/>
              <w:rPr>
                <w:sz w:val="19"/>
                <w:szCs w:val="19"/>
                <w:color w:val="auto"/>
              </w:rPr>
            </w:pPr>
          </w:p>
        </w:tc>
      </w:tr>
      <w:tr>
        <w:trPr>
          <w:trHeight w:val="20"/>
        </w:trPr>
        <w:tc>
          <w:tcPr>
            <w:tcW w:w="6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-1413510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-1413510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40" w:hanging="358"/>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bonus, and fringe benefits are included in staff related expenses.</w:t>
      </w:r>
    </w:p>
    <w:p>
      <w:pPr>
        <w:spacing w:after="0" w:line="27"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Company’s drug substance validation campaign are included in drug product material expenses.</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consultant, audit, legal, C18 trial costs, and C19 trial preparation costs are included in other segment expense, net.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items of comprehensive (loss) income other than its net (loss) income for each period presented.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the Company as of the specified effective date.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 (Topic 280)</w:t>
      </w:r>
      <w:r>
        <w:rPr>
          <w:rFonts w:ascii="Times New Roman" w:cs="Times New Roman" w:eastAsia="Times New Roman" w:hAnsi="Times New Roman"/>
          <w:sz w:val="18"/>
          <w:szCs w:val="18"/>
          <w:color w:val="auto"/>
        </w:rPr>
        <w:t>. This ASU updates reportable segment disclosure requirements by requiring disclosures of significant reportable segment expenses that are regularly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2" w:name="page93"/>
    <w:bookmarkEnd w:id="92"/>
    <w:p>
      <w:pPr>
        <w:spacing w:after="0" w:line="258" w:lineRule="auto"/>
        <w:rPr>
          <w:sz w:val="20"/>
          <w:szCs w:val="20"/>
          <w:color w:val="auto"/>
        </w:rPr>
      </w:pPr>
      <w:r>
        <w:rPr>
          <w:rFonts w:ascii="Times New Roman" w:cs="Times New Roman" w:eastAsia="Times New Roman" w:hAnsi="Times New Roman"/>
          <w:sz w:val="18"/>
          <w:szCs w:val="18"/>
          <w:color w:val="auto"/>
        </w:rPr>
        <w:t xml:space="preserve">provided to the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We adopted this ASU retrospectively on December 31, 2024. Refer to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the inclusion of the new required disclosures.</w:t>
      </w:r>
    </w:p>
    <w:p>
      <w:pPr>
        <w:spacing w:after="0" w:line="18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income tax disclosure requirements, primarily related to the rate reconciliation and income taxes paid. The Company adopted ASU 2023-09 effective January 1, 2025. The adoption did not have a material impact on the Company’s consolidated financial statements, other than expanded disclosures.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requires public business entities to disclose detailed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types of expenses that are relevant to certain line items on the income statement. This update is effective for us for annual periods beginning in our fiscal year ending December 31, 2027, and interim periods beginning in the first quarter of our fiscal year ending December 31, 2028. Early adoption is permitted. We are currently evaluating the impact that this update will have on our financial statement disclosures.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ACCRUED EXPENSES AND OTHER LIABILITIES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1,013,200</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363,181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1,650,766</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NET (LOSS) INCOME PER SHARE OF COMMON STOCK</w:t>
            </w: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0" w:type="dxa"/>
            <w:vAlign w:val="bottom"/>
            <w:vMerge w:val="continue"/>
          </w:tcPr>
          <w:p>
            <w:pPr>
              <w:spacing w:after="0"/>
              <w:rPr>
                <w:sz w:val="24"/>
                <w:szCs w:val="24"/>
                <w:color w:val="auto"/>
              </w:rPr>
            </w:pPr>
          </w:p>
        </w:tc>
        <w:tc>
          <w:tcPr>
            <w:tcW w:w="5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-462280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-462280</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Basic (loss) income per share is calculated by dividing the net (loss) income by the weighted average number of shares of common stock outstanding. Diluted (loss) income per share is computed by dividing the net (loss) income by the weighted average number of shares of common stock outstanding, plus potential outstanding common stock for the period. Potential outstanding common stock includes stock options and warrants, but only to the extent that their inclusion is dilutive. Performance-based restricted stock units are excluded from the calculation of dilutive potential common shares until the performance conditions have been achieved on the basis of the assumption that the end of the reporting period was the end of the contingency period, if such issuable shares are dilutive.</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June 2023, in connection with a private placement, the Company issued and sold pre-funded warrants exercisable for an aggregate of 575,575 shares of common stock. The purchase price of the pre-funded warrants was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(loss) income per share as of December 31, 2025 and 2024.</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income per share for common stockholders:</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(293,423,177)</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1,438,865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7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8,463,581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7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8,463,581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7,573,763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ordinary share:</w:t>
            </w: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(34.67)</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(34.67)</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-882015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-882015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-590550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-590550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December 31, 2025 and 2024 have been excluded from the calculation of weighted average shares outstanding as their effect on the calculation of (loss) income per share is antidilutive:</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35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42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8,173,509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1,440,002</w:t>
            </w:r>
          </w:p>
        </w:tc>
        <w:tc>
          <w:tcPr>
            <w:tcW w:w="8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80" w:type="dxa"/>
            <w:vAlign w:val="bottom"/>
          </w:tcPr>
          <w:p>
            <w:pPr>
              <w:spacing w:after="0"/>
              <w:rPr>
                <w:sz w:val="18"/>
                <w:szCs w:val="18"/>
                <w:color w:val="auto"/>
              </w:rPr>
            </w:pPr>
          </w:p>
        </w:tc>
      </w:tr>
      <w:tr>
        <w:trPr>
          <w:trHeight w:val="164"/>
        </w:trPr>
        <w:tc>
          <w:tcPr>
            <w:tcW w:w="54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Common stock warrants</w:t>
            </w:r>
          </w:p>
        </w:tc>
        <w:tc>
          <w:tcPr>
            <w:tcW w:w="1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5,099</w:t>
            </w:r>
          </w:p>
        </w:tc>
        <w:tc>
          <w:tcPr>
            <w:tcW w:w="80" w:type="dxa"/>
            <w:vAlign w:val="bottom"/>
          </w:tcPr>
          <w:p>
            <w:pPr>
              <w:spacing w:after="0"/>
              <w:rPr>
                <w:sz w:val="14"/>
                <w:szCs w:val="14"/>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A preferred stock </w:t>
            </w:r>
            <w:r>
              <w:rPr>
                <w:rFonts w:ascii="Times New Roman" w:cs="Times New Roman" w:eastAsia="Times New Roman" w:hAnsi="Times New Roman"/>
                <w:sz w:val="24"/>
                <w:szCs w:val="24"/>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1,559,008</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54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Series A preferred stock warrants</w:t>
            </w:r>
            <w:r>
              <w:rPr>
                <w:rFonts w:ascii="Times New Roman" w:cs="Times New Roman" w:eastAsia="Times New Roman" w:hAnsi="Times New Roman"/>
                <w:sz w:val="24"/>
                <w:szCs w:val="24"/>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56,760,000</w:t>
            </w:r>
          </w:p>
        </w:tc>
        <w:tc>
          <w:tcPr>
            <w:tcW w:w="260" w:type="dxa"/>
            <w:vAlign w:val="bottom"/>
          </w:tcPr>
          <w:p>
            <w:pPr>
              <w:spacing w:after="0"/>
              <w:rPr>
                <w:sz w:val="23"/>
                <w:szCs w:val="23"/>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-410845</wp:posOffset>
            </wp:positionV>
            <wp:extent cx="570039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-136525</wp:posOffset>
            </wp:positionV>
            <wp:extent cx="570039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78" w:lineRule="exact"/>
        <w:rPr>
          <w:sz w:val="20"/>
          <w:szCs w:val="20"/>
          <w:color w:val="auto"/>
        </w:rPr>
      </w:pPr>
    </w:p>
    <w:p>
      <w:pPr>
        <w:ind w:left="1020" w:right="6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3,296 shares of Series A Preferred Stock remain outstanding, which are convertible into an aggregate of 1,559,008 shares of common stock, subject to the limitations on conversion set forth in the Certificate of Designation. See Note 6 for additional information regarding the Company’s Series A Preferred Stock. The Series A Preferred Shares are classified as temporary equity and excluded from the calculation of weighted average shares outstanding.</w:t>
      </w:r>
    </w:p>
    <w:p>
      <w:pPr>
        <w:spacing w:after="0" w:line="17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there were outstanding (i) Preferred Tranche A Warrants to purchase an aggregate of 80,000 shares of the Company’s Series A Preferred Stock, which are convertible into 37,840,000 shares of its common stock and (ii) Preferred Tranche B Warrants to purchase an aggregate of 40,000 shares of the Company’s Series A Preferred Stock, which are convertible into 18,920,000 shares of its common stock. Both the Tranche A Warrants and Tranche B Warrants are subject to the limitations on conversion set forth in the Certificate of Designation. See Note 6 for additional information regarding the Company’s Series A Preferred Stock and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co-development and license agreement (the “Janssen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Royalty Pharma has recourse against the Company relating to payments due from Janssen and therefore, the Company is deemed to have significant continuing involvement. The Company has applied the debt recognition guidance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recorded the upfront payment of $60 million on the balance sheet as a liability related to the sale of future royalties (the “Royalty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 record any amortized interest expense and future milestone payments received from Royalty Pharma as well. No amounts received, including the initial upfront payment, amortized interest expense or potential milestone payments, are repayable to Royalty Pharma if Janssen discontinues the clinical development of seltorexant or ceases to pursue its commercialization at a future date for any reason. In accordance with ASC 470, the Company will account for any royalties received in the future as non-cash royalty revenue.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4" w:name="page95"/>
    <w:bookmarkEnd w:id="94"/>
    <w:p>
      <w:pPr>
        <w:ind w:right="100"/>
        <w:spacing w:after="0" w:line="255"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expected life of the Janssen Agreement. The $60 million payment received from Royalty Pharma and any potential future milestone payments from Royalty Pharma are recorded as part of the Royalty Obligation. The difference between the total expected royalties receivable from Janssen and the upfront and milestone payments potentially receivable from Royalty Pharma is being amortized as non-cash interest expense over the estimated remaining life of the Janssen Agreement. To determine the amount of non-cash interest to be amortized, the Company is required to make assumptions for the total amount of future royalty payments to be received from Janssen. At execution, the Company’s estimate of this total non-cash interest expense resulted in an effective annual interest rate of approximately 10.5%.</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regularly evaluates the assumptions supporting future royalty estimates and, during the third quarter of 2024, noted that Janssen announced on clinicaltrials.gov a further Phase 3 study with seltorexant (MDD3003) that had an estimated study completion date in November 2027, later updated to December 2026, which is a modification of the assumption used in the Company’s original estimates. Study MDD3001, which evaluated the efficacy and safety of seltorexant as an adjunctive treatment to baseline antidepressants in adult and elderly patients with MDD with insomnia symptoms, met all primary and secondary endpoints. MDD3002 was stopped based on the interim analysis results as recommended by the Independent Data Monitoring Committee. Janssen reported on September 22, 2025 that the MDD3005 study, in which seltorexant was evaluated against quetiapine, did not show statistical significance on the primary endpoint. MDD3003 is a study of adjunctive treatment with seltorexant in adult and elderly participants with MDD and insomnia symptoms and is currently recruiting.</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result, the Company revised its estimates for the timing and amount of future royalty payments to be earned over the life of the Janssen Agreement, which is less than the original carrying value of the upfront payment received. Therefore, under the retrospective interest model, during the third quarter of 2024 the Company adjusted the Royalty Obligation to the initial upfront payment received of $60 million and recognized $26.6 million as a component of Other Income, representing the amount of amortized non-cash interest expense through June 30, 2024. In addition, the Company does not expect to recognize non-cash interest expense in the future related to the Royalty Obligation, as the effective annual interest rate is negative.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REDEEMABLE PREFERRED STOCK AND STOCKHOLDERS’ DEFICIT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Series A Preferred Stock and Warrants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October 21, 2025, the Company entered into a securities purchase agreement (the “Securities Purchase Agreement”) with certain accredited investors, pursuant to which the Company agreed to issue and sell, in a private placement (the “Private Placement”), (i) 80,000 shares of Series A Convertible Preferred Stock, par value $0.0001 per share (“Series A Preferred Stock”), at a purchase price of $1,000 per share, (ii) tranche A warrants (the “Preferred Tranche A Warrants”) to acquire shares of Series A Preferred Stock (the “Tranche A Warrant Shares”) and (iii) tranche B warrants (the “Preferred Tranche B Warrants,” together with the Preferred Tranche A Warrants, the “Preferred Warrants”) to acquire shares of Series A Preferred Stock for an aggregate offering price of up to $200 million. The Private Placement closed on October 23, 2025 (the “Closing Date”), pursuant to which the Company received aggregate gross proceeds of $80.0 million, before deducting placement agent fees, financial advisor fees, and other offering expenses. The Company incurred approximately $5.7 million in offering costs, including deferred issuance costs included in accounts payable and accrued expenses, resulting in net proceeds of approximately $74.3 million. Costs associated with the Preferred Warrants, which are classified as liabilities, are expensed as incurred. Costs attributable to the issuance of Series A Preferred Stock are recorded as a reduction of the carrying value of the Preferred Stock. On the Closing Date, the Company recorded a loss on issuance of convertible preferred stock and warrants of $321.5 million, reflecting the initial fair values of the Series A Preferred Stock of $184.6 million and the warrants of $216.9 million, offset by $80.0 million in gross proceeds received from investors. The value of the Series A Preferred Stock at issuance was determined based on the contractual conversion ratio multiplied by the closing price of the Company’s common stock on the Closing Date. See Note 7 for additional information regarding the warrant liability and related valuation assumptions.</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23, 2025, following the announcement of the stockholders’ approval of the issuance of common stock issuable upon conversion of the Series A Preferred Stock, the Company issued an aggregate of 36,280,992 shares of common stock upon the automatic conversion of an aggregate of 76,704 shares of Series A Preferred Stock in accordance with the terms set forth in the Certificate of Designation of Preferences, Rights and Limitations of the Series A Convertible Voting Preferred Stock (the “Certificate of Designation”). Immediately following such conversion, (i) there were 43,274,398 shares of common stock outstanding and (ii) an aggregate of 3,296 shares of Series A Preferred Stock remaining outstanding, which are convertible into an aggregate of 1,559,008 shares of common stock, subject to the limitations on conversion set forth in the Certificate of Designation. Each share of Series A Preferred Stock automatically converted into the number of shares of common stock at the conversion price of $2.11 per share, rounded down to the nearest whole share, subject to the terms and limitations contained in the Certificate of Designation, including that shares of Series A Preferred Stock shall not be convertible if the conversion would result in a holder beneficially owning more than 9.99% (the “Beneficial Ownership Limitation”) of the Company’s outstanding shares of common stock as of the applicable conversion date. By written notice to the Company, the holder may from time to time increase or decrease the Beneficial Ownership</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Limitation to any other percentage not in excess of 19.99% specified in such notice; provided, that any increase in the Beneficial Ownership Limitation will not be effective until the 61st day after such notice is delivered to the Company.</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Preferred Tranche A Warrant has an exercise price of $1,000 and may only be exercised for cash. The Preferred Tranche A Warrants are immediately exercisable upon issuance for an aggregate of 80,000 shares of Series A Preferred Stock for an aggregate cash exercise price of up to $80 million until the tenth day following the date of the Company’s public announcement that it has achieved, on a statistically significant basis, the primary endpoint of its Phase 3 confirmatory trial of roluperidone in schizophrenia at the 12-week timepoint (the “Milestone Event”).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Each Preferred Tranche B Warrant has an exercise price of $1,000 and may be exercised by a cashless exercise. The Preferred Tranche B Warrants are exercisable for an aggregate of 40,000 shares of Series A Preferred Stock for an aggregate cash exercise price of up to $40 million commencing on the earlier of (i) the Company’s public announcement of the Milestone Event and (ii) the three year anniversary of the Closing Date. The Preferred Tranche B Warrants will expire on the four (4)-year anniversary of the Closing Date.</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Preferred Warrants are subject to forfeiture in the event the applicable holder engages in any Short Sales (as defined in the Securities Purchase Agreement) involving the Company’s securities during the 48-months period following the Closing Date. In addition, the shares of common stock and/or Series A Preferred Stock, as applicable, underlying the Preferred Tranche B Warrants are subject to reduction if the applicable holder sells or transfers any shares of Series A Preferred Stock or shares of common stock received upon conversion of the Series A Preferred Stock before the Exercisability Date (as defined therein), except to affiliates for no consideration</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Certificate of Designation, no fractional shares or scrip representing fractional shares of common stock shall be issued upon the conversion of the Series A Preferred Stock. All fractional shares shall be rounded down to the nearest whole shares of common stock. Holders of Series A Preferred Stock are not entitled to receive any dividends except to the extent that dividends are paid on the Company’s common stock. If dividends are paid on shares of common stock, holders of Series A Preferred Stock are entitled to participate in such dividends on an as-converted basis. Upon the liquidation, dissolution, or winding up of the Company, each holder of Series A Preferred Stock will participate pari passu with any distribution of proceeds to holders of common stock. Holders of the Series A Preferred Stock are entitled to vote together with the holders of common stock on an as-if-converted basis on all matters submitted to a vote of stockholders.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the Company filed a registration statement on Form S-3 (File No. 333-292410), which was declared effective by the SEC on January 6, 2026, covering the resale of the Registrable Securities (as such term is defined in the Securities Purchase Agreement). The Company has agreed to take all steps necessary to keep such registration statement effective at all times until all Registrable Shares have been resold, or there remains no Registrable Shares.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Series A Preferred Stock</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Series A Preferred Stock was classified as temporary equity. Pursuant to the Certificate of Designation, in the event of any voluntary or involuntary liquidation, dissolution or winding up of the Company, including a change of control transaction, or Deemed Liquidation Event (any such event, a “Liquidation”), the assets of the Company available for distribution to its stockholders shall be distributed among the holders of the shares of Series A Preferred Stock and Common Stock, pro rata based on the number of shares held by each such holder, treating for this purpose all shares of Series A Preferred Stock as if they had been converted to Common Stock pursuant to the terms of the Certificate of Designation immediately prior to such Liquidation, without regard to any limitations on conversion set forth in the Certificate of Designation or otherwise. However, there will be no Liquidation Preference on the shares of Series A Preferred Stock.</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100,000,000 shares of preferred stock, $0.0001 par value per share. No preferred shares were issued or outstanding as of December 31, 2025 and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WARRANT LIABILITY</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conjunction with the issuance of Series A Preferred Stock and Preferred Tranche A and Tranche B Warrants (the “Warrants”) as described in Note 6, the Company established a warrant liability.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The Warrants meet the definition of freestanding instruments and are classified as liabilities in accordance with ASC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Warrants were initially recognized at fair value and are subject to remeasurement at each balance sheet date after issuance. Any change in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is recognized as a component of other income (expense) in the statements of operations in the period of change. For the years ended December 31, 2025 and 2024, the Company recognized a $45.4 million gain and no gain or loss, respectively, related to changes in the fair value of the warrant liability, which is included in other income (expense) in the statements of operations. As of December 31, 2025, none of the Warrants had been exercised.</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the warrants is estimated using a binomial 2-node model in combination with the Black-Scholes Option Pricing Model using unobservable (Level 3) inputs that reflect the Company’s own assumptions, as described in Note 2. The significant unobservable inputs include the expected timing of the Milestone Event, the probability of the Milestone Event being successfully achieved, and the value of the Series A Preferred Stock upon the success or failure of the Milestone Event. Significant increases (decreases) in any of the inputs in isolation would result in a significantly higher (lower)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valuation inputs used in the binomial model for the liability associated with the Warrants at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20" w:type="dxa"/>
            <w:vAlign w:val="bottom"/>
            <w:gridSpan w:val="5"/>
          </w:tcPr>
          <w:p>
            <w:pPr>
              <w:jc w:val="right"/>
              <w:ind w:right="1700"/>
              <w:spacing w:after="0"/>
              <w:rPr>
                <w:sz w:val="20"/>
                <w:szCs w:val="20"/>
                <w:color w:val="auto"/>
              </w:rPr>
            </w:pPr>
            <w:r>
              <w:rPr>
                <w:rFonts w:ascii="Times New Roman" w:cs="Times New Roman" w:eastAsia="Times New Roman" w:hAnsi="Times New Roman"/>
                <w:sz w:val="14"/>
                <w:szCs w:val="14"/>
                <w:b w:val="1"/>
                <w:bCs w:val="1"/>
                <w:color w:val="auto"/>
              </w:rPr>
              <w:t>Year Ended 12/31/2025</w:t>
            </w:r>
          </w:p>
        </w:tc>
      </w:tr>
      <w:tr>
        <w:trPr>
          <w:trHeight w:val="142"/>
        </w:trPr>
        <w:tc>
          <w:tcPr>
            <w:tcW w:w="66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Tranche A Warrants</w:t>
            </w:r>
          </w:p>
        </w:tc>
        <w:tc>
          <w:tcPr>
            <w:tcW w:w="2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Tranche B Warrants</w:t>
            </w:r>
          </w:p>
        </w:tc>
        <w:tc>
          <w:tcPr>
            <w:tcW w:w="180" w:type="dxa"/>
            <w:vAlign w:val="bottom"/>
          </w:tcPr>
          <w:p>
            <w:pPr>
              <w:spacing w:after="0"/>
              <w:rPr>
                <w:sz w:val="12"/>
                <w:szCs w:val="12"/>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Scenario 1: Milestone Successfully Achieved</w:t>
            </w:r>
          </w:p>
        </w:tc>
        <w:tc>
          <w:tcPr>
            <w:tcW w:w="22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8"/>
                <w:szCs w:val="18"/>
                <w:color w:val="auto"/>
              </w:rPr>
            </w:pPr>
          </w:p>
        </w:tc>
        <w:tc>
          <w:tcPr>
            <w:tcW w:w="2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period between valuation date and Milestone Event</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Risk-neutral probability of Milestone Event achievement</w:t>
            </w:r>
          </w:p>
        </w:tc>
        <w:tc>
          <w:tcPr>
            <w:tcW w:w="220" w:type="dxa"/>
            <w:vAlign w:val="bottom"/>
          </w:tcPr>
          <w:p>
            <w:pPr>
              <w:spacing w:after="0"/>
              <w:rPr>
                <w:sz w:val="18"/>
                <w:szCs w:val="18"/>
                <w:color w:val="auto"/>
              </w:rPr>
            </w:pPr>
          </w:p>
        </w:tc>
        <w:tc>
          <w:tcPr>
            <w:tcW w:w="2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49.00%</w:t>
            </w:r>
          </w:p>
        </w:tc>
        <w:tc>
          <w:tcPr>
            <w:tcW w:w="22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49.00%</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Probability-weighted present value of the Series A Preferred Warrants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1,360.60</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1,500.60</w:t>
            </w:r>
          </w:p>
        </w:tc>
        <w:tc>
          <w:tcPr>
            <w:tcW w:w="18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Scenario 2: Milestone Not Achieved</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Time period between valuation date and Milestone Event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Risk-neutral probability of Milestone Event achievement</w:t>
            </w:r>
          </w:p>
        </w:tc>
        <w:tc>
          <w:tcPr>
            <w:tcW w:w="2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51.00%</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51.00%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Probability-weighted present value of the Series A Preferred Warrants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4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80" w:type="dxa"/>
            <w:vAlign w:val="bottom"/>
          </w:tcPr>
          <w:p>
            <w:pPr>
              <w:spacing w:after="0"/>
              <w:rPr>
                <w:sz w:val="18"/>
                <w:szCs w:val="18"/>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Series A Warrants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1,382.20</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1,522.20</w:t>
            </w: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valuation inputs used in the binomial model for the liability associated with the Warrants at October 23, 2025, the issuance date: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1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Tranche A Warrants</w:t>
            </w:r>
          </w:p>
        </w:tc>
        <w:tc>
          <w:tcPr>
            <w:tcW w:w="240" w:type="dxa"/>
            <w:vAlign w:val="bottom"/>
          </w:tcPr>
          <w:p>
            <w:pPr>
              <w:spacing w:after="0"/>
              <w:rPr>
                <w:sz w:val="12"/>
                <w:szCs w:val="12"/>
                <w:color w:val="auto"/>
              </w:rPr>
            </w:pPr>
          </w:p>
        </w:tc>
        <w:tc>
          <w:tcPr>
            <w:tcW w:w="17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Tranche B Warrants</w:t>
            </w:r>
          </w:p>
        </w:tc>
        <w:tc>
          <w:tcPr>
            <w:tcW w:w="180" w:type="dxa"/>
            <w:vAlign w:val="bottom"/>
          </w:tcPr>
          <w:p>
            <w:pPr>
              <w:spacing w:after="0"/>
              <w:rPr>
                <w:sz w:val="12"/>
                <w:szCs w:val="12"/>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Scenario 1: Milestone Successfully Achieved</w:t>
            </w:r>
          </w:p>
        </w:tc>
        <w:tc>
          <w:tcPr>
            <w:tcW w:w="22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8"/>
                <w:szCs w:val="18"/>
                <w:color w:val="auto"/>
              </w:rPr>
            </w:pPr>
          </w:p>
        </w:tc>
        <w:tc>
          <w:tcPr>
            <w:tcW w:w="2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period between valuation date and Milestone Event</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Risk-neutral probability of Milestone Event achievement</w:t>
            </w:r>
          </w:p>
        </w:tc>
        <w:tc>
          <w:tcPr>
            <w:tcW w:w="220" w:type="dxa"/>
            <w:vAlign w:val="bottom"/>
          </w:tcPr>
          <w:p>
            <w:pPr>
              <w:spacing w:after="0"/>
              <w:rPr>
                <w:sz w:val="18"/>
                <w:szCs w:val="18"/>
                <w:color w:val="auto"/>
              </w:rPr>
            </w:pPr>
          </w:p>
        </w:tc>
        <w:tc>
          <w:tcPr>
            <w:tcW w:w="2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49.00%</w:t>
            </w:r>
          </w:p>
        </w:tc>
        <w:tc>
          <w:tcPr>
            <w:tcW w:w="24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49.00%</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Probability-weighted present value of the Series A Preferred Warrants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1,745.40</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1,854.50</w:t>
            </w:r>
          </w:p>
        </w:tc>
        <w:tc>
          <w:tcPr>
            <w:tcW w:w="18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Scenario 2: Milestone Not Achieved</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Time period between valuation date and Milestone Event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Risk-neutral probability of Milestone Event achievement</w:t>
            </w:r>
          </w:p>
        </w:tc>
        <w:tc>
          <w:tcPr>
            <w:tcW w:w="2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51.00%</w:t>
            </w:r>
          </w:p>
        </w:tc>
        <w:tc>
          <w:tcPr>
            <w:tcW w:w="2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51.00%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Probability-weighted present value of the Series A Preferred Warrants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4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80" w:type="dxa"/>
            <w:vAlign w:val="bottom"/>
          </w:tcPr>
          <w:p>
            <w:pPr>
              <w:spacing w:after="0"/>
              <w:rPr>
                <w:sz w:val="18"/>
                <w:szCs w:val="18"/>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Series A Warrants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1,770.70</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1,879.90</w:t>
            </w: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valuation inputs used in the Black-Scholes Option Pricing Model for the Warrants at December 31, 2025 and October 23, 2025, the issuance date: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16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At Issuance</w:t>
            </w:r>
          </w:p>
        </w:tc>
        <w:tc>
          <w:tcPr>
            <w:tcW w:w="1300" w:type="dxa"/>
            <w:vAlign w:val="bottom"/>
            <w:gridSpan w:val="2"/>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to expiration</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43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117.50%</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110.00%</w:t>
            </w: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tcPr>
          <w:p>
            <w:pPr>
              <w:spacing w:after="0"/>
              <w:rPr>
                <w:sz w:val="20"/>
                <w:szCs w:val="20"/>
                <w:color w:val="auto"/>
              </w:rPr>
            </w:pPr>
          </w:p>
        </w:tc>
      </w:tr>
      <w:tr>
        <w:trPr>
          <w:trHeight w:val="630"/>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40" w:type="dxa"/>
            <w:vAlign w:val="bottom"/>
            <w:gridSpan w:val="4"/>
          </w:tcPr>
          <w:p>
            <w:pPr>
              <w:ind w:left="1380"/>
              <w:spacing w:after="0"/>
              <w:rPr>
                <w:sz w:val="20"/>
                <w:szCs w:val="20"/>
                <w:color w:val="auto"/>
              </w:rPr>
            </w:pPr>
            <w:r>
              <w:rPr>
                <w:rFonts w:ascii="Times New Roman" w:cs="Times New Roman" w:eastAsia="Times New Roman" w:hAnsi="Times New Roman"/>
                <w:sz w:val="18"/>
                <w:szCs w:val="18"/>
                <w:color w:val="auto"/>
              </w:rPr>
              <w:t>F-18</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7" w:name="page98"/>
    <w:bookmarkEnd w:id="97"/>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the Tranche A Warrants and Tranche B Warrants to be $141.7 million and $75.2 million, respectively, as of the Closing Date, and $110.6 million and $60.9 million, respectively, as of December 31, 2025. The following table provides a summary of the Company’s warrant liability fair value estimates as of December 31, 2025, and the changes in Level 3 fair value measurements during the year ended December 31, 2025:</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January 1, 2025</w:t>
            </w: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(October 23, 2025)</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216,854,491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(45,389,916)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December 31, 2025</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171,464,575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-156845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$5.7 million in offering costs. $3.1 million of offering costs allocated to the Warrants are expensed as incurred. $2.6 million of offering costs attributable to the issuance of Series A Preferred Stock are recorded as a reduction of the carrying value of the Series A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 AWARD PLAN AND STOCK-BASED COMPENSATION</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 As of December 31, 2025, the total shares authorized for issuance under the Plan were 14,578,917.</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year ended December 31, 2025 is as follows:</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Terms (years)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1,487,234</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6,774,004</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(80,542)</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(7,187)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8,173,509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December 31, 2025</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869,908</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11.09</w:t>
            </w: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Available for future grant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5,856,800</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-333375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-316230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December 31, 2025 and 2024 was $4.07 per share and $6.17 per share, respectively. Total unrecognized compensation costs related to non-vested stock options at December 31, 2025 were approximately $25.0 million and are expected to be recognized within future operating results over a weighted-average period of 3.7 years. Generally, stock options are granted using exercise prices equal to the market price at the date of grant, vest over four years for employees and one year for directors, and are exercisable over a maximum period of 10 years from their grant dates.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98" w:name="page99"/>
    <w:bookmarkEnd w:id="98"/>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For stock options granted during the years ended December 31, 2025 and 2024, the Company utilized the following assumptions:</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8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3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- 6.26</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- 6.25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- 4.10%</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- 133%</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- 126%</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 during the period</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$3.63</w:t>
            </w:r>
          </w:p>
        </w:tc>
        <w:tc>
          <w:tcPr>
            <w:tcW w:w="1480" w:type="dxa"/>
            <w:vAlign w:val="bottom"/>
            <w:gridSpan w:val="3"/>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$1.88</w:t>
            </w: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Company used the pre-modification stock options for determining the compensation cost related to the PRSUs as the vesting conditions remain uncertain for the outstanding PRSUs. All expense related to the non-vested pre-modification stock options was fully recognized as of December 31, 2023.</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and the Company recognized approximately $0.2 million in non-cash compensation expense,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 The remaining PRSUs vest upon roluperidone receiving FDA marketing approval, provided that such approval occurs within five years after the August 6, 2021 grant date. As of December 31, 2025, 228,213 PRSUs have vested, 30,932 have been cancelled, and 217,495 remain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407,226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450,537</w:t>
            </w:r>
          </w:p>
        </w:tc>
        <w:tc>
          <w:tcPr>
            <w:tcW w:w="8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920,146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874,988</w:t>
            </w:r>
          </w:p>
        </w:tc>
        <w:tc>
          <w:tcPr>
            <w:tcW w:w="80" w:type="dxa"/>
            <w:vAlign w:val="bottom"/>
          </w:tcPr>
          <w:p>
            <w:pPr>
              <w:spacing w:after="0"/>
              <w:rPr>
                <w:sz w:val="18"/>
                <w:szCs w:val="18"/>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1,327,372</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1,325,525</w:t>
            </w:r>
          </w:p>
        </w:tc>
        <w:tc>
          <w:tcPr>
            <w:tcW w:w="80" w:type="dxa"/>
            <w:vAlign w:val="bottom"/>
            <w:shd w:val="clear" w:color="auto" w:fill="CFF0FC"/>
          </w:tcPr>
          <w:p>
            <w:pPr>
              <w:spacing w:after="0"/>
              <w:rPr>
                <w:sz w:val="19"/>
                <w:szCs w:val="19"/>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federal, foreign and state income taxes for the years ended December 31, 2025 and 2024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0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184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040" w:type="dxa"/>
            <w:vAlign w:val="bottom"/>
            <w:gridSpan w:val="2"/>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8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18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8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8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18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3580" w:type="dxa"/>
            <w:vAlign w:val="bottom"/>
            <w:tcBorders>
              <w:top w:val="single" w:sz="8" w:color="CFF0FC"/>
            </w:tcBorders>
          </w:tcPr>
          <w:p>
            <w:pPr>
              <w:spacing w:after="0"/>
              <w:rPr>
                <w:sz w:val="24"/>
                <w:szCs w:val="24"/>
                <w:color w:val="auto"/>
              </w:rPr>
            </w:pPr>
          </w:p>
        </w:tc>
        <w:tc>
          <w:tcPr>
            <w:tcW w:w="184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F-20</w:t>
            </w:r>
          </w:p>
        </w:tc>
        <w:tc>
          <w:tcPr>
            <w:tcW w:w="1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-933450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-916305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Net deferred tax assets (liabilities) as of December 31, 2025 and 2024 consist of the following:</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51,552,252</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42,922,972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20,650,502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25,269,520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8,969,653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8,860,595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start-up and license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1,916,533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2,464,112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 of royalties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16,392,000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16,392,000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99,670,683</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96,054,353</w:t>
            </w:r>
          </w:p>
        </w:tc>
        <w:tc>
          <w:tcPr>
            <w:tcW w:w="8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(99,670,683)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(96,054,353)</w:t>
            </w:r>
          </w:p>
        </w:tc>
      </w:tr>
      <w:tr>
        <w:trPr>
          <w:trHeight w:val="209"/>
        </w:trPr>
        <w:tc>
          <w:tcPr>
            <w:tcW w:w="20" w:type="dxa"/>
            <w:vAlign w:val="bottom"/>
          </w:tcPr>
          <w:p>
            <w:pPr>
              <w:spacing w:after="0"/>
              <w:rPr>
                <w:sz w:val="18"/>
                <w:szCs w:val="18"/>
                <w:color w:val="auto"/>
              </w:rPr>
            </w:pPr>
          </w:p>
        </w:tc>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-1028065</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-1028065</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-744855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-744855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Company’s effective tax rate and the federal statutory rate for the year ended December 31, 2025 is as follows:</w:t>
      </w:r>
    </w:p>
    <w:p>
      <w:pPr>
        <w:spacing w:after="0" w:line="5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142"/>
        </w:trPr>
        <w:tc>
          <w:tcPr>
            <w:tcW w:w="6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2"/>
                <w:szCs w:val="12"/>
                <w:color w:val="auto"/>
              </w:rPr>
            </w:pPr>
          </w:p>
        </w:tc>
      </w:tr>
      <w:tr>
        <w:trPr>
          <w:trHeight w:val="209"/>
        </w:trPr>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(61,618,867)</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State and local income taxes, net of federal income tax effect</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tax law or rates enacted in the current period</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2,734,909</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(0.93%)</w:t>
            </w:r>
          </w:p>
        </w:tc>
      </w:tr>
      <w:tr>
        <w:trPr>
          <w:trHeight w:val="216"/>
        </w:trPr>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58,634,473</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(19.98%)</w:t>
            </w:r>
          </w:p>
        </w:tc>
      </w:tr>
      <w:tr>
        <w:trPr>
          <w:trHeight w:val="216"/>
        </w:trPr>
        <w:tc>
          <w:tcPr>
            <w:tcW w:w="63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249,485</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63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6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1454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State taxes in Massachusetts made up the majority (greater than 50 percent) of the tax effect in this category.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Company’s effective tax rate and the federal statutory rate for the year ended December 31, 2024 is as follows:</w:t>
      </w:r>
    </w:p>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40" w:type="dxa"/>
            <w:vAlign w:val="bottom"/>
          </w:tcPr>
          <w:p>
            <w:pPr>
              <w:spacing w:after="0"/>
              <w:rPr>
                <w:sz w:val="13"/>
                <w:szCs w:val="13"/>
                <w:color w:val="auto"/>
              </w:rPr>
            </w:pP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2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14.99%</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(35.99%)</w:t>
            </w:r>
          </w:p>
        </w:tc>
      </w:tr>
      <w:tr>
        <w:trPr>
          <w:trHeight w:val="20"/>
        </w:trPr>
        <w:tc>
          <w:tcPr>
            <w:tcW w:w="60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-25400</wp:posOffset>
            </wp:positionV>
            <wp:extent cx="1454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1454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losses and the uncertainty of future taxable income over the periods which the Company will realize</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100" w:name="page101"/>
    <w:bookmarkEnd w:id="100"/>
    <w:p>
      <w:pPr>
        <w:ind w:right="60"/>
        <w:spacing w:after="0" w:line="266" w:lineRule="auto"/>
        <w:rPr>
          <w:sz w:val="20"/>
          <w:szCs w:val="20"/>
          <w:color w:val="auto"/>
        </w:rPr>
      </w:pPr>
      <w:r>
        <w:rPr>
          <w:rFonts w:ascii="Times New Roman" w:cs="Times New Roman" w:eastAsia="Times New Roman" w:hAnsi="Times New Roman"/>
          <w:sz w:val="18"/>
          <w:szCs w:val="18"/>
          <w:color w:val="auto"/>
        </w:rPr>
        <w:t>the benefits of its net deferred tax assets, management believes it is more likely than not that the Company will not realize the benefits on the balance of its net deferred tax asset and, accordingly, the Company has established a full valuation allowance on its net deferred tax assets. The valuation allowance increased by approximately $3.6 million and decreased by approximately $0.8 million during the years ended December 31, 2025 and 2024, respectively.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approximately $188.2 million of federal net operating losses that will begin to expire in 2036, if not utilized. Of the total federal net operating loss, approximately $166.8 million has an unlimited carryforward and therefore will not expire. As of December 31, 2025, the Company had approximately $7.7 million of New Jersey and approximately $180.4 million of Massachusetts operating losses that will begin to expire in 2029 and 2037, respectively, if not utilized. As of December 31, 2025, the Company had approximately $0.1 million of federal research and development credits that will begin to expire in 2027, if not utilized.</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2022 to present.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no liability recorded for unrecognized tax benefit. The Company classifies penalties and interest expense related to income tax liabilities as an income tax expense. There were no interest and penalties recognized in the statements of operations for the years ended December 31, 2025 and 2024, or accrued on the balance sheets as of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no cash for income taxes for the years ended December 31, 2025 and 2024.</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or the “Act” ) was enacted into law in the United States. The Act includes, among other provisions, changes to bonus depreciation rules, the treatment of research and experimental expenditures under Section 174A, limitations on the deductibility of interest under Section 163(j), and modifications to certain international tax regimes. The Company is required to account for the effects of changes in tax law in the period that includes the enactment date. Accordingly, during the year ended December 31, 2025, the Company remeasured its U.S. deferred tax assets and liabilities and corresponding valuation allowances to reflect the tax law changes under OBBBA. The net impact of the remeasurement was insignificant to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office space located at 1500 District Avenue, Burlington, MA 01803. In September 2025, the Company amended its month-to-month lease agreement to reduce the rentable office space. In January 2026, the Company renewed the month-to-month lease agreement commencing on February 1, 2026, with a monthly payment of $1,223. The Company has elected to not recognize the lease agreement on the balance sheet as the term of the agreement is 12 months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Dr. Inderjit Kaul</w:t>
      </w:r>
    </w:p>
    <w:p>
      <w:pPr>
        <w:spacing w:after="0" w:line="22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On November 14, 2025, the Company entered into a consulting agreement (the “Consulting Agreement”) with Dr. Inderjit Kaul, one of its directors. Pursuant to the Consulting Agreement, Dr. Kaul will, among other things, assist with the Company’s clinical trial workstreams and other related services upon request of its Chief Executive Officer. Pursuant to the terms and conditions of the Consulting Agreement, Dr. Kaul will provide services for approximately 25 to 30 hours per month at a rate of $450 per hour during a six-month initial term, with the option to renew for additional six-month periods unless terminated earlier by either party with 30 days’ notice. Immediate termination by the Company is permitted for material breach. The termination of the Consulting Agreement will not automatically affect Dr. Kaul’s board service or his eligibility (if any as of the time of such termination) to receive compensation for his board services pursuant to the Company’s Amended Director Compensation Plan as in effect from time to time.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1" w:name="page102"/>
    <w:bookmarkEnd w:id="101"/>
    <w:p>
      <w:pPr>
        <w:spacing w:after="0" w:line="253" w:lineRule="auto"/>
        <w:rPr>
          <w:sz w:val="20"/>
          <w:szCs w:val="20"/>
          <w:color w:val="auto"/>
        </w:rPr>
      </w:pPr>
      <w:r>
        <w:rPr>
          <w:rFonts w:ascii="Times New Roman" w:cs="Times New Roman" w:eastAsia="Times New Roman" w:hAnsi="Times New Roman"/>
          <w:sz w:val="18"/>
          <w:szCs w:val="18"/>
          <w:color w:val="auto"/>
        </w:rPr>
        <w:t>Additionally, under the Consulting Agreement, the Company agreed to grant Dr. Kaul an option to purchase a number of shares of its common stock representing (when added to the number of shares of its common stock subject to any equity awards granted to Dr. Kaul pursuant to the Amended Director Compensation Plan as in effect from time to time) 0.7% of the Share Total (as defined in the Consulting Agreement) as of the date of grant (the “Consultant Option”). Twenty-five percent (25%) of the Consultant Option shall vest after the completion of one year of continuous service; an additional forty-five percent (45%) of the Consultant Option shall vest on the tenth day following the date of the Company’s public announcement that it has achieved, on a statistically significant basis, the primary endpoint of its Phase 3 confirmatory trial of roluperidone in schizophrenia at the 12-week timepoint; and the remaining thirty percent (30%) of the Consultant Option shall vest on the tenth day following the date of the Company’s public announcement of its safety data from the 40-week relapse assessment phase; provided, however, in each case, that Dr. Kaul is providing services pursuant to the Consulting Agreement on each such vesting date. Pursuant to the Consulting Agreement, the Company granted a Consultant Option to Dr. Kaul comprising of 364,504 shares on December 22, 2025. Additionally, during the period Dr. Kaul is providing services under the Consulting Agreement, the Company agreed to use reasonable efforts to grant him, on no greater than a quarterly basis, top up options (if any) to enable him to hold 0.7% of the Share Total (as adjusted for certain events) as of the applicable date of grant (when added to the number of shares of our common stock subject to any equity awards granted to Dr. Kaul pursuant to the Amended Director Compensation Plan and prior awards granted to him pursuant to the Consulting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December 31, 2025. Based on the evaluation of our disclosure controls and procedures as of December 31, 2025,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2025,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as of December 31, 2025, our internal control over financial reporting was effective based on those criteria.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the Securities and Exchange Commission adopted amendments to the accelerated filer and large accelerated filer definitions on March 12, 2020. Following the adoption of the amendments, smaller reporting companies with less than $100 million in revenues will continue to be required to establish and maintain effective internal control over financial reporting (“ICFR”) but will no longer be required to obtain a separate attestation of their ICFR from an outside auditor.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Rules 13a-15(f) and 15d-15(f) promulgated under the Exchange Act, during the fourth quarter that would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will be contained in the sections entitled “Election of Directors,” “Information Regarding the Board and Corporate Governance,” “Executive Officers” and “Delinquent Section 16(a) Reports” appearing in the definitive proxy statement we will file in connection with our 2026 Annual Meeting of Stockholders and is incorporated by reference herein.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officers, directors and employees, and have posted the text of the policy on our website (http://ir.minervaneurosciences.com/corporate-governance). In addition, we intend to promptly disclose on our website in the future (i) the date and nature of any amendment (other than technical, administrative or other non-substantive amendments) to the policy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policy that is granted to one of these specified individuals that relates to one or more of the elements of the code of ethics definition enumerated in Item 406(b) of Regulation S-K, the name of such person who is granted the waiver and the date of the waiver.</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and/or other dispositions of our securities by directors, officers and employees. In addition, it is our intent to comply with the applicable laws and regulations relating to insider trading.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contained in the sections entitled “Executive Compensation” and “Director Compensation” appearing in the definitive proxy statement we will file in connection with our 2026 Annual Meeting of Stockholders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contained in the sections entitled “Security Ownership of Certain Beneficial Owners and Management” and “Equity Compensation Plan Information” appearing in the definitive proxy statement we will file in connection with our 2026 Annual Meeting of Stockholders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Person Transactions, and Director Independence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be contained in the sections entitled “Transactions with Related Persons Related Person Transactions Policy and Procedures” appearing in the definitive proxy statement we will file in connection with our 2026 Annual Meeting of Stockholders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14 will be contained in the section entitled “Principal Accountant Fees and Services” appearing in the definitive proxy statement we will file in connection with our 2026 Annual Meeting of Stockholders and is incorporated by reference herein.</w:t>
      </w: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4" w:name="page105"/>
    <w:bookmarkEnd w:id="104"/>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Form 10-K.</w:t>
      </w:r>
    </w:p>
    <w:p>
      <w:pPr>
        <w:spacing w:after="0" w:line="117" w:lineRule="exact"/>
        <w:rPr>
          <w:rFonts w:ascii="Times New Roman" w:cs="Times New Roman" w:eastAsia="Times New Roman" w:hAnsi="Times New Roman"/>
          <w:sz w:val="18"/>
          <w:szCs w:val="18"/>
          <w:color w:val="auto"/>
        </w:rPr>
      </w:pPr>
    </w:p>
    <w:p>
      <w:pPr>
        <w:ind w:left="560" w:hanging="297"/>
        <w:spacing w:after="0"/>
        <w:tabs>
          <w:tab w:leader="none" w:pos="5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and 2024</w:t>
      </w:r>
    </w:p>
    <w:p>
      <w:pPr>
        <w:spacing w:after="0" w:line="117" w:lineRule="exact"/>
        <w:rPr>
          <w:sz w:val="20"/>
          <w:szCs w:val="20"/>
          <w:color w:val="auto"/>
        </w:rPr>
      </w:pPr>
    </w:p>
    <w:p>
      <w:pPr>
        <w:ind w:left="520"/>
        <w:spacing w:after="0" w:line="375" w:lineRule="auto"/>
        <w:rPr>
          <w:sz w:val="20"/>
          <w:szCs w:val="20"/>
          <w:color w:val="auto"/>
        </w:rPr>
      </w:pPr>
      <w:r>
        <w:rPr>
          <w:rFonts w:ascii="Times New Roman" w:cs="Times New Roman" w:eastAsia="Times New Roman" w:hAnsi="Times New Roman"/>
          <w:sz w:val="18"/>
          <w:szCs w:val="18"/>
          <w:color w:val="auto"/>
        </w:rPr>
        <w:t>Consolidated Statements of Redeemable Preferred Stock and Stockholders’ Deficit for the Years Ended December 31, 2025 and 2024 Consolidated Statements of Cash Flows for the Years Ended December 31, 2025 and 2024 Notes to Consolidated Financial Statements</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 Schedules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Schedules have been omitted as all required information has been disclosed in the financial statements and related footnotes.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 Exhibits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20" w:top="981" w:right="14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 or are incorporated herein by reference.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gridSpan w:val="2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28"/>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2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Amended and Restated Certificate of Incorporation of the</w:t>
              </w:r>
            </w:hyperlink>
          </w:p>
        </w:tc>
        <w:tc>
          <w:tcPr>
            <w:tcW w:w="1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7"/>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Registrant</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8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Certificate of Amendment to Amended and Restated</w:t>
              </w:r>
            </w:hyperlink>
          </w:p>
        </w:tc>
        <w:tc>
          <w:tcPr>
            <w:tcW w:w="48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7"/>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Certificate of Incorporation of the Registrant</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38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Certificate of Amendment to Amended and Restated</w:t>
              </w:r>
            </w:hyperlink>
          </w:p>
        </w:tc>
        <w:tc>
          <w:tcPr>
            <w:tcW w:w="48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333-292410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23, 2025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7"/>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Certificate of Incorporation of the Registrant</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35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Amended and Restated Bylaws of the Registrant</w:t>
              </w:r>
            </w:hyperlink>
          </w:p>
        </w:tc>
        <w:tc>
          <w:tcPr>
            <w:tcW w:w="20" w:type="dxa"/>
            <w:vAlign w:val="bottom"/>
            <w:tcBorders>
              <w:bottom w:val="single" w:sz="8" w:color="0000EE"/>
            </w:tcBorders>
          </w:tcPr>
          <w:p>
            <w:pPr>
              <w:spacing w:after="0"/>
              <w:rPr>
                <w:sz w:val="24"/>
                <w:szCs w:val="24"/>
                <w:color w:val="auto"/>
              </w:rPr>
            </w:pPr>
          </w:p>
        </w:tc>
        <w:tc>
          <w:tcPr>
            <w:tcW w:w="80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2019</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38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Certificate of Designation of Preferences, Rights and</w:t>
              </w:r>
            </w:hyperlink>
          </w:p>
        </w:tc>
        <w:tc>
          <w:tcPr>
            <w:tcW w:w="46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Limitations of the Series A Convertible Voting Preferred</w:t>
              </w:r>
            </w:hyperlink>
          </w:p>
        </w:tc>
        <w:tc>
          <w:tcPr>
            <w:tcW w:w="16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26">
              <w:r>
                <w:rPr>
                  <w:rFonts w:ascii="Times New Roman" w:cs="Times New Roman" w:eastAsia="Times New Roman" w:hAnsi="Times New Roman"/>
                  <w:sz w:val="18"/>
                  <w:szCs w:val="18"/>
                  <w:color w:val="0000FF"/>
                  <w:w w:val="97"/>
                </w:rPr>
                <w:t>Stock</w:t>
              </w:r>
            </w:hyperlink>
          </w:p>
        </w:tc>
        <w:tc>
          <w:tcPr>
            <w:tcW w:w="40" w:type="dxa"/>
            <w:vAlign w:val="bottom"/>
            <w:tcBorders>
              <w:bottom w:val="single" w:sz="8" w:color="0000EE"/>
            </w:tcBorders>
          </w:tcPr>
          <w:p>
            <w:pPr>
              <w:spacing w:after="0"/>
              <w:rPr>
                <w:sz w:val="17"/>
                <w:szCs w:val="17"/>
                <w:color w:val="auto"/>
              </w:rPr>
            </w:pPr>
          </w:p>
        </w:tc>
        <w:tc>
          <w:tcPr>
            <w:tcW w:w="3860" w:type="dxa"/>
            <w:vAlign w:val="bottom"/>
            <w:gridSpan w:val="34"/>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4320" w:type="dxa"/>
            <w:vAlign w:val="bottom"/>
            <w:gridSpan w:val="37"/>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of Common Stock Certificate of the Registrant</w:t>
              </w:r>
            </w:hyperlink>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432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rPr>
              <w:t>Description of Securities Registered Pursuant to Section 12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of the Securities Exchange Act of 1934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78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Preferred Tranche A Warrant</w:t>
              </w:r>
            </w:hyperlink>
          </w:p>
        </w:tc>
        <w:tc>
          <w:tcPr>
            <w:tcW w:w="40" w:type="dxa"/>
            <w:vAlign w:val="bottom"/>
            <w:tcBorders>
              <w:top w:val="single" w:sz="8" w:color="0000FF"/>
            </w:tcBorders>
          </w:tcPr>
          <w:p>
            <w:pPr>
              <w:spacing w:after="0"/>
              <w:rPr>
                <w:sz w:val="24"/>
                <w:szCs w:val="24"/>
                <w:color w:val="auto"/>
              </w:rPr>
            </w:pPr>
          </w:p>
        </w:tc>
        <w:tc>
          <w:tcPr>
            <w:tcW w:w="1500" w:type="dxa"/>
            <w:vAlign w:val="bottom"/>
            <w:gridSpan w:val="21"/>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Form of Preferred Tranche B Warrant</w:t>
              </w:r>
            </w:hyperlink>
          </w:p>
        </w:tc>
        <w:tc>
          <w:tcPr>
            <w:tcW w:w="20" w:type="dxa"/>
            <w:vAlign w:val="bottom"/>
            <w:tcBorders>
              <w:bottom w:val="single" w:sz="8" w:color="0000EE"/>
            </w:tcBorders>
          </w:tcPr>
          <w:p>
            <w:pPr>
              <w:spacing w:after="0"/>
              <w:rPr>
                <w:sz w:val="24"/>
                <w:szCs w:val="24"/>
                <w:color w:val="auto"/>
              </w:rPr>
            </w:pPr>
          </w:p>
        </w:tc>
        <w:tc>
          <w:tcPr>
            <w:tcW w:w="1560" w:type="dxa"/>
            <w:vAlign w:val="bottom"/>
            <w:gridSpan w:val="23"/>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320" w:type="dxa"/>
            <w:vAlign w:val="bottom"/>
            <w:gridSpan w:val="37"/>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Share Purchase Agreement between the Registrant, Mind-</w:t>
              </w:r>
            </w:hyperlink>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top w:val="single" w:sz="8" w:color="0000FF"/>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NRG SA and Various Shareholders dated as of February</w:t>
              </w:r>
            </w:hyperlink>
          </w:p>
        </w:tc>
        <w:tc>
          <w:tcPr>
            <w:tcW w:w="60" w:type="dxa"/>
            <w:vAlign w:val="bottom"/>
            <w:tcBorders>
              <w:top w:val="single" w:sz="8" w:color="0000FF"/>
            </w:tcBorders>
            <w:gridSpan w:val="3"/>
          </w:tcPr>
          <w:p>
            <w:pPr>
              <w:spacing w:after="0"/>
              <w:rPr>
                <w:sz w:val="17"/>
                <w:szCs w:val="17"/>
                <w:color w:val="auto"/>
              </w:rPr>
            </w:pPr>
          </w:p>
        </w:tc>
        <w:tc>
          <w:tcPr>
            <w:tcW w:w="1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11, 2014</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3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Form of Indemnification Agreement between the Registrant</w:t>
              </w:r>
            </w:hyperlink>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7"/>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and each of its directors and executive officers</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35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License Agreement between Mitsubishi Pharma</w:t>
              </w:r>
            </w:hyperlink>
          </w:p>
        </w:tc>
        <w:tc>
          <w:tcPr>
            <w:tcW w:w="80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Corporation and the Registrant f/k/a Cyrenaic</w:t>
              </w:r>
            </w:hyperlink>
          </w:p>
        </w:tc>
        <w:tc>
          <w:tcPr>
            <w:tcW w:w="96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Pharmaceuticals, Inc., dated as of August 30, 2007</w:t>
              </w:r>
            </w:hyperlink>
          </w:p>
        </w:tc>
        <w:tc>
          <w:tcPr>
            <w:tcW w:w="20" w:type="dxa"/>
            <w:vAlign w:val="bottom"/>
            <w:tcBorders>
              <w:bottom w:val="single" w:sz="8" w:color="0000EE"/>
            </w:tcBorders>
          </w:tcPr>
          <w:p>
            <w:pPr>
              <w:spacing w:after="0"/>
              <w:rPr>
                <w:sz w:val="17"/>
                <w:szCs w:val="17"/>
                <w:color w:val="auto"/>
              </w:rPr>
            </w:pPr>
          </w:p>
        </w:tc>
        <w:tc>
          <w:tcPr>
            <w:tcW w:w="64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0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Amendment to License Agreement between Mitsubishi</w:t>
              </w:r>
            </w:hyperlink>
          </w:p>
        </w:tc>
        <w:tc>
          <w:tcPr>
            <w:tcW w:w="30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Tanabe Pharma Corporation and the Registrant f/k/a</w:t>
              </w:r>
            </w:hyperlink>
          </w:p>
        </w:tc>
        <w:tc>
          <w:tcPr>
            <w:tcW w:w="50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Cyrenaic Pharmaceuticals, Inc., dated as of June 16, 2011</w:t>
              </w:r>
            </w:hyperlink>
          </w:p>
        </w:tc>
        <w:tc>
          <w:tcPr>
            <w:tcW w:w="16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38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Second Amendment to License Agreement between</w:t>
              </w:r>
            </w:hyperlink>
          </w:p>
        </w:tc>
        <w:tc>
          <w:tcPr>
            <w:tcW w:w="500" w:type="dxa"/>
            <w:vAlign w:val="bottom"/>
            <w:gridSpan w:val="13"/>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Mitsubishi Tanabe Pharma Corporation and the Registrant,</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dated as of January 20, 2014</w:t>
              </w:r>
            </w:hyperlink>
          </w:p>
        </w:tc>
        <w:tc>
          <w:tcPr>
            <w:tcW w:w="2260" w:type="dxa"/>
            <w:vAlign w:val="bottom"/>
            <w:gridSpan w:val="25"/>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40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License Agreement between Mitsubishi Tanabe Pharma</w:t>
              </w:r>
            </w:hyperlink>
          </w:p>
        </w:tc>
        <w:tc>
          <w:tcPr>
            <w:tcW w:w="2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Corporation and the Registrant as successor in interest to</w:t>
              </w:r>
            </w:hyperlink>
          </w:p>
        </w:tc>
        <w:tc>
          <w:tcPr>
            <w:tcW w:w="18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Sonkei Pharmaceuticals, Inc., dated as of September 1,</w:t>
              </w:r>
            </w:hyperlink>
          </w:p>
        </w:tc>
        <w:tc>
          <w:tcPr>
            <w:tcW w:w="32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35">
              <w:r>
                <w:rPr>
                  <w:rFonts w:ascii="Times New Roman" w:cs="Times New Roman" w:eastAsia="Times New Roman" w:hAnsi="Times New Roman"/>
                  <w:sz w:val="18"/>
                  <w:szCs w:val="18"/>
                  <w:color w:val="0000FF"/>
                  <w:w w:val="94"/>
                </w:rPr>
                <w:t>2008</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40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Amendment to License Agreement between Mitsubishi</w:t>
              </w:r>
            </w:hyperlink>
          </w:p>
        </w:tc>
        <w:tc>
          <w:tcPr>
            <w:tcW w:w="30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Tanabe Pharma Corporation and the Registrant, dated as of</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236">
              <w:r>
                <w:rPr>
                  <w:rFonts w:ascii="Times New Roman" w:cs="Times New Roman" w:eastAsia="Times New Roman" w:hAnsi="Times New Roman"/>
                  <w:sz w:val="18"/>
                  <w:szCs w:val="18"/>
                  <w:color w:val="0000FF"/>
                  <w:w w:val="98"/>
                </w:rPr>
                <w:t>January 20, 2014</w:t>
              </w:r>
            </w:hyperlink>
          </w:p>
        </w:tc>
        <w:tc>
          <w:tcPr>
            <w:tcW w:w="20" w:type="dxa"/>
            <w:vAlign w:val="bottom"/>
            <w:tcBorders>
              <w:bottom w:val="single" w:sz="8" w:color="0000EE"/>
            </w:tcBorders>
          </w:tcPr>
          <w:p>
            <w:pPr>
              <w:spacing w:after="0"/>
              <w:rPr>
                <w:sz w:val="17"/>
                <w:szCs w:val="17"/>
                <w:color w:val="auto"/>
              </w:rPr>
            </w:pPr>
          </w:p>
        </w:tc>
        <w:tc>
          <w:tcPr>
            <w:tcW w:w="3060" w:type="dxa"/>
            <w:vAlign w:val="bottom"/>
            <w:gridSpan w:val="30"/>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42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Co-Development and License Agreement between Janssen</w:t>
              </w:r>
            </w:hyperlink>
          </w:p>
        </w:tc>
        <w:tc>
          <w:tcPr>
            <w:tcW w:w="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Pharmaceutica, N.V. and the Registrant, dated as of</w:t>
              </w:r>
            </w:hyperlink>
          </w:p>
        </w:tc>
        <w:tc>
          <w:tcPr>
            <w:tcW w:w="56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7"/>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February 13, 2014</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38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Second Amendment to License Agreement between</w:t>
              </w:r>
            </w:hyperlink>
          </w:p>
        </w:tc>
        <w:tc>
          <w:tcPr>
            <w:tcW w:w="500" w:type="dxa"/>
            <w:vAlign w:val="bottom"/>
            <w:gridSpan w:val="13"/>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2015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Mitsubishi Tanabe Pharma Corporation and the Registrant,</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238">
              <w:r>
                <w:rPr>
                  <w:rFonts w:ascii="Times New Roman" w:cs="Times New Roman" w:eastAsia="Times New Roman" w:hAnsi="Times New Roman"/>
                  <w:sz w:val="18"/>
                  <w:szCs w:val="18"/>
                  <w:color w:val="0000FF"/>
                  <w:w w:val="98"/>
                </w:rPr>
                <w:t>dated as of April 21, 2015</w:t>
              </w:r>
            </w:hyperlink>
          </w:p>
        </w:tc>
        <w:tc>
          <w:tcPr>
            <w:tcW w:w="20" w:type="dxa"/>
            <w:vAlign w:val="bottom"/>
            <w:tcBorders>
              <w:bottom w:val="single" w:sz="8" w:color="0000EE"/>
            </w:tcBorders>
          </w:tcPr>
          <w:p>
            <w:pPr>
              <w:spacing w:after="0"/>
              <w:rPr>
                <w:sz w:val="17"/>
                <w:szCs w:val="17"/>
                <w:color w:val="auto"/>
              </w:rPr>
            </w:pPr>
          </w:p>
        </w:tc>
        <w:tc>
          <w:tcPr>
            <w:tcW w:w="2420" w:type="dxa"/>
            <w:vAlign w:val="bottom"/>
            <w:gridSpan w:val="26"/>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35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Amended and Restated Non-Employee Director</w:t>
            </w:r>
          </w:p>
        </w:tc>
        <w:tc>
          <w:tcPr>
            <w:tcW w:w="80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Compensation Plan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60" w:type="dxa"/>
            <w:vAlign w:val="bottom"/>
            <w:gridSpan w:val="3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1"/>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41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Employment Agreement, dated as of August 1, 2016,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4, 2016</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5"/>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and between Mind-NRG SARL and Dr. Remy Luthringer</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4120" w:type="dxa"/>
            <w:vAlign w:val="bottom"/>
            <w:tcBorders>
              <w:top w:val="single" w:sz="8" w:color="0000FF"/>
              <w:bottom w:val="single" w:sz="8" w:color="0000FF"/>
            </w:tcBorders>
            <w:gridSpan w:val="26"/>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Employment Agreement, dated as of August 1, 2016, by</w:t>
              </w:r>
            </w:hyperlink>
          </w:p>
        </w:tc>
        <w:tc>
          <w:tcPr>
            <w:tcW w:w="20" w:type="dxa"/>
            <w:vAlign w:val="bottom"/>
            <w:tcBorders>
              <w:top w:val="single" w:sz="8" w:color="0000FF"/>
              <w:bottom w:val="single" w:sz="8" w:color="0000FF"/>
            </w:tcBorders>
          </w:tcPr>
          <w:p>
            <w:pPr>
              <w:spacing w:after="0"/>
              <w:rPr>
                <w:sz w:val="24"/>
                <w:szCs w:val="24"/>
                <w:color w:val="auto"/>
              </w:rPr>
            </w:pPr>
          </w:p>
        </w:tc>
        <w:tc>
          <w:tcPr>
            <w:tcW w:w="20" w:type="dxa"/>
            <w:vAlign w:val="bottom"/>
            <w:tcBorders>
              <w:top w:val="single" w:sz="8" w:color="0000FF"/>
              <w:bottom w:val="single" w:sz="8" w:color="0000FF"/>
            </w:tcBorders>
          </w:tcPr>
          <w:p>
            <w:pPr>
              <w:spacing w:after="0"/>
              <w:rPr>
                <w:sz w:val="24"/>
                <w:szCs w:val="24"/>
                <w:color w:val="auto"/>
              </w:rPr>
            </w:pPr>
          </w:p>
        </w:tc>
        <w:tc>
          <w:tcPr>
            <w:tcW w:w="20" w:type="dxa"/>
            <w:vAlign w:val="bottom"/>
            <w:tcBorders>
              <w:top w:val="single" w:sz="8" w:color="0000FF"/>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4, 2016</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and between Mind-NRG SARL and Geoffrey Race</w:t>
              </w:r>
            </w:hyperlink>
          </w:p>
        </w:tc>
        <w:tc>
          <w:tcPr>
            <w:tcW w:w="20" w:type="dxa"/>
            <w:vAlign w:val="bottom"/>
            <w:tcBorders>
              <w:bottom w:val="single" w:sz="8" w:color="0000EE"/>
            </w:tcBorders>
          </w:tcPr>
          <w:p>
            <w:pPr>
              <w:spacing w:after="0"/>
              <w:rPr>
                <w:sz w:val="17"/>
                <w:szCs w:val="17"/>
                <w:color w:val="auto"/>
              </w:rPr>
            </w:pPr>
          </w:p>
        </w:tc>
        <w:tc>
          <w:tcPr>
            <w:tcW w:w="60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3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Form of Restricted Stock Unit Agreement under the</w:t>
              </w:r>
            </w:hyperlink>
          </w:p>
        </w:tc>
        <w:tc>
          <w:tcPr>
            <w:tcW w:w="52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16, 2016</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Amended and Restated 2013 Equity Incentive Plan of the</w:t>
              </w:r>
            </w:hyperlink>
          </w:p>
        </w:tc>
        <w:tc>
          <w:tcPr>
            <w:tcW w:w="12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5"/>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Registrant</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42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 of Option Grant Agreement under the Amended and</w:t>
              </w:r>
            </w:hyperlink>
          </w:p>
        </w:tc>
        <w:tc>
          <w:tcPr>
            <w:tcW w:w="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10.36</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2017</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5"/>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Restated 2013 Equity Incentive Plan</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37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Amendment No. 1 to Co-Development and License</w:t>
              </w:r>
            </w:hyperlink>
          </w:p>
        </w:tc>
        <w:tc>
          <w:tcPr>
            <w:tcW w:w="56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14, 2017</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Agreement dated June 13, 2017, by and between the</w:t>
              </w:r>
            </w:hyperlink>
          </w:p>
        </w:tc>
        <w:tc>
          <w:tcPr>
            <w:tcW w:w="50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5"/>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Registrant and Janssen Pharmaceutica NV</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37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Commercial Supply Agreement by and between the</w:t>
              </w:r>
            </w:hyperlink>
          </w:p>
        </w:tc>
        <w:tc>
          <w:tcPr>
            <w:tcW w:w="540" w:type="dxa"/>
            <w:vAlign w:val="bottom"/>
            <w:gridSpan w:val="16"/>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2019</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Registrant and Catalent Germany Schorndorf GmbH, dated</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5"/>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September 18, 2019</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4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Settlement Agreement, dated as of June 24, 2020, by and</w:t>
              </w:r>
            </w:hyperlink>
          </w:p>
        </w:tc>
        <w:tc>
          <w:tcPr>
            <w:tcW w:w="1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 2020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between the Registrant and Janssen Pharmaceutica, N.V.</w:t>
              </w:r>
            </w:hyperlink>
          </w:p>
        </w:tc>
        <w:tc>
          <w:tcPr>
            <w:tcW w:w="22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36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Amended and Restated 2013 Equity Incentive Plan</w:t>
              </w:r>
            </w:hyperlink>
          </w:p>
        </w:tc>
        <w:tc>
          <w:tcPr>
            <w:tcW w:w="20" w:type="dxa"/>
            <w:vAlign w:val="bottom"/>
            <w:tcBorders>
              <w:bottom w:val="single" w:sz="8" w:color="0000EE"/>
            </w:tcBorders>
          </w:tcPr>
          <w:p>
            <w:pPr>
              <w:spacing w:after="0"/>
              <w:rPr>
                <w:sz w:val="24"/>
                <w:szCs w:val="24"/>
                <w:color w:val="auto"/>
              </w:rPr>
            </w:pPr>
          </w:p>
        </w:tc>
        <w:tc>
          <w:tcPr>
            <w:tcW w:w="620" w:type="dxa"/>
            <w:vAlign w:val="bottom"/>
            <w:gridSpan w:val="19"/>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43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Royalty Purchase Agreement, dated as of January 15, 2021,</w:t>
              </w:r>
            </w:hyperlink>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10.48</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by and between the Registrant and RPI 2019 Intermediate</w:t>
              </w:r>
            </w:hyperlink>
          </w:p>
        </w:tc>
        <w:tc>
          <w:tcPr>
            <w:tcW w:w="1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5"/>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Finance Trust (redacted)</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42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First Amendment to the Employment Agreement of Geoff</w:t>
              </w:r>
            </w:hyperlink>
          </w:p>
        </w:tc>
        <w:tc>
          <w:tcPr>
            <w:tcW w:w="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12, 2021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Race by and between Mind-NRG SARL and Geoff Race,</w:t>
              </w:r>
            </w:hyperlink>
          </w:p>
        </w:tc>
        <w:tc>
          <w:tcPr>
            <w:tcW w:w="1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5"/>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effective October 11, 2021</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40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Amended and Restated Employment Agreement by and</w:t>
              </w:r>
            </w:hyperlink>
          </w:p>
        </w:tc>
        <w:tc>
          <w:tcPr>
            <w:tcW w:w="26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12, 2021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between Minerva Neurosciences, Inc. and Frederick</w:t>
              </w:r>
            </w:hyperlink>
          </w:p>
        </w:tc>
        <w:tc>
          <w:tcPr>
            <w:tcW w:w="52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Ahlholm, effective October 11, 2021</w:t>
              </w:r>
            </w:hyperlink>
          </w:p>
        </w:tc>
        <w:tc>
          <w:tcPr>
            <w:tcW w:w="20" w:type="dxa"/>
            <w:vAlign w:val="bottom"/>
            <w:tcBorders>
              <w:bottom w:val="single" w:sz="8" w:color="0000EE"/>
            </w:tcBorders>
          </w:tcPr>
          <w:p>
            <w:pPr>
              <w:spacing w:after="0"/>
              <w:rPr>
                <w:sz w:val="17"/>
                <w:szCs w:val="17"/>
                <w:color w:val="auto"/>
              </w:rPr>
            </w:pPr>
          </w:p>
        </w:tc>
        <w:tc>
          <w:tcPr>
            <w:tcW w:w="1640" w:type="dxa"/>
            <w:vAlign w:val="bottom"/>
            <w:gridSpan w:val="24"/>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42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First Amendment to the Employment Agreement of Remy</w:t>
              </w:r>
            </w:hyperlink>
          </w:p>
        </w:tc>
        <w:tc>
          <w:tcPr>
            <w:tcW w:w="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13, 2022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Luthringer by and between Mind-NRG SARL and Remy</w:t>
              </w:r>
            </w:hyperlink>
          </w:p>
        </w:tc>
        <w:tc>
          <w:tcPr>
            <w:tcW w:w="18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5"/>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Luthringer, effective December 13, 2022</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39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Second Amendment to the Employment Agreement of</w:t>
              </w:r>
            </w:hyperlink>
          </w:p>
        </w:tc>
        <w:tc>
          <w:tcPr>
            <w:tcW w:w="34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10.30</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Remy Luthringer by and between Mind-NRG SARL and</w:t>
              </w:r>
            </w:hyperlink>
          </w:p>
        </w:tc>
        <w:tc>
          <w:tcPr>
            <w:tcW w:w="18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5"/>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Remy Luthringer, effective March 6, 2023</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43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Securities Purchase Agreement, dated October 21,</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2025, by and among Minerva Neurosciences, Inc. and the</w:t>
              </w:r>
            </w:hyperlink>
          </w:p>
        </w:tc>
        <w:tc>
          <w:tcPr>
            <w:tcW w:w="12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254">
              <w:r>
                <w:rPr>
                  <w:rFonts w:ascii="Times New Roman" w:cs="Times New Roman" w:eastAsia="Times New Roman" w:hAnsi="Times New Roman"/>
                  <w:sz w:val="18"/>
                  <w:szCs w:val="18"/>
                  <w:color w:val="0000FF"/>
                  <w:w w:val="98"/>
                </w:rPr>
                <w:t>purchasers named therein</w:t>
              </w:r>
            </w:hyperlink>
          </w:p>
        </w:tc>
        <w:tc>
          <w:tcPr>
            <w:tcW w:w="100" w:type="dxa"/>
            <w:vAlign w:val="bottom"/>
            <w:tcBorders>
              <w:bottom w:val="single" w:sz="8" w:color="0000EE"/>
            </w:tcBorders>
          </w:tcPr>
          <w:p>
            <w:pPr>
              <w:spacing w:after="0"/>
              <w:rPr>
                <w:sz w:val="17"/>
                <w:szCs w:val="17"/>
                <w:color w:val="auto"/>
              </w:rPr>
            </w:pPr>
          </w:p>
        </w:tc>
        <w:tc>
          <w:tcPr>
            <w:tcW w:w="2380" w:type="dxa"/>
            <w:vAlign w:val="bottom"/>
            <w:gridSpan w:val="28"/>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4320" w:type="dxa"/>
            <w:vAlign w:val="bottom"/>
            <w:gridSpan w:val="35"/>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Form of Support Agreement</w:t>
              </w:r>
            </w:hyperlink>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10.26</w:t>
            </w:r>
            <w:r>
              <w:rPr>
                <w:rFonts w:ascii="Times New Roman" w:cs="Times New Roman" w:eastAsia="Times New Roman" w:hAnsi="Times New Roman"/>
                <w:sz w:val="21"/>
                <w:szCs w:val="21"/>
                <w:color w:val="auto"/>
              </w:rPr>
              <w:t>†</w:t>
            </w:r>
          </w:p>
        </w:tc>
        <w:tc>
          <w:tcPr>
            <w:tcW w:w="1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gridSpan w:val="4"/>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Consulting Agreement dated as of November 14, 2025, by</w:t>
              </w:r>
            </w:hyperlink>
          </w:p>
        </w:tc>
        <w:tc>
          <w:tcPr>
            <w:tcW w:w="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19, 2025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35"/>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and between the Registrant and Inderjit Kaul</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EE"/>
            </w:tcBorders>
            <w:gridSpan w:val="10"/>
            <w:shd w:val="clear" w:color="auto" w:fill="0000FF"/>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4"/>
                <w:szCs w:val="24"/>
                <w:color w:val="auto"/>
              </w:rPr>
            </w:pPr>
          </w:p>
        </w:tc>
        <w:tc>
          <w:tcPr>
            <w:tcW w:w="39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Statement of Company Policy on Insider Trading and</w:t>
              </w:r>
            </w:hyperlink>
          </w:p>
        </w:tc>
        <w:tc>
          <w:tcPr>
            <w:tcW w:w="420" w:type="dxa"/>
            <w:vAlign w:val="bottom"/>
            <w:gridSpan w:val="13"/>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57">
              <w:r>
                <w:rPr>
                  <w:rFonts w:ascii="Times New Roman" w:cs="Times New Roman" w:eastAsia="Times New Roman" w:hAnsi="Times New Roman"/>
                  <w:sz w:val="18"/>
                  <w:szCs w:val="18"/>
                  <w:color w:val="0000FF"/>
                  <w:w w:val="98"/>
                </w:rPr>
                <w:t>Disclosure</w:t>
              </w:r>
            </w:hyperlink>
          </w:p>
        </w:tc>
        <w:tc>
          <w:tcPr>
            <w:tcW w:w="20" w:type="dxa"/>
            <w:vAlign w:val="bottom"/>
            <w:tcBorders>
              <w:bottom w:val="single" w:sz="8" w:color="0000EE"/>
            </w:tcBorders>
          </w:tcPr>
          <w:p>
            <w:pPr>
              <w:spacing w:after="0"/>
              <w:rPr>
                <w:sz w:val="17"/>
                <w:szCs w:val="17"/>
                <w:color w:val="auto"/>
              </w:rPr>
            </w:pPr>
          </w:p>
        </w:tc>
        <w:tc>
          <w:tcPr>
            <w:tcW w:w="3520" w:type="dxa"/>
            <w:vAlign w:val="bottom"/>
            <w:gridSpan w:val="32"/>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4320" w:type="dxa"/>
            <w:vAlign w:val="bottom"/>
            <w:gridSpan w:val="35"/>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List of Subsidiaries</w:t>
              </w:r>
            </w:hyperlink>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2022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60" w:type="dxa"/>
            <w:vAlign w:val="bottom"/>
            <w:gridSpan w:val="1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1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4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public accounting firm</w:t>
            </w:r>
          </w:p>
        </w:tc>
        <w:tc>
          <w:tcPr>
            <w:tcW w:w="20" w:type="dxa"/>
            <w:vAlign w:val="bottom"/>
            <w:tcBorders>
              <w:bottom w:val="single" w:sz="8" w:color="0000EE"/>
            </w:tcBorders>
          </w:tcPr>
          <w:p>
            <w:pPr>
              <w:spacing w:after="0"/>
              <w:rPr>
                <w:sz w:val="17"/>
                <w:szCs w:val="17"/>
                <w:color w:val="auto"/>
              </w:rPr>
            </w:pPr>
          </w:p>
        </w:tc>
        <w:tc>
          <w:tcPr>
            <w:tcW w:w="266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4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of this</w:t>
            </w:r>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Annual Report on Form 10-K)</w:t>
            </w:r>
          </w:p>
        </w:tc>
        <w:tc>
          <w:tcPr>
            <w:tcW w:w="212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3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w:t>
            </w:r>
          </w:p>
        </w:tc>
        <w:tc>
          <w:tcPr>
            <w:tcW w:w="64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 pursuant to Section 302 of Sarbanes-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(Principal Financial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Section 302 of Sarbanes-Oxley Act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3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w:t>
            </w:r>
          </w:p>
        </w:tc>
        <w:tc>
          <w:tcPr>
            <w:tcW w:w="64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 and Chief Financial Officer (Principal</w:t>
            </w:r>
          </w:p>
        </w:tc>
        <w:tc>
          <w:tcPr>
            <w:tcW w:w="1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pursuant to Section 906 of Sarbanes-</w:t>
            </w:r>
          </w:p>
        </w:tc>
        <w:tc>
          <w:tcPr>
            <w:tcW w:w="32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32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Incentive Compensation Recoupment Policy</w:t>
              </w:r>
            </w:hyperlink>
          </w:p>
        </w:tc>
        <w:tc>
          <w:tcPr>
            <w:tcW w:w="20" w:type="dxa"/>
            <w:vAlign w:val="bottom"/>
            <w:tcBorders>
              <w:bottom w:val="single" w:sz="8" w:color="0000EE"/>
            </w:tcBorders>
          </w:tcPr>
          <w:p>
            <w:pPr>
              <w:spacing w:after="0"/>
              <w:rPr>
                <w:sz w:val="24"/>
                <w:szCs w:val="24"/>
                <w:color w:val="auto"/>
              </w:rPr>
            </w:pPr>
          </w:p>
        </w:tc>
        <w:tc>
          <w:tcPr>
            <w:tcW w:w="108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001-36517</w:t>
            </w:r>
          </w:p>
        </w:tc>
        <w:tc>
          <w:tcPr>
            <w:tcW w:w="9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as its XBRL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Linkbase Document.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formatted as inline XBRL with applicable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Confidential treatment has been granted by the Securities and Exchange Commission as to certain portions of this document.</w:t>
      </w:r>
    </w:p>
    <w:p>
      <w:pPr>
        <w:spacing w:after="0" w:line="27"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#Schedules and exhibits have been omitted pursuant to Item 601(a)(5) of Regulation S-K. A copy of any omitted schedule and/or exhibit will be furnished to the SEC upon request.</w:t>
      </w:r>
    </w:p>
    <w:p>
      <w:pPr>
        <w:spacing w:after="0" w:line="73" w:lineRule="exact"/>
        <w:rPr>
          <w:sz w:val="20"/>
          <w:szCs w:val="20"/>
          <w:color w:val="auto"/>
        </w:rPr>
      </w:pPr>
    </w:p>
    <w:p>
      <w:pPr>
        <w:ind w:right="80" w:firstLine="8"/>
        <w:spacing w:after="0" w:line="266" w:lineRule="auto"/>
        <w:tabs>
          <w:tab w:leader="none" w:pos="2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68"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5715</wp:posOffset>
            </wp:positionV>
            <wp:extent cx="25285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838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23"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Remy Luthringer, Ph.D.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Frederick Ahlholm, and each of them, his true and lawful attorneys-in-fact and agents, with full power of substitution and resubstitution, for him and in his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0"/>
                <w:szCs w:val="20"/>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91"/>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Remy Luthringer, Ph.D.</w:t>
            </w:r>
          </w:p>
        </w:tc>
        <w:tc>
          <w:tcPr>
            <w:tcW w:w="240" w:type="dxa"/>
            <w:vAlign w:val="bottom"/>
          </w:tcPr>
          <w:p>
            <w:pPr>
              <w:spacing w:after="0"/>
              <w:rPr>
                <w:sz w:val="16"/>
                <w:szCs w:val="16"/>
                <w:color w:val="auto"/>
              </w:rPr>
            </w:pPr>
          </w:p>
        </w:tc>
        <w:tc>
          <w:tcPr>
            <w:tcW w:w="3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Executive Chairman and</w:t>
            </w:r>
          </w:p>
        </w:tc>
        <w:tc>
          <w:tcPr>
            <w:tcW w:w="2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5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39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Chief Executive Officer</w:t>
            </w:r>
          </w:p>
        </w:tc>
        <w:tc>
          <w:tcPr>
            <w:tcW w:w="240" w:type="dxa"/>
            <w:vAlign w:val="bottom"/>
          </w:tcPr>
          <w:p>
            <w:pPr>
              <w:spacing w:after="0"/>
              <w:rPr>
                <w:sz w:val="14"/>
                <w:szCs w:val="14"/>
                <w:color w:val="auto"/>
              </w:rPr>
            </w:pPr>
          </w:p>
        </w:tc>
        <w:tc>
          <w:tcPr>
            <w:tcW w:w="33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r>
        <w:trPr>
          <w:trHeight w:val="26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Remy Luthringer, Ph.D.</w:t>
            </w:r>
          </w:p>
        </w:tc>
        <w:tc>
          <w:tcPr>
            <w:tcW w:w="24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920" w:type="dxa"/>
            <w:vAlign w:val="bottom"/>
            <w:vMerge w:val="restart"/>
          </w:tcPr>
          <w:p>
            <w:pPr>
              <w:jc w:val="center"/>
              <w:spacing w:after="0" w:line="163" w:lineRule="exact"/>
              <w:rPr>
                <w:sz w:val="20"/>
                <w:szCs w:val="20"/>
                <w:color w:val="auto"/>
              </w:rPr>
            </w:pPr>
            <w:r>
              <w:rPr>
                <w:rFonts w:ascii="Times New Roman" w:cs="Times New Roman" w:eastAsia="Times New Roman" w:hAnsi="Times New Roman"/>
                <w:sz w:val="18"/>
                <w:szCs w:val="18"/>
                <w:i w:val="1"/>
                <w:iCs w:val="1"/>
                <w:color w:val="auto"/>
                <w:w w:val="99"/>
              </w:rPr>
              <w:t>(Principal Financial Officer and</w:t>
            </w:r>
          </w:p>
        </w:tc>
        <w:tc>
          <w:tcPr>
            <w:tcW w:w="240" w:type="dxa"/>
            <w:vAlign w:val="bottom"/>
          </w:tcPr>
          <w:p>
            <w:pPr>
              <w:spacing w:after="0"/>
              <w:rPr>
                <w:sz w:val="12"/>
                <w:szCs w:val="12"/>
                <w:color w:val="auto"/>
              </w:rPr>
            </w:pPr>
          </w:p>
        </w:tc>
        <w:tc>
          <w:tcPr>
            <w:tcW w:w="3340" w:type="dxa"/>
            <w:vAlign w:val="bottom"/>
            <w:vMerge w:val="restart"/>
          </w:tcPr>
          <w:p>
            <w:pPr>
              <w:jc w:val="center"/>
              <w:spacing w:after="0" w:line="163" w:lineRule="exact"/>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9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3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Frederick Ahlholm</w:t>
            </w:r>
          </w:p>
        </w:tc>
        <w:tc>
          <w:tcPr>
            <w:tcW w:w="24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2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Geoffrey Race</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Geoffrey Race</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Hans Peter Hasler</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Hans Peter Hasler</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Kupfer, MD</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Kupfer,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Fouzia Laghrissi-Thode, MD</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Fouzia Laghrissi-Thode,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Jan van Heek</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 van Heek</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Inderjit Kaul, M.D.</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Inderjit Kaul,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500" w:type="dxa"/>
            <w:vAlign w:val="bottom"/>
          </w:tcPr>
          <w:p>
            <w:pPr>
              <w:spacing w:after="0"/>
              <w:rPr>
                <w:sz w:val="24"/>
                <w:szCs w:val="24"/>
                <w:color w:val="auto"/>
              </w:rPr>
            </w:pPr>
          </w:p>
        </w:tc>
        <w:tc>
          <w:tcPr>
            <w:tcW w:w="4160" w:type="dxa"/>
            <w:vAlign w:val="bottom"/>
            <w:gridSpan w:val="2"/>
          </w:tcPr>
          <w:p>
            <w:pPr>
              <w:jc w:val="right"/>
              <w:ind w:right="185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both"/>
        <w:ind w:firstLine="424"/>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a summary, does not purport to be complete and is subject to, and is qualified in its entirety by reference to, the applicable provisions of Delaware law and our amended and restated certificate of incorporation and our amended and restated bylaws (including any amendments thereto), copies of which are each incorporated by reference as an exhibit to the Annual Report on Form 10-K of which this Exhibit 4.2 is a part. We encourage you to read such certificate of incorporation, bylaws and the applicable provisions of Delaware law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 Stock</w:t>
      </w:r>
    </w:p>
    <w:p>
      <w:pPr>
        <w:spacing w:after="0" w:line="229" w:lineRule="exact"/>
        <w:rPr>
          <w:sz w:val="20"/>
          <w:szCs w:val="20"/>
          <w:color w:val="auto"/>
        </w:rPr>
      </w:pPr>
    </w:p>
    <w:p>
      <w:pPr>
        <w:jc w:val="both"/>
        <w:ind w:firstLine="424"/>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250,000,000 shares of common stock, $0.0001 par value per share, 100,000,000 shares of preferred stock, $0.0001 par value per share, of which 200,000 shares have been designated as Series A Convertible Voting Preferred Stock, $0.0001 par value per share (“Series A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7" w:lineRule="exact"/>
        <w:rPr>
          <w:sz w:val="20"/>
          <w:szCs w:val="20"/>
          <w:color w:val="auto"/>
        </w:rPr>
      </w:pPr>
    </w:p>
    <w:p>
      <w:pPr>
        <w:jc w:val="both"/>
        <w:ind w:firstLine="424"/>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our common stock is entitled to one vote for each share of common stock on all matters submitted to a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including the election of directors. The holders of our common stock do not have cumulative voting rights. Because of this, the holders of a majority of the shares of common stock entitled to vote in any election of directors can elect all of the directors standing for election, if they should so choose.</w:t>
      </w:r>
    </w:p>
    <w:p>
      <w:pPr>
        <w:spacing w:after="0" w:line="180" w:lineRule="exact"/>
        <w:rPr>
          <w:sz w:val="20"/>
          <w:szCs w:val="20"/>
          <w:color w:val="auto"/>
        </w:rPr>
      </w:pPr>
    </w:p>
    <w:p>
      <w:pPr>
        <w:jc w:val="both"/>
        <w:ind w:firstLine="424"/>
        <w:spacing w:after="0" w:line="284"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preferences that may be applicable to any then outstanding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such dividends, if any, as may be declared from time to time by our board of directors out of legally available funds.</w:t>
      </w:r>
    </w:p>
    <w:p>
      <w:pPr>
        <w:spacing w:after="0" w:line="158" w:lineRule="exact"/>
        <w:rPr>
          <w:sz w:val="20"/>
          <w:szCs w:val="20"/>
          <w:color w:val="auto"/>
        </w:rPr>
      </w:pPr>
    </w:p>
    <w:p>
      <w:pPr>
        <w:jc w:val="both"/>
        <w:ind w:firstLine="424"/>
        <w:spacing w:after="0" w:line="26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our liquidation, dissolution or winding up, holders of our common stock will be entitled to share ratably in the net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legally available for distribution to stockholders after the payment of all of our debts and other liabilities and the satisfaction of any liquidation preference granted to the holders of any then outstanding shares of preferred stock.</w:t>
      </w:r>
    </w:p>
    <w:p>
      <w:pPr>
        <w:spacing w:after="0" w:line="173" w:lineRule="exact"/>
        <w:rPr>
          <w:sz w:val="20"/>
          <w:szCs w:val="20"/>
          <w:color w:val="auto"/>
        </w:rPr>
      </w:pPr>
    </w:p>
    <w:p>
      <w:pPr>
        <w:jc w:val="both"/>
        <w:ind w:firstLine="424"/>
        <w:spacing w:after="0" w:line="284" w:lineRule="auto"/>
        <w:rPr>
          <w:sz w:val="20"/>
          <w:szCs w:val="20"/>
          <w:color w:val="auto"/>
        </w:rPr>
      </w:pPr>
      <w:r>
        <w:rPr>
          <w:rFonts w:ascii="Times New Roman" w:cs="Times New Roman" w:eastAsia="Times New Roman" w:hAnsi="Times New Roman"/>
          <w:sz w:val="18"/>
          <w:szCs w:val="18"/>
          <w:i w:val="1"/>
          <w:iCs w:val="1"/>
          <w:color w:val="auto"/>
        </w:rPr>
        <w:t>Rights and Preferences</w:t>
      </w:r>
      <w:r>
        <w:rPr>
          <w:rFonts w:ascii="Times New Roman" w:cs="Times New Roman" w:eastAsia="Times New Roman" w:hAnsi="Times New Roman"/>
          <w:sz w:val="18"/>
          <w:szCs w:val="18"/>
          <w:color w:val="auto"/>
        </w:rPr>
        <w:t>. Holders of our common stock have no preemptive, conversion, subscription or other rights, and there are no redemption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sinking fund provisions applicable to our common stock. The outstanding shares of our common stock are fully paid and nonassessable.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board of directors has the authority, without further action by our stockholders, to issue up to 100,000,000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9" w:lineRule="exact"/>
        <w:rPr>
          <w:sz w:val="20"/>
          <w:szCs w:val="20"/>
          <w:color w:val="auto"/>
        </w:rPr>
      </w:pPr>
    </w:p>
    <w:p>
      <w:pPr>
        <w:jc w:val="both"/>
        <w:ind w:firstLine="424"/>
        <w:spacing w:after="0" w:line="266" w:lineRule="auto"/>
        <w:rPr>
          <w:sz w:val="20"/>
          <w:szCs w:val="20"/>
          <w:color w:val="auto"/>
        </w:rPr>
      </w:pPr>
      <w:r>
        <w:rPr>
          <w:rFonts w:ascii="Times New Roman" w:cs="Times New Roman" w:eastAsia="Times New Roman" w:hAnsi="Times New Roman"/>
          <w:sz w:val="18"/>
          <w:szCs w:val="18"/>
          <w:color w:val="auto"/>
        </w:rPr>
        <w:t>Our board of directors has designated 200,000 shares of preferred stock as Series A Preferred Stock. Our Series A Preferred Stock is not registered under Section 12 of the Exchange Act. The following summary of certain terms and provisions of our Series A Preferred Stock is subject to, and qualified in its entirety by reference to,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both"/>
        <w:spacing w:after="0" w:line="282" w:lineRule="auto"/>
        <w:rPr>
          <w:sz w:val="20"/>
          <w:szCs w:val="20"/>
          <w:color w:val="auto"/>
        </w:rPr>
      </w:pPr>
      <w:r>
        <w:rPr>
          <w:rFonts w:ascii="Times New Roman" w:cs="Times New Roman" w:eastAsia="Times New Roman" w:hAnsi="Times New Roman"/>
          <w:sz w:val="18"/>
          <w:szCs w:val="18"/>
          <w:color w:val="auto"/>
        </w:rPr>
        <w:t>provisions set forth in our certificate of designation of preferences, rights and limitations of Series A Preferred Stock, which is incorporated by reference as Exhibit 3.5, of our Annual Report on Form 10-K to which this description is also an exhibit.</w:t>
      </w:r>
    </w:p>
    <w:p>
      <w:pPr>
        <w:spacing w:after="0" w:line="160" w:lineRule="exact"/>
        <w:rPr>
          <w:sz w:val="20"/>
          <w:szCs w:val="20"/>
          <w:color w:val="auto"/>
        </w:rPr>
      </w:pPr>
    </w:p>
    <w:p>
      <w:pPr>
        <w:jc w:val="both"/>
        <w:ind w:firstLine="424"/>
        <w:spacing w:after="0" w:line="256"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share of Series A Preferred Stock is convertible at the option of the holder into 473 shares of common stock; provided that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permitted to convert Series A Preferred Stock into common stock if, after conversion, the holder, its affiliates, and any other person whose beneficial ownership of Common Stock would be aggregated with the holder’s for purposes of Section 13(d) or Section 16 of the Exchange Act, would beneficially own more than 9.99% of the number of shares of common stock outstanding immediately after the conversion. By written notice to us, holders of Series A Preferred Stock may from time to time increase or decrease such beneficial ownership limitation to any other percentage not in excess of 19.99% specified in such notice; provided, that any increase in such beneficial ownership limitation will not be effective until the 61st day after such notice is delivered to us.</w:t>
      </w:r>
    </w:p>
    <w:p>
      <w:pPr>
        <w:spacing w:after="0" w:line="183" w:lineRule="exact"/>
        <w:rPr>
          <w:sz w:val="20"/>
          <w:szCs w:val="20"/>
          <w:color w:val="auto"/>
        </w:rPr>
      </w:pPr>
    </w:p>
    <w:p>
      <w:pPr>
        <w:jc w:val="both"/>
        <w:ind w:firstLine="424"/>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Series A Preferred Stock are not entitled to receive any dividends except to the extent that dividends are paid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If dividends are paid on shares of common stock, holders of Series A Preferred Stock are entitled to participate in such dividends on an as-converted basis.</w:t>
      </w:r>
    </w:p>
    <w:p>
      <w:pPr>
        <w:spacing w:after="0" w:line="173" w:lineRule="exact"/>
        <w:rPr>
          <w:sz w:val="20"/>
          <w:szCs w:val="20"/>
          <w:color w:val="auto"/>
        </w:rPr>
      </w:pPr>
    </w:p>
    <w:p>
      <w:pPr>
        <w:jc w:val="both"/>
        <w:ind w:firstLine="424"/>
        <w:spacing w:after="0" w:line="284"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Upon the liquidation, dissolution, or winding up of us, each holder of Series A Preferred Stock will participate pari passu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proceeds to holders of common stock.</w:t>
      </w:r>
    </w:p>
    <w:p>
      <w:pPr>
        <w:spacing w:after="0" w:line="158" w:lineRule="exact"/>
        <w:rPr>
          <w:sz w:val="20"/>
          <w:szCs w:val="20"/>
          <w:color w:val="auto"/>
        </w:rPr>
      </w:pPr>
    </w:p>
    <w:p>
      <w:pPr>
        <w:jc w:val="both"/>
        <w:ind w:firstLine="424"/>
        <w:spacing w:after="0" w:line="262"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the Series A Preferred Stock are entitled to vote together with the holders of common stock on an as-if-converted basis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matters submitted to a vote of stockholders.</w:t>
      </w: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We have issued pre-funded warrants to purchase shares of common stock, tranche A warrants to purchase shares of Series A Preferred Stock (the “Preferred Tranche A Warrants”) and tranche B warrants to purchase shares of Series A Preferred Stock (the “Preferred Tranche B Warrants”). Our pre-funded warrants and warrants are not registered under Section 12 of the Exchange Act. The following summary of certain terms and provisions of our Preferred Tranche A Warrants and Preferred Tranche B Warrants is subject to, and qualified in its entirety by reference to, the terms and provisions set forth in the Form of Preferred Tranche A Warrant and Form of Preferred Tranche B Warrant, respectively, which are incorporated by reference as Exhibits 4.3 and 4.4, respectively, of our Annual Report on Form 10-K to which this description is also an exhibit.</w:t>
      </w:r>
    </w:p>
    <w:p>
      <w:pPr>
        <w:spacing w:after="0" w:line="190" w:lineRule="exact"/>
        <w:rPr>
          <w:sz w:val="20"/>
          <w:szCs w:val="20"/>
          <w:color w:val="auto"/>
        </w:rPr>
      </w:pPr>
    </w:p>
    <w:p>
      <w:pPr>
        <w:jc w:val="both"/>
        <w:ind w:firstLine="424"/>
        <w:spacing w:after="0" w:line="266" w:lineRule="auto"/>
        <w:rPr>
          <w:sz w:val="20"/>
          <w:szCs w:val="20"/>
          <w:color w:val="auto"/>
        </w:rPr>
      </w:pPr>
      <w:r>
        <w:rPr>
          <w:rFonts w:ascii="Times New Roman" w:cs="Times New Roman" w:eastAsia="Times New Roman" w:hAnsi="Times New Roman"/>
          <w:sz w:val="18"/>
          <w:szCs w:val="18"/>
          <w:color w:val="auto"/>
        </w:rPr>
        <w:t>Each Preferred Tranche A Warrant has an exercise price of $1,000 and may only be exercised for cash. The Preferred Tranche A Warrants are immediately exercisable upon issuance until the tenth day following the date of our public announcement that we have achieved, on a statistically significant basis, the primary endpoint of our Phase 3 confirmatory trial of roluperidone in schizophrenia at the 12-week timepoint (the “Milestone Event”).</w:t>
      </w:r>
    </w:p>
    <w:p>
      <w:pPr>
        <w:spacing w:after="0" w:line="176" w:lineRule="exact"/>
        <w:rPr>
          <w:sz w:val="20"/>
          <w:szCs w:val="20"/>
          <w:color w:val="auto"/>
        </w:rPr>
      </w:pPr>
    </w:p>
    <w:p>
      <w:pPr>
        <w:jc w:val="both"/>
        <w:ind w:firstLine="424"/>
        <w:spacing w:after="0" w:line="266" w:lineRule="auto"/>
        <w:rPr>
          <w:sz w:val="20"/>
          <w:szCs w:val="20"/>
          <w:color w:val="auto"/>
        </w:rPr>
      </w:pPr>
      <w:r>
        <w:rPr>
          <w:rFonts w:ascii="Times New Roman" w:cs="Times New Roman" w:eastAsia="Times New Roman" w:hAnsi="Times New Roman"/>
          <w:sz w:val="18"/>
          <w:szCs w:val="18"/>
          <w:color w:val="auto"/>
        </w:rPr>
        <w:t>Each Preferred Tranche B Warrant has an exercise price of $1,000 and may be exercised by a cashless exercise. The Preferred Tranche B Warrants are exercisable commencing on the earlier of (i) our public announcement of the Milestone Event and (ii) October 23, 2028. The Preferred Tranche B Warrants will expire on October 23, 2029.</w:t>
      </w:r>
    </w:p>
    <w:p>
      <w:pPr>
        <w:spacing w:after="0" w:line="176" w:lineRule="exact"/>
        <w:rPr>
          <w:sz w:val="20"/>
          <w:szCs w:val="20"/>
          <w:color w:val="auto"/>
        </w:rPr>
      </w:pPr>
    </w:p>
    <w:p>
      <w:pPr>
        <w:jc w:val="both"/>
        <w:ind w:firstLine="424"/>
        <w:spacing w:after="0" w:line="261" w:lineRule="auto"/>
        <w:rPr>
          <w:sz w:val="20"/>
          <w:szCs w:val="20"/>
          <w:color w:val="auto"/>
        </w:rPr>
      </w:pPr>
      <w:r>
        <w:rPr>
          <w:rFonts w:ascii="Times New Roman" w:cs="Times New Roman" w:eastAsia="Times New Roman" w:hAnsi="Times New Roman"/>
          <w:sz w:val="18"/>
          <w:szCs w:val="18"/>
          <w:color w:val="auto"/>
        </w:rPr>
        <w:t>The Warrants are subject to forfeiture in the event the applicable investor engages in any short sales involving our securities during the 48-months period following October 23, 2025. In addition, the shares underlying Tranche B Warrants are subject to reduction if the applicable investor sells or transfers any shares of Series A Preferred Stock or shares of common stock received upon conversion of the Series A Preferred Stock before the Exercisability Date (as defined therein), except to affiliates for no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jc w:val="both"/>
        <w:ind w:firstLine="424"/>
        <w:spacing w:after="0" w:line="267" w:lineRule="auto"/>
        <w:rPr>
          <w:sz w:val="20"/>
          <w:szCs w:val="20"/>
          <w:color w:val="auto"/>
        </w:rPr>
      </w:pPr>
      <w:r>
        <w:rPr>
          <w:rFonts w:ascii="Times New Roman" w:cs="Times New Roman" w:eastAsia="Times New Roman" w:hAnsi="Times New Roman"/>
          <w:sz w:val="18"/>
          <w:szCs w:val="18"/>
          <w:i w:val="1"/>
          <w:iCs w:val="1"/>
          <w:color w:val="auto"/>
        </w:rPr>
        <w:t>Certificate of Incorporation and Bylaws</w:t>
      </w:r>
      <w:r>
        <w:rPr>
          <w:rFonts w:ascii="Times New Roman" w:cs="Times New Roman" w:eastAsia="Times New Roman" w:hAnsi="Times New Roman"/>
          <w:sz w:val="18"/>
          <w:szCs w:val="18"/>
          <w:color w:val="auto"/>
        </w:rPr>
        <w:t>. Our amended and restated certificate of incorporation provides for our board of directors to be divided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with staggered three-year terms. Only one class of directors will be elected at each annual meeting of our stockholders, with the other classes continuing for the remainder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jc w:val="both"/>
        <w:spacing w:after="0" w:line="261" w:lineRule="auto"/>
        <w:rPr>
          <w:sz w:val="20"/>
          <w:szCs w:val="20"/>
          <w:color w:val="auto"/>
        </w:rPr>
      </w:pPr>
      <w:r>
        <w:rPr>
          <w:rFonts w:ascii="Times New Roman" w:cs="Times New Roman" w:eastAsia="Times New Roman" w:hAnsi="Times New Roman"/>
          <w:sz w:val="18"/>
          <w:szCs w:val="18"/>
          <w:color w:val="auto"/>
        </w:rPr>
        <w:t>respective three-year terms. Because our stockholders do not have cumulative voting rights, our stockholders holding a majority of the shares of common stock outstanding will be able to elect all of our directors. Our amended and restated certificate of incorporation and amended and restated bylaws provide that all stockholder action must be effected at a duly called meeting of stockholders and not by a consent in writing, and that only our board of directors or chairman of the board may call a special meeting of stockholders.</w:t>
      </w:r>
    </w:p>
    <w:p>
      <w:pPr>
        <w:spacing w:after="0" w:line="180" w:lineRule="exact"/>
        <w:rPr>
          <w:sz w:val="20"/>
          <w:szCs w:val="20"/>
          <w:color w:val="auto"/>
        </w:rPr>
      </w:pPr>
    </w:p>
    <w:p>
      <w:pPr>
        <w:jc w:val="both"/>
        <w:ind w:firstLine="4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requires a 66⅔% stockholder vote for the amendment, repeal or modification of certain provisions of our amended and restated certificate of incorporation and amended and restated bylaws relating to the classification of our board of directors, the requirement that stockholder actions be effected at a duly called meeting, and the designated parties entitled to call a special meeting of the stockholders. The combination of the classification of our board of directors, the lack of cumulative voting and the 66⅔% stockholder voting requirements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our company.</w:t>
      </w:r>
    </w:p>
    <w:p>
      <w:pPr>
        <w:spacing w:after="0" w:line="188" w:lineRule="exact"/>
        <w:rPr>
          <w:sz w:val="20"/>
          <w:szCs w:val="20"/>
          <w:color w:val="auto"/>
        </w:rPr>
      </w:pPr>
    </w:p>
    <w:p>
      <w:pPr>
        <w:jc w:val="both"/>
        <w:ind w:firstLine="424"/>
        <w:spacing w:after="0" w:line="256"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changes in control of our company or management.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w:t>
      </w:r>
    </w:p>
    <w:p>
      <w:pPr>
        <w:spacing w:after="0" w:line="185" w:lineRule="exact"/>
        <w:rPr>
          <w:sz w:val="20"/>
          <w:szCs w:val="20"/>
          <w:color w:val="auto"/>
        </w:rPr>
      </w:pPr>
    </w:p>
    <w:p>
      <w:pPr>
        <w:jc w:val="both"/>
        <w:ind w:firstLine="424"/>
        <w:spacing w:after="0" w:line="254" w:lineRule="auto"/>
        <w:rPr>
          <w:sz w:val="20"/>
          <w:szCs w:val="20"/>
          <w:color w:val="auto"/>
        </w:rPr>
      </w:pPr>
      <w:r>
        <w:rPr>
          <w:rFonts w:ascii="Times New Roman" w:cs="Times New Roman" w:eastAsia="Times New Roman" w:hAnsi="Times New Roman"/>
          <w:sz w:val="18"/>
          <w:szCs w:val="18"/>
          <w:i w:val="1"/>
          <w:iCs w:val="1"/>
          <w:color w:val="auto"/>
        </w:rPr>
        <w:t>Forum</w:t>
      </w:r>
      <w:r>
        <w:rPr>
          <w:rFonts w:ascii="Times New Roman" w:cs="Times New Roman" w:eastAsia="Times New Roman" w:hAnsi="Times New Roman"/>
          <w:sz w:val="18"/>
          <w:szCs w:val="18"/>
          <w:color w:val="auto"/>
        </w:rPr>
        <w:t>. Our amended and restated bylaws provide that, unless we consent in writing to the selection of an alternative forum, the Court of Chancery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will be the sole and exclusive forum for any derivative action or proceeding brought on our behalf, any action asserting a claim of breach of a fiduciary duty owed by any current or former director, officer or other employee or stockholder of the Company to us or our stockholders, any action asserting a claim arising pursuant to any provision of the Delaware General Corporation Law, our amended and restated certificate of incorporation or our amended and restated bylaws or as to which the Delaware General Corporation Law confers jurisdiction on the Court of Chancery of the State of Delaware, or any action asserting a claim governed by the internal affairs doctrine. Our amended and restated certificate of incorporation and our amended and restated bylaws further provide that any person or entity purchasing or otherwise acquiring any interest in shares of our capital stock is deemed to have notice of and consented to the foregoing provision. Although our amended and restated certificate of incorporation and our amended and restated bylaws include these provisions, it is possible that a court could rule that such provisions are inapplicable or unenforceable.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ind w:firstLine="424"/>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(“Section 203”), an anti-takeover law. In general, Section 203 prohibits a publicly held Delaware corporation from engaging in a business combination with an interested stockholder for a period of three years following the date such person became an interested stockholder, unless the business combination or the transaction in which such person became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the Board, including discouraging attempts that might result in a premium over the market price for the shares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on the Nasdaq Capital Market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“NERV”.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AND RESTATED NON-EMPLOYEE DIRECTOR COMPENSATION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Last amended on December 22, 2025 (the “Amendment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Compensation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January 1, 2026, each non-employee member of the board of directors (the “Board”) of Minerva Neurosciences, Inc. (the “Company”) will receive an annual cash retainer as summarized below. The Lead Independent Director, chairpersons of the Audit Committee, Compensation Committee and Nominating and Corporate Governance Committee, and members of the Audit Committee, Compensation Committee and Nominating and Corporate Governance Committee will receive additional annual cash retainers as indicated below (in each, in addition to, and not in substitution of, the basic annual cash retainer).</w:t>
      </w:r>
    </w:p>
    <w:p>
      <w:pPr>
        <w:spacing w:after="0" w:line="89" w:lineRule="exact"/>
        <w:rPr>
          <w:sz w:val="20"/>
          <w:szCs w:val="20"/>
          <w:color w:val="auto"/>
        </w:rPr>
      </w:pPr>
    </w:p>
    <w:p>
      <w:pPr>
        <w:ind w:left="540" w:hanging="366"/>
        <w:spacing w:after="0"/>
        <w:tabs>
          <w:tab w:leader="none" w:pos="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for all non-employee directors – $40,000</w:t>
      </w:r>
    </w:p>
    <w:p>
      <w:pPr>
        <w:spacing w:after="0" w:line="130" w:lineRule="exact"/>
        <w:rPr>
          <w:rFonts w:ascii="Times New Roman" w:cs="Times New Roman" w:eastAsia="Times New Roman" w:hAnsi="Times New Roman"/>
          <w:sz w:val="18"/>
          <w:szCs w:val="18"/>
          <w:color w:val="auto"/>
        </w:rPr>
      </w:pPr>
    </w:p>
    <w:p>
      <w:pPr>
        <w:ind w:left="460" w:hanging="286"/>
        <w:spacing w:after="0"/>
        <w:tabs>
          <w:tab w:leader="none" w:pos="4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 for Lead Independent Director – $20,000</w:t>
      </w:r>
    </w:p>
    <w:p>
      <w:pPr>
        <w:spacing w:after="0" w:line="130"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retainers for committee chairs:</w:t>
      </w:r>
    </w:p>
    <w:p>
      <w:pPr>
        <w:spacing w:after="0" w:line="238"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 Audit</w:t>
      </w:r>
    </w:p>
    <w:p>
      <w:pPr>
        <w:spacing w:after="0" w:line="117"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$12,250 Compensation</w:t>
      </w:r>
    </w:p>
    <w:p>
      <w:pPr>
        <w:spacing w:after="0" w:line="117"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Nominating and Governance</w:t>
      </w:r>
    </w:p>
    <w:p>
      <w:pPr>
        <w:spacing w:after="0" w:line="225"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member annual retainers:</w:t>
      </w:r>
    </w:p>
    <w:p>
      <w:pPr>
        <w:spacing w:after="0" w:line="238"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 Audit</w:t>
      </w:r>
    </w:p>
    <w:p>
      <w:pPr>
        <w:spacing w:after="0" w:line="117"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 Compensation</w:t>
      </w:r>
    </w:p>
    <w:p>
      <w:pPr>
        <w:spacing w:after="0" w:line="117"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Nominating and Governance</w:t>
      </w:r>
    </w:p>
    <w:p>
      <w:pPr>
        <w:spacing w:after="0" w:line="130" w:lineRule="exact"/>
        <w:rPr>
          <w:rFonts w:ascii="Times New Roman" w:cs="Times New Roman" w:eastAsia="Times New Roman" w:hAnsi="Times New Roman"/>
          <w:sz w:val="18"/>
          <w:szCs w:val="18"/>
          <w:color w:val="auto"/>
        </w:rPr>
      </w:pPr>
    </w:p>
    <w:p>
      <w:pPr>
        <w:ind w:left="480" w:hanging="324"/>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Retainers are paid on a quarterly basis in arrears.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Compensation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the Amendment Date, each newly elected non-employee director, on the date thereof (or, if such date is not a market trading day, the first market trading day thereafter), will be automatically (and without further action by the Board or the Compensation Committee thereof) granted an option to purchase 100,000 shares of the Company’s common stock (the “Director Welcome Options”). The Director Welcome Options will vest quarterly over three years, provided that the applicable non-employee director is, as of each such vesting date, then a non-employee director of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the date of each annual stockholder meeting of the Company held on or after the Amendment Date, each non-employee director who continues to serve as a non-employee director will be automatically (and without further action by the Board or the Compensation Committee thereof) granted an option to purchase 50,000 shares of the Company’s common stock (the “Annual Grant”). The Annual Grant will vest in equal quarterly installments over one year following the grant date, provided that the applicable non-employee director is, as of each such vesting date, then a non-employee director of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equity compensation set forth above will be granted under the Minerva Neurosciences, Inc. Amended and Restated 2013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will be documented on the applicable form of stock option agreement most recently approved for use by the Board (or a duly authorized committee thereof) for non-employee directors. All stock options granted hereunder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herein, the aggregate value of all equity awards granted or paid to any individual for service as a Non-Employee Director with respect to any calendar year, excluding the value of Director Welcome Options in the year which such options are granted, will not exceed $300,000 in total value, calculated based on the grant date fair value of such equity awards for financial reporting purposes, and the number of shares subject to such options shall be reduced accordingly to comply with such limit. For the avoidance of doubt, the limit described in the preceding sentence shall be in addition to, and not in lieu of, the Non-Employee Director Compensation Limit described in Section 3(d)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Non-employee directors are also reimbursed for their reasonable out-of-pocket expenses incurred in attending meetings of the Board or of any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333-292410 and 333-273686 on Form S-3 and Nos. 333-292422, 333-242460, 333-225672, 333-223593, 333-222368, 333-216637, 333-210147, 333-203738, and 333-198753 on Form S-8 of our report dated March 11, 2026, relating to the financial statements of Minerva Neurosciences, Inc. appearing in this Annual Report on Form 10-K for the year ended December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5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23"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5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Chief Executive Officer of Minerva Neurosciences, Inc. (the “Company”), and Frederick Ahlholm, Chief Financial Officer of the Company, each hereby certifies that, to the best of his knowledge:</w:t>
      </w:r>
    </w:p>
    <w:p>
      <w:pPr>
        <w:spacing w:after="0" w:line="68" w:lineRule="exact"/>
        <w:rPr>
          <w:sz w:val="20"/>
          <w:szCs w:val="20"/>
          <w:color w:val="auto"/>
        </w:rPr>
      </w:pPr>
    </w:p>
    <w:p>
      <w:pPr>
        <w:ind w:left="520" w:hanging="512"/>
        <w:spacing w:after="0" w:line="282" w:lineRule="auto"/>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2025, to which this Certification is attached as Exhibit 32.1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20" w:hanging="512"/>
        <w:spacing w:after="0" w:line="282" w:lineRule="auto"/>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2026</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59"/>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Remy Luthringer, Ph.D.</w:t>
            </w:r>
          </w:p>
        </w:tc>
        <w:tc>
          <w:tcPr>
            <w:tcW w:w="11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r>
      <w:tr>
        <w:trPr>
          <w:trHeight w:val="191"/>
        </w:trPr>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Remy Luthringer, Ph.D.</w:t>
            </w:r>
          </w:p>
        </w:tc>
        <w:tc>
          <w:tcPr>
            <w:tcW w:w="1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Frederick Ahlholm</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and</w:t>
            </w:r>
          </w:p>
        </w:tc>
        <w:tc>
          <w:tcPr>
            <w:tcW w:w="1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234"/>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2"/>
    </w:lvl>
  </w:abstractNum>
  <w:abstractNum w:abstractNumId="8">
    <w:nsid w:val="71F32454"/>
    <w:multiLevelType w:val="hybridMultilevel"/>
    <w:lvl w:ilvl="0">
      <w:lvlJc w:val="left"/>
      <w:lvlText w:val="(%1)"/>
      <w:numFmt w:val="lowerRoman"/>
      <w:start w:val="4"/>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3"/>
    </w:lvl>
    <w:lvl w:ilvl="1">
      <w:lvlJc w:val="left"/>
      <w:lvlText w:val="(%2)"/>
      <w:numFmt w:val="lowerLetter"/>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lowerLetter"/>
      <w:start w:val="1"/>
    </w:lvl>
    <w:lvl w:ilvl="1">
      <w:lvlJc w:val="left"/>
      <w:lvlText w:val="(%2)"/>
      <w:numFmt w:val="decimal"/>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22" Type="http://schemas.openxmlformats.org/officeDocument/2006/relationships/hyperlink" Target="https://www.sec.gov/Archives/edgar/data/0001598646/000104746914005459/a2219972zex-3_1.htm" TargetMode="External"/><Relationship Id="rId223" Type="http://schemas.openxmlformats.org/officeDocument/2006/relationships/hyperlink" Target="https://www.sec.gov/Archives/edgar/data/1598646/000119312522176540/d314076dex31.htm" TargetMode="External"/><Relationship Id="rId224" Type="http://schemas.openxmlformats.org/officeDocument/2006/relationships/hyperlink" Target="https://www.sec.gov/Archives/edgar/data/1598646/000119312525330849/d73753dex33.htm" TargetMode="External"/><Relationship Id="rId225" Type="http://schemas.openxmlformats.org/officeDocument/2006/relationships/hyperlink" Target="https://www.sec.gov/Archives/edgar/data/0001598646/000156459019039496/nerv-ex32_112.htm" TargetMode="External"/><Relationship Id="rId226" Type="http://schemas.openxmlformats.org/officeDocument/2006/relationships/hyperlink" Target="https://www.sec.gov/Archives/edgar/data/1598646/000119312525245552/d28380dex31.htm" TargetMode="External"/><Relationship Id="rId227" Type="http://schemas.openxmlformats.org/officeDocument/2006/relationships/hyperlink" Target="https://www.sec.gov/Archives/edgar/data/0001598646/000104746914005459/a2219972zex-4_1.htm" TargetMode="External"/><Relationship Id="rId228" Type="http://schemas.openxmlformats.org/officeDocument/2006/relationships/hyperlink" Target="https://www.sec.gov/Archives/edgar/data/1598646/000119312525245552/d28380dex41.htm" TargetMode="External"/><Relationship Id="rId229" Type="http://schemas.openxmlformats.org/officeDocument/2006/relationships/hyperlink" Target="https://www.sec.gov/Archives/edgar/data/1598646/000119312525245552/d28380dex42.htm" TargetMode="External"/><Relationship Id="rId230" Type="http://schemas.openxmlformats.org/officeDocument/2006/relationships/hyperlink" Target="https://www.sec.gov/Archives/edgar/data/0001598646/000104746914003612/a2219290zex-10_13.htm" TargetMode="External"/><Relationship Id="rId231" Type="http://schemas.openxmlformats.org/officeDocument/2006/relationships/hyperlink" Target="https://www.sec.gov/Archives/edgar/data/0001598646/000104746914005459/a2219972zex-10_1.htm" TargetMode="External"/><Relationship Id="rId232" Type="http://schemas.openxmlformats.org/officeDocument/2006/relationships/hyperlink" Target="https://www.sec.gov/Archives/edgar/data/0001598646/000104746914005459/a2219972zex-10_2.htm" TargetMode="External"/><Relationship Id="rId233" Type="http://schemas.openxmlformats.org/officeDocument/2006/relationships/hyperlink" Target="https://www.sec.gov/Archives/edgar/data/0001598646/000104746914005459/a2219972zex-10_3.htm" TargetMode="External"/><Relationship Id="rId234" Type="http://schemas.openxmlformats.org/officeDocument/2006/relationships/hyperlink" Target="https://www.sec.gov/Archives/edgar/data/0001598646/000104746914005459/a2219972zex-10_4.htm" TargetMode="External"/><Relationship Id="rId235" Type="http://schemas.openxmlformats.org/officeDocument/2006/relationships/hyperlink" Target="https://www.sec.gov/Archives/edgar/data/0001598646/000104746914005459/a2219972zex-10_5.htm" TargetMode="External"/><Relationship Id="rId236" Type="http://schemas.openxmlformats.org/officeDocument/2006/relationships/hyperlink" Target="https://www.sec.gov/Archives/edgar/data/0001598646/000104746914005459/a2219972zex-10_6.htm" TargetMode="External"/><Relationship Id="rId237" Type="http://schemas.openxmlformats.org/officeDocument/2006/relationships/hyperlink" Target="https://www.sec.gov/Archives/edgar/data/0001598646/000104746914005459/a2219972zex-10_7.htm" TargetMode="External"/><Relationship Id="rId238" Type="http://schemas.openxmlformats.org/officeDocument/2006/relationships/hyperlink" Target="https://www.sec.gov/Archives/edgar/data/0001598646/000156459015003491/nerv-ex105_20150331184.htm" TargetMode="External"/><Relationship Id="rId241" Type="http://schemas.openxmlformats.org/officeDocument/2006/relationships/hyperlink" Target="https://www.sec.gov/Archives/edgar/data/0001598646/000156459016022499/nerv-ex101_183.htm" TargetMode="External"/><Relationship Id="rId242" Type="http://schemas.openxmlformats.org/officeDocument/2006/relationships/hyperlink" Target="https://www.sec.gov/Archives/edgar/data/0001598646/000156459016022499/nerv-ex102_182.htm" TargetMode="External"/><Relationship Id="rId243" Type="http://schemas.openxmlformats.org/officeDocument/2006/relationships/hyperlink" Target="https://www.sec.gov/Archives/edgar/data/0001598646/000119312516795845/d306566dex1001.htm" TargetMode="External"/><Relationship Id="rId244" Type="http://schemas.openxmlformats.org/officeDocument/2006/relationships/hyperlink" Target="https://www.sec.gov/Archives/edgar/data/0001598646/000156459017004048/nerv-ex1036_286.htm" TargetMode="External"/><Relationship Id="rId245" Type="http://schemas.openxmlformats.org/officeDocument/2006/relationships/hyperlink" Target="https://www.sec.gov/Archives/edgar/data/1598646/000119312517203538/d413527dex101.htm" TargetMode="External"/><Relationship Id="rId246" Type="http://schemas.openxmlformats.org/officeDocument/2006/relationships/hyperlink" Target="https://www.sec.gov/Archives/edgar/data/0001598646/000156459019039496/nerv-ex101_58.htm" TargetMode="External"/><Relationship Id="rId247" Type="http://schemas.openxmlformats.org/officeDocument/2006/relationships/hyperlink" Target="https://www.sec.gov/Archives/edgar/data/1598646/000156459020035289/nerv-ex102_120.htm" TargetMode="External"/><Relationship Id="rId248" Type="http://schemas.openxmlformats.org/officeDocument/2006/relationships/hyperlink" Target="https://www.sec.gov/Archives/edgar/data/1598646/000119312525328715/d16725dex101.htm" TargetMode="External"/><Relationship Id="rId249" Type="http://schemas.openxmlformats.org/officeDocument/2006/relationships/hyperlink" Target="https://www.sec.gov/Archives/edgar/data/1598646/000156459021011340/nerv-ex1048_189.htm" TargetMode="External"/><Relationship Id="rId250" Type="http://schemas.openxmlformats.org/officeDocument/2006/relationships/hyperlink" Target="https://www.sec.gov/Archives/edgar/data/1598646/000119312521296143/d236669dex101.htm" TargetMode="External"/><Relationship Id="rId251" Type="http://schemas.openxmlformats.org/officeDocument/2006/relationships/hyperlink" Target="https://www.sec.gov/Archives/edgar/data/1598646/000119312521296143/d236669dex102.htm" TargetMode="External"/><Relationship Id="rId252" Type="http://schemas.openxmlformats.org/officeDocument/2006/relationships/hyperlink" Target="https://www.sec.gov/Archives/edgar/data/1598646/000119312522307381/d438557dex101.htm" TargetMode="External"/><Relationship Id="rId253" Type="http://schemas.openxmlformats.org/officeDocument/2006/relationships/hyperlink" Target="https://www.sec.gov/Archives/edgar/data/1598646/000095017023006577/nerv-ex10_30.htm" TargetMode="External"/><Relationship Id="rId254" Type="http://schemas.openxmlformats.org/officeDocument/2006/relationships/hyperlink" Target="https://www.sec.gov/Archives/edgar/data/1598646/000119312525245552/d28380dex101.htm" TargetMode="External"/><Relationship Id="rId255" Type="http://schemas.openxmlformats.org/officeDocument/2006/relationships/hyperlink" Target="https://www.sec.gov/Archives/edgar/data/1598646/000119312525245552/d28380dex102.htm" TargetMode="External"/><Relationship Id="rId256" Type="http://schemas.openxmlformats.org/officeDocument/2006/relationships/hyperlink" Target="https://www.sec.gov/Archives/edgar/data/1598646/000119312525287048/d48648dex101.htm" TargetMode="External"/><Relationship Id="rId257" Type="http://schemas.openxmlformats.org/officeDocument/2006/relationships/hyperlink" Target="https://www.sec.gov/Archives/edgar/data/1598646/000095017025026055/nerv-ex19_1.htm" TargetMode="External"/><Relationship Id="rId258" Type="http://schemas.openxmlformats.org/officeDocument/2006/relationships/hyperlink" Target="https://www.sec.gov/Archives/edgar/data/1598646/000156459022007853/nerv-ex211_9.htm" TargetMode="External"/><Relationship Id="rId261" Type="http://schemas.openxmlformats.org/officeDocument/2006/relationships/hyperlink" Target="https://www.sec.gov/Archives/edgar/data/1598646/000095017024018392/nerv-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2026-03-11T07:07:54Z</dcterms:created>
  <dcterms:modified xsi:type="dcterms:W3CDTF">2026-03-11T07:07:54Z</dcterms:modified>
</cp:coreProperties>
</file>