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260" w:hanging="512"/>
        <w:spacing w:after="0" w:line="256" w:lineRule="auto"/>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1601 Trapelo Road, Suite 286</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320"/>
              <w:spacing w:after="0"/>
              <w:rPr>
                <w:sz w:val="20"/>
                <w:szCs w:val="20"/>
                <w:color w:val="auto"/>
              </w:rPr>
            </w:pPr>
            <w:r>
              <w:rPr>
                <w:rFonts w:ascii="Arial" w:cs="Arial" w:eastAsia="Arial" w:hAnsi="Arial"/>
                <w:sz w:val="14"/>
                <w:szCs w:val="14"/>
                <w:color w:val="auto"/>
              </w:rPr>
              <w:t>Accelerated filer</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334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320"/>
              <w:spacing w:after="0"/>
              <w:rPr>
                <w:sz w:val="20"/>
                <w:szCs w:val="20"/>
                <w:color w:val="auto"/>
              </w:rPr>
            </w:pPr>
            <w:r>
              <w:rPr>
                <w:rFonts w:ascii="Arial" w:cs="Arial" w:eastAsia="Arial" w:hAnsi="Arial"/>
                <w:sz w:val="14"/>
                <w:szCs w:val="14"/>
                <w:color w:val="auto"/>
              </w:rPr>
              <w:t>Smaller reporting company</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3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12"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6600" w:type="dxa"/>
            <w:vAlign w:val="bottom"/>
            <w:gridSpan w:val="3"/>
          </w:tcPr>
          <w:p>
            <w:pPr>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Act).  YES </w:t>
            </w:r>
            <w:r>
              <w:rPr>
                <w:rFonts w:ascii="MS PGothic" w:cs="MS PGothic" w:eastAsia="MS PGothic" w:hAnsi="MS PGothic"/>
                <w:sz w:val="14"/>
                <w:szCs w:val="14"/>
                <w:color w:val="auto"/>
                <w:w w:val="95"/>
              </w:rPr>
              <w:t>☐</w:t>
            </w:r>
          </w:p>
        </w:tc>
        <w:tc>
          <w:tcPr>
            <w:tcW w:w="426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54"/>
        </w:trPr>
        <w:tc>
          <w:tcPr>
            <w:tcW w:w="45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134"/>
        </w:trPr>
        <w:tc>
          <w:tcPr>
            <w:tcW w:w="600" w:type="dxa"/>
            <w:vAlign w:val="bottom"/>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r>
      <w:tr>
        <w:trPr>
          <w:trHeight w:val="156"/>
        </w:trPr>
        <w:tc>
          <w:tcPr>
            <w:tcW w:w="600" w:type="dxa"/>
            <w:vAlign w:val="bottom"/>
            <w:tcBorders>
              <w:right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Title of each class</w:t>
            </w:r>
          </w:p>
        </w:tc>
        <w:tc>
          <w:tcPr>
            <w:tcW w:w="208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color w:val="auto"/>
                <w:w w:val="94"/>
              </w:rPr>
              <w:t>Trading Symbol(s)</w:t>
            </w:r>
          </w:p>
        </w:tc>
        <w:tc>
          <w:tcPr>
            <w:tcW w:w="320" w:type="dxa"/>
            <w:vAlign w:val="bottom"/>
            <w:tcBorders>
              <w:bottom w:val="single" w:sz="8" w:color="auto"/>
              <w:right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Name of each exchange on which registered</w:t>
            </w:r>
          </w:p>
        </w:tc>
      </w:tr>
      <w:tr>
        <w:trPr>
          <w:trHeight w:val="156"/>
        </w:trPr>
        <w:tc>
          <w:tcPr>
            <w:tcW w:w="600" w:type="dxa"/>
            <w:vAlign w:val="bottom"/>
            <w:tcBorders>
              <w:right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Common Stock, $0.0001 par value per share</w:t>
            </w:r>
          </w:p>
        </w:tc>
        <w:tc>
          <w:tcPr>
            <w:tcW w:w="2080" w:type="dxa"/>
            <w:vAlign w:val="bottom"/>
            <w:tcBorders>
              <w:bottom w:val="single" w:sz="8" w:color="auto"/>
            </w:tcBorders>
          </w:tcPr>
          <w:p>
            <w:pPr>
              <w:jc w:val="center"/>
              <w:ind w:left="188"/>
              <w:spacing w:after="0" w:line="155" w:lineRule="exact"/>
              <w:rPr>
                <w:sz w:val="20"/>
                <w:szCs w:val="20"/>
                <w:color w:val="auto"/>
              </w:rPr>
            </w:pPr>
            <w:r>
              <w:rPr>
                <w:rFonts w:ascii="Arial" w:cs="Arial" w:eastAsia="Arial" w:hAnsi="Arial"/>
                <w:sz w:val="14"/>
                <w:szCs w:val="14"/>
                <w:color w:val="auto"/>
                <w:w w:val="97"/>
              </w:rPr>
              <w:t>NERV</w:t>
            </w:r>
          </w:p>
        </w:tc>
        <w:tc>
          <w:tcPr>
            <w:tcW w:w="320" w:type="dxa"/>
            <w:vAlign w:val="bottom"/>
            <w:tcBorders>
              <w:bottom w:val="single" w:sz="8" w:color="auto"/>
              <w:right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The NASDAQ Global Market</w:t>
            </w:r>
          </w:p>
        </w:tc>
      </w:tr>
    </w:tbl>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$0.0001 par value per share, outstanding as of May 1, 2019 was 39,025,471.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608965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20" w:type="dxa"/>
            <w:vAlign w:val="bottom"/>
            <w:gridSpan w:val="13"/>
            <w:vMerge w:val="restart"/>
          </w:tcPr>
          <w:p>
            <w:pPr>
              <w:jc w:val="center"/>
              <w:ind w:right="254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20" w:type="dxa"/>
            <w:vAlign w:val="bottom"/>
            <w:gridSpan w:val="1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1020" w:type="dxa"/>
            <w:vAlign w:val="bottom"/>
          </w:tcPr>
          <w:p>
            <w:pPr>
              <w:spacing w:after="0"/>
              <w:rPr>
                <w:sz w:val="24"/>
                <w:szCs w:val="24"/>
                <w:color w:val="auto"/>
              </w:rPr>
            </w:pPr>
          </w:p>
        </w:tc>
        <w:tc>
          <w:tcPr>
            <w:tcW w:w="2540" w:type="dxa"/>
            <w:vAlign w:val="bottom"/>
            <w:tcBorders>
              <w:top w:val="single" w:sz="8" w:color="0000EE"/>
            </w:tcBorders>
            <w:gridSpan w:val="6"/>
          </w:tcPr>
          <w:p>
            <w:pPr>
              <w:spacing w:after="0"/>
              <w:rPr>
                <w:sz w:val="24"/>
                <w:szCs w:val="24"/>
                <w:color w:val="auto"/>
              </w:rPr>
            </w:pPr>
          </w:p>
        </w:tc>
        <w:tc>
          <w:tcPr>
            <w:tcW w:w="356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2019 and December 31,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 2019 and 2018</w:t>
              </w:r>
            </w:hyperlink>
          </w:p>
        </w:tc>
        <w:tc>
          <w:tcPr>
            <w:tcW w:w="20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for the three months ended March 31, 2019 and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2019 and 2018</w:t>
              </w:r>
            </w:hyperlink>
          </w:p>
        </w:tc>
        <w:tc>
          <w:tcPr>
            <w:tcW w:w="600" w:type="dxa"/>
            <w:vAlign w:val="bottom"/>
            <w:tcBorders>
              <w:top w:val="single" w:sz="8" w:color="0000EE"/>
            </w:tcBorders>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56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6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31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56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PART II — Other Information</w:t>
              </w:r>
            </w:hyperlink>
          </w:p>
        </w:tc>
        <w:tc>
          <w:tcPr>
            <w:tcW w:w="364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220" w:type="dxa"/>
            <w:vAlign w:val="bottom"/>
            <w:gridSpan w:val="1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56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2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560" w:type="dxa"/>
            <w:vAlign w:val="bottom"/>
            <w:gridSpan w:val="20"/>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2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82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6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180" w:type="dxa"/>
            <w:vAlign w:val="bottom"/>
            <w:gridSpan w:val="2"/>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1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tcBorders>
              <w:bottom w:val="single" w:sz="8" w:color="CFF0FC"/>
            </w:tcBorders>
          </w:tcPr>
          <w:p>
            <w:pPr>
              <w:spacing w:after="0"/>
              <w:rPr>
                <w:sz w:val="16"/>
                <w:szCs w:val="16"/>
                <w:color w:val="auto"/>
              </w:rPr>
            </w:pPr>
          </w:p>
        </w:tc>
        <w:tc>
          <w:tcPr>
            <w:tcW w:w="7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30,607,868</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50,234,871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48,556,558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37,762,439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1,054,034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1,921,050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80,318,460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90,018,360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371,370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129,803,148</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139,136,045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3,025,563</w:t>
            </w:r>
          </w:p>
        </w:tc>
        <w:tc>
          <w:tcPr>
            <w:tcW w:w="180" w:type="dxa"/>
            <w:vAlign w:val="bottom"/>
          </w:tcPr>
          <w:p>
            <w:pPr>
              <w:spacing w:after="0"/>
              <w:rPr>
                <w:sz w:val="19"/>
                <w:szCs w:val="19"/>
                <w:color w:val="auto"/>
              </w:rPr>
            </w:pP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1,799,666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3,720,955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156,159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7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6,902,677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4,057,488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Noncurrent operating leases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243,115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noncurrent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7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52,378,880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48,871,276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or outstanding as of March 31, 2019 and December 31, 2018, respectively</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125,000,000 shares authorized; 39,025,471 and</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38,937,971 shares issued and outstanding as of March 31, 2019 and</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2018, respectively</w:t>
            </w: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307,800,293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304,813,603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(230,379,928)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(214,552,728)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77,424,268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90,264,769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129,803,148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139,136,045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86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11,606,197</w:t>
            </w:r>
          </w:p>
        </w:tc>
        <w:tc>
          <w:tcPr>
            <w:tcW w:w="180" w:type="dxa"/>
            <w:vAlign w:val="bottom"/>
          </w:tcPr>
          <w:p>
            <w:pPr>
              <w:spacing w:after="0"/>
              <w:rPr>
                <w:sz w:val="19"/>
                <w:szCs w:val="19"/>
                <w:color w:val="auto"/>
              </w:rPr>
            </w:pP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8,449,267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4,705,674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19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16,311,871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12,743,812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(16,311,871)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(6,313)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Investment income</w:t>
            </w: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490,984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(70,649)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w:t>
            </w:r>
          </w:p>
        </w:tc>
        <w:tc>
          <w:tcPr>
            <w:tcW w:w="190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(15,827,200)</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(12,418,263)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9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38,968,110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38,749,343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4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Paid-In Capital</w:t>
            </w:r>
          </w:p>
        </w:tc>
        <w:tc>
          <w:tcPr>
            <w:tcW w:w="13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6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2018</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$ 295,975,010</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 (164,381,441)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131,597,444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2,113,936</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2,113,936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(12,418,263)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(12,418,263)</w:t>
            </w:r>
          </w:p>
        </w:tc>
        <w:tc>
          <w:tcPr>
            <w:tcW w:w="0" w:type="dxa"/>
            <w:vAlign w:val="bottom"/>
          </w:tcPr>
          <w:p>
            <w:pPr>
              <w:spacing w:after="0"/>
              <w:rPr>
                <w:sz w:val="1"/>
                <w:szCs w:val="1"/>
                <w:color w:val="auto"/>
              </w:rPr>
            </w:pPr>
          </w:p>
        </w:tc>
      </w:tr>
      <w:tr>
        <w:trPr>
          <w:trHeight w:val="26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38,749,343</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3,875</w:t>
            </w:r>
          </w:p>
        </w:tc>
        <w:tc>
          <w:tcPr>
            <w:tcW w:w="2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298,088,946</w:t>
            </w:r>
          </w:p>
        </w:tc>
        <w:tc>
          <w:tcPr>
            <w:tcW w:w="24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(176,799,704</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121,293,117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Balances at January 1, 2019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38,937,971</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3,894</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$ 304,813,603</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 (214,552,728)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9"/>
              </w:rPr>
              <w:t>90,264,769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524,991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2,461,699</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2,461,699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(15,827,200)</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(15,827,200)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39,025,471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$ 307,800,293</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(230,379,928</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77,424,268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(15,827,200)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(12,418,263)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recorded as interest expense</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Accretion of marketable securities premium</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(242,708)</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(54,212)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2,461,699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851,715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(2,944,222)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1,911,423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(41,016)</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(9,600,592)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(10,931,732)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(19,551,411)</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(7,934,482)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(10,551,411)</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31,315,518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Repayments of notes payable</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(1,289,882)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(used in) by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(19,627,003)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19,093,904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50,334,871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26,131,821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30,707,868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45,225,725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ind w:left="120"/>
              <w:spacing w:after="0"/>
              <w:rPr>
                <w:sz w:val="20"/>
                <w:szCs w:val="20"/>
                <w:color w:val="auto"/>
              </w:rPr>
            </w:pPr>
            <w:r>
              <w:rPr>
                <w:rFonts w:ascii="Arial" w:cs="Arial" w:eastAsia="Arial" w:hAnsi="Arial"/>
                <w:sz w:val="18"/>
                <w:szCs w:val="18"/>
                <w:b w:val="1"/>
                <w:bCs w:val="1"/>
                <w:color w:val="auto"/>
              </w:rPr>
              <w:t>Condensed Consolidated Balance Sheets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30,607,868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45,125,725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30,707,868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45,225,725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March 31, 2019 and for the Three Months Ended March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2019, the Company has an accumulated deficit of approximately $230.4 million and net cash used in operating activities was approximately $9.6 million during the three months ended March 31, 2019. Management expects to continue to incur operating losses and negative cash flows from operations. The Company has financed its operations to date from proceeds from the sale of common stock, warrants, loans and convertible promissory notes.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2019, the Company had cash, cash equivalents, marketable securities, and restricted cash of $79.3 million. The Company believes that its existing cash, cash equivalents, restricted cash and marketable securities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2019, the results of operations for the three months ended March 31, 2019 and 2018 and cash flows for the three months ended March 31, 2019 and 2018. The results of operations for the three months ended March 31, 2019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2018 was derived from the audited annual financial statements. The accompanying unaudited condensed consolidated financial statements and notes thereto should be read in conjunction with the audited consolidated financial statements for the year ended December 31, 2018 included in the Company’s Annual Report on Form 10-K filed with the SEC on March 12, 2019.</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Marketable securities consists of corporate and U.S. government debt securities maturing in six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March 31, 2019, remaining final maturities of marketable securities ranged from April 2019 to September 2019, with a weighted average remaining maturity of approximately 3.2 months. The following table provides the amortized cost basis, aggregate fair value, unrealized gains/losses, and the net carrying value of investments in held-to-maturity securities as of March 31,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10,823,308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10,832,228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$ 10,823,308</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25,819,617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25,819,617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25,819,617</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11,913,633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11,916,320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(2,687)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11,913,633</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 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48,556,558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48,568,165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$ 48,556,558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left="557"/>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16,054,071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16,050,462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$ 16,054,071</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17,756,394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17,756,394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17,756,394</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3,951,974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3,951,040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3,951,974</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 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37,762,439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37,757,896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$ 37,762,439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$100 thousand at March 31, 2019 and December 31, 2018.</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months ended March 31, 2019 or 2018.</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actual forfeiture rate and expected life of the options. The fair value of restricted stock units (“RSUs”) is equal to the closing price of the Company’s common stock on the date of grant.</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Equipment is stated at cost less accumulated depreciation. Equipment is depreciated on the straight-line basis over their estimated useful lives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Effective January 1, 2019, the Company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the required modified retrospective approach and utilizing the effective date as its date of initial application, for which prior 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2"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2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20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March 31, 2019 and 2018.</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three months ended March 31, 2019 and 2018.</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Company applies the revenue recognition guidance in accordance with Financial Accounting Standards Board (“FASB”)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Revenue is recognized when persuasive evidence of an arrangement exists, delivery has occurred and title has</w:t>
      </w:r>
      <w:r>
        <w:rPr>
          <w:rFonts w:ascii="Arial" w:cs="Arial" w:eastAsia="Arial" w:hAnsi="Arial"/>
          <w:sz w:val="18"/>
          <w:szCs w:val="18"/>
          <w:i w:val="1"/>
          <w:iCs w:val="1"/>
          <w:color w:val="auto"/>
        </w:rPr>
        <w:t xml:space="preserve"> </w:t>
      </w:r>
      <w:r>
        <w:rPr>
          <w:rFonts w:ascii="Arial" w:cs="Arial" w:eastAsia="Arial" w:hAnsi="Arial"/>
          <w:sz w:val="18"/>
          <w:szCs w:val="18"/>
          <w:color w:val="auto"/>
        </w:rPr>
        <w:t>passed, the price is fixed or determinable, and collectability is reasonably assured. The Company is a development stage company and has had no revenues from product sales to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 xml:space="preserve">When the Company enters into an arrangement that meets the definition of a collaboration under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was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adopted ASC 842 on January 1, 2019 using a cumulative-effect adjustment on the effective date of the standard, for which comparative periods are presented in accordance with the previous guidance in ASC 840.</w:t>
      </w:r>
    </w:p>
    <w:p>
      <w:pPr>
        <w:spacing w:after="0" w:line="21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adopting ASC 842, the Company elected to utilize the available package of practical expedients permitted under the transition guidance within the new standard, which did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exclude leases with a term of 12 months or less from its balance sheet.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ind w:right="120"/>
        <w:spacing w:after="0" w:line="259" w:lineRule="auto"/>
        <w:rPr>
          <w:sz w:val="20"/>
          <w:szCs w:val="20"/>
          <w:color w:val="auto"/>
        </w:rPr>
      </w:pPr>
      <w:r>
        <w:rPr>
          <w:rFonts w:ascii="Arial" w:cs="Arial" w:eastAsia="Arial" w:hAnsi="Arial"/>
          <w:sz w:val="18"/>
          <w:szCs w:val="18"/>
          <w:color w:val="auto"/>
        </w:rPr>
        <w:t>The adoption of this standard resulted in the recognition of operating lease liabilities and right-of-use assets of $0.4 million and $0.4 million, respectively, on the Company’s balance sheet relating to its leases for its corporate headquarters at 1601 Trapelo Road, Suite 286, Waltham, MA 02451. The adoption of the standard did not have a material effect on the Company’s condensed consolidated statements of operation and comprehensive loss or condensed consolidated statements of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 Leases, for the Company’s current lease commitments.</w:t>
      </w:r>
    </w:p>
    <w:p>
      <w:pPr>
        <w:spacing w:after="0" w:line="2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Purchased Callable Debt Securities</w:t>
      </w:r>
      <w:r>
        <w:rPr>
          <w:rFonts w:ascii="Arial" w:cs="Arial" w:eastAsia="Arial" w:hAnsi="Arial"/>
          <w:sz w:val="17"/>
          <w:szCs w:val="17"/>
          <w:color w:val="auto"/>
        </w:rPr>
        <w:t>. The new standard is intended to enhance the accounting for the amortization of premiums for purchased callable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This update is effective for annual periods beginning after December 15, 2018, and interim periods within those fiscal years, with early adoption permitted, including adoption in an interim period. The Company adopted the new standard on January 1, 2019. The adoption of this standard did not have a material impact on the Company’s consolidated financial statements.</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Stock Compensation (Topic 718): Improvements to Nonemployee Share-Based Payment Accounting.</w:t>
      </w:r>
      <w:r>
        <w:rPr>
          <w:rFonts w:ascii="Arial" w:cs="Arial" w:eastAsia="Arial" w:hAnsi="Arial"/>
          <w:sz w:val="16"/>
          <w:szCs w:val="16"/>
          <w:color w:val="auto"/>
        </w:rPr>
        <w:t xml:space="preserve"> The new standard is intended to reduce the cost and complexity and to improve financial reporting for nonemployee share-based payments. This update expands the scope of </w:t>
      </w:r>
      <w:r>
        <w:rPr>
          <w:rFonts w:ascii="Arial" w:cs="Arial" w:eastAsia="Arial" w:hAnsi="Arial"/>
          <w:sz w:val="16"/>
          <w:szCs w:val="16"/>
          <w:i w:val="1"/>
          <w:iCs w:val="1"/>
          <w:color w:val="auto"/>
        </w:rPr>
        <w:t>Topic 718, Compensation-Stock Compensation</w:t>
      </w:r>
      <w:r>
        <w:rPr>
          <w:rFonts w:ascii="Arial" w:cs="Arial" w:eastAsia="Arial" w:hAnsi="Arial"/>
          <w:sz w:val="16"/>
          <w:szCs w:val="16"/>
          <w:color w:val="auto"/>
        </w:rPr>
        <w:t xml:space="preserve"> (which currently only includes share-based payments to employees) to include share-based payments issued to nonemployees for goods or services. Consequently, the accounting for share-based payments to nonemployees and employees will be substantially aligned. The new standard supersedes </w:t>
      </w:r>
      <w:r>
        <w:rPr>
          <w:rFonts w:ascii="Arial" w:cs="Arial" w:eastAsia="Arial" w:hAnsi="Arial"/>
          <w:sz w:val="16"/>
          <w:szCs w:val="16"/>
          <w:i w:val="1"/>
          <w:iCs w:val="1"/>
          <w:color w:val="auto"/>
        </w:rPr>
        <w:t>Subtopic 505-50, Equity-Equity-Based payments to Non-Employees</w:t>
      </w:r>
      <w:r>
        <w:rPr>
          <w:rFonts w:ascii="Arial" w:cs="Arial" w:eastAsia="Arial" w:hAnsi="Arial"/>
          <w:sz w:val="16"/>
          <w:szCs w:val="16"/>
          <w:color w:val="auto"/>
        </w:rPr>
        <w:t xml:space="preserve">. The update is effective for the Company for fiscal years beginning after December 15, 2018, including interim periods within that fiscal year. Early adoption is permitted, but no earlier than a company’s adoption date of </w:t>
      </w:r>
      <w:r>
        <w:rPr>
          <w:rFonts w:ascii="Arial" w:cs="Arial" w:eastAsia="Arial" w:hAnsi="Arial"/>
          <w:sz w:val="16"/>
          <w:szCs w:val="16"/>
          <w:i w:val="1"/>
          <w:iCs w:val="1"/>
          <w:color w:val="auto"/>
        </w:rPr>
        <w:t>Topic 606, Revenue from Contracts with Customers</w:t>
      </w:r>
      <w:r>
        <w:rPr>
          <w:rFonts w:ascii="Arial" w:cs="Arial" w:eastAsia="Arial" w:hAnsi="Arial"/>
          <w:sz w:val="16"/>
          <w:szCs w:val="16"/>
          <w:color w:val="auto"/>
        </w:rPr>
        <w:t>. The Company adopted the new standard on January 1, 2019. The adoption of this standard did not have a material impact on the Company’s consolidated financial statements.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2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2,572,814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1,353,987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Accrued bonus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501,014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455,545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Vacation pay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251,630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3,720,955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(15,827,200)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(12,418,263)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Weighted average shares of common stock outstanding</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38,968,110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38,749,343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w w:val="94"/>
              </w:rPr>
              <w:t>Net loss per share of common stock – basic and diluted</w:t>
            </w:r>
          </w:p>
        </w:tc>
        <w:tc>
          <w:tcPr>
            <w:tcW w:w="2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(0.41)</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(0.32)</w:t>
            </w:r>
          </w:p>
        </w:tc>
        <w:tc>
          <w:tcPr>
            <w:tcW w:w="116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0" w:type="dxa"/>
            <w:vAlign w:val="bottom"/>
          </w:tcPr>
          <w:p>
            <w:pPr>
              <w:jc w:val="right"/>
              <w:ind w:right="149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4" w:name="page15"/>
    <w:bookmarkEnd w:id="14"/>
    <w:p>
      <w:pPr>
        <w:ind w:right="280"/>
        <w:spacing w:after="0" w:line="277" w:lineRule="auto"/>
        <w:rPr>
          <w:sz w:val="20"/>
          <w:szCs w:val="20"/>
          <w:color w:val="auto"/>
        </w:rPr>
      </w:pPr>
      <w:r>
        <w:rPr>
          <w:rFonts w:ascii="Arial" w:cs="Arial" w:eastAsia="Arial" w:hAnsi="Arial"/>
          <w:sz w:val="18"/>
          <w:szCs w:val="18"/>
          <w:color w:val="auto"/>
        </w:rPr>
        <w:t>The following securities outstanding at March 31, 2019 and 2018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6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8,378,672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6,555,150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127,300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185,950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8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drew down the initial Term Loans in the aggregate principal amount of $10 million (the “Term A Loans”), on January 16, 2015. The Term A Loans bore interest at a fixed rate of 7.05% per annum. The Company believes that the Company's debt obligations accrued interest at rates which approximated prevailing market rates for instruments with similar characteristics and, accordingly, the carrying values for these instruments approximated fair value.</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paid a facility fee at the time of borrowing of $75 thousand for access to the Term Loans and paid a final payment of $510 thousand in August 2018, representing 5.1% of the total amount borrowed, which has been included as a component of the debt discount and was amortized to interest expense over the term of the loans. The Term Loans matured on August 1, 2018 and the Company made a final repayment in the amount of $510 thousand on such date. As of March 31, 2019, the Company had no borrowings outstanding under the Term Loans.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2019 and 2018, the Company recognized interest expense of zero and $0.1 million respectively, including zero and $24 thousand, respectively, related to the debt discount.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2" w:lineRule="exact"/>
        <w:rPr>
          <w:sz w:val="20"/>
          <w:szCs w:val="20"/>
          <w:color w:val="auto"/>
        </w:rPr>
      </w:pPr>
    </w:p>
    <w:p>
      <w:pPr>
        <w:ind w:right="120" w:firstLine="8"/>
        <w:spacing w:after="0" w:line="279"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covering selective antagonists of orexin-2 receptors, including seltorexant, to sell those compounds outside the Minerva Territory. In consideration of the licenses granted on July 7, 2014, the Company made a license fee payment of $22.0 million, which was included as a component of research and development expense in 2014.</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accounts for the Agreement as a joint risk-sharing collaboration in accordance with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6, 2016, the Company and Janssen agreed that “Decision Point 2” had been reached as defined under the Agreement. As neither party exercised their right to withdraw from the Agreement, the Company paid Janssen $3.5 million and has incurred direct expenses of $0.3 million related to development activities under the current phase of development. During the three months ended March 31, 2019 and 2018, the Company recorded an expense of zero for certain development activities in accordance with the terms of the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right="80"/>
        <w:spacing w:after="0" w:line="268" w:lineRule="auto"/>
        <w:rPr>
          <w:sz w:val="20"/>
          <w:szCs w:val="20"/>
          <w:color w:val="auto"/>
        </w:rPr>
      </w:pPr>
      <w:r>
        <w:rPr>
          <w:rFonts w:ascii="Arial" w:cs="Arial" w:eastAsia="Arial" w:hAnsi="Arial"/>
          <w:sz w:val="17"/>
          <w:szCs w:val="17"/>
          <w:color w:val="auto"/>
        </w:rPr>
        <w:t>In June 2017, the Company entered into an amendment (“the Amendment”) to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The Company retains all of its rights to seltorexant, including commercialization of the molecule for the treatment of insomnia and as an adjunctive therapy for MDD, which include an exclusive license in the Minerva Territory, with royalties payable by the Company to Janssen on seltorexant sales outside of the insomnia indication.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the Company until completion of the Phase 2b development milestone. This milestone is referred to as “Decision Point 4”. Completion of the current Phase 2b studies is expected to occur in the second half of 2019.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March 31, 2019 and December 31, 2018.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a result of the Amendment, the Company assumed strategic control of matters relating to the clinical development of seltorexant for insomnia and has no further financial obligations until after Decision Point 4. After Decision Point 4, both the Company and Janssen have the right to opt-out of the Agreement.</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the Company opts-out, it collects a royalty on worldwide sales of seltorexant in the single digits with no further obligations to Janssen. If Janssen opts-out, the Minerva Territory would be expanded to include North America and the Company would pay Janssen single digit royalties on sales of seltorexant outside of the insomnia indication.</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If both parties elect to continue past Decision Point 4 into Phase 3, the Company would be obligated to fund the clinical trials related to insomnia, receive up to $40 million in milestone payments from Janssen, and be responsible for 40% of all costs incurred in the Phase 3 MDD program.</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related to future performance obligations and will be recognized as those performance obligations are performed by the Company. Similarly, the Company will recognize royalty revenues in the periods of the sale of the related products, provided that no future performance obligations exist and revenue recognition is limited to amounts for which it is probable that a significant reversal will not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March 31, 2019.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total shares authorized for issuance under the plan increased by 750,000 to 6,531,333.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In December 2017, the Company issued inducement awards in the form of an option to purchase 775,000 shares of the Company’s common stock with an exercise price of $6.05 per share and a restricted stock unit award to acquire 40,000 shares of the Company’s common stock, to Rick Russell in connection with his appointment as the Company’s President. These inducement awards are outside of, but subject to the terms generally consistent with, the Plan, as a material inducement to Mr. Russell’s acceptance of employment with the Company in accordance with Nasdaq Listing Rule 5635(c)(4). In June 2018, the Company increased the aggregate number of shares of common stock authorized for issuance under the Plan by 2,500,000 shares. Stock option activity for employees and non-employees for the three months ended March 31, 2019 is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8,498,047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(31,875)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gridSpan w:val="2"/>
          </w:tcPr>
          <w:p>
            <w:pPr>
              <w:spacing w:after="0"/>
              <w:rPr>
                <w:sz w:val="20"/>
                <w:szCs w:val="20"/>
                <w:color w:val="auto"/>
              </w:rPr>
            </w:pPr>
            <w:r>
              <w:rPr>
                <w:rFonts w:ascii="Arial" w:cs="Arial" w:eastAsia="Arial" w:hAnsi="Arial"/>
                <w:sz w:val="18"/>
                <w:szCs w:val="18"/>
                <w:color w:val="auto"/>
              </w:rPr>
              <w:t>Outstanding March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8,378,672</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March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4,078,271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7,635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gridSpan w:val="2"/>
            <w:vMerge w:val="continue"/>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March 31, 2019 was $5.17 per share. Total unrecognized compensation costs related to non-vested stock options at March 31, 2019 was approximately $21.2 million and is expected to be recognized within future operating results over a weighted-average period of 3.0 years. The total intrinsic value of the options exercised during the three months ended March 31, 2019 was approximately $0.2 million. No options were exercised during the three months ended March 31, 2018.</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expected term of the employee-related options was estimated using the “simplified” method as defined by the SEC’s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to employees during the three months ended March 31, 2019 and 2018, the Company utilized the following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7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5"/>
        </w:trPr>
        <w:tc>
          <w:tcPr>
            <w:tcW w:w="20" w:type="dxa"/>
            <w:vAlign w:val="bottom"/>
          </w:tcPr>
          <w:p>
            <w:pPr>
              <w:spacing w:after="0"/>
              <w:rPr>
                <w:sz w:val="18"/>
                <w:szCs w:val="18"/>
                <w:color w:val="auto"/>
              </w:rPr>
            </w:pPr>
          </w:p>
        </w:tc>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There were no stock options granted to employees during the three months ended March 31, 2019.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t>The Company from time to time grants options to purchase common stock to non-employees for services rendered and records expense ratably over the vesting period of each award. The Company estimates the fair value of the stock options using the Black-Scholes valuation model at each reporting date. The Company granted zero stock options to non-employees and recorded stock-based compensation expense of $0.2 million during the three months ended March 31, 2019. The Company granted 40,000 stock options to non-employees and recorded stock-based compensation expense of $0.2 million during the three months ended March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7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8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2.71-2.74%</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8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85-113%</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 common stock</w:t>
            </w:r>
          </w:p>
        </w:tc>
        <w:tc>
          <w:tcPr>
            <w:tcW w:w="8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220" w:firstLine="386"/>
        <w:spacing w:after="0" w:line="52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no stock options granted to non-employees during the three months ended March 31, 2019. RSU activity under the Plan for the three months ended March 31, 2019 is as follows:</w:t>
      </w:r>
    </w:p>
    <w:tbl>
      <w:tblPr>
        <w:tblLayout w:type="fixed"/>
        <w:tblInd w:w="11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Weighted-</w:t>
            </w: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jc w:val="right"/>
              <w:ind w:right="393"/>
              <w:spacing w:after="0"/>
              <w:rPr>
                <w:sz w:val="20"/>
                <w:szCs w:val="20"/>
                <w:color w:val="auto"/>
              </w:rPr>
            </w:pPr>
            <w:r>
              <w:rPr>
                <w:rFonts w:ascii="Arial" w:cs="Arial" w:eastAsia="Arial" w:hAnsi="Arial"/>
                <w:sz w:val="14"/>
                <w:szCs w:val="14"/>
                <w:b w:val="1"/>
                <w:bCs w:val="1"/>
                <w:color w:val="auto"/>
              </w:rPr>
              <w:t>RSUs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March 31,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127,300</w:t>
            </w:r>
          </w:p>
        </w:tc>
        <w:tc>
          <w:tcPr>
            <w:tcW w:w="400" w:type="dxa"/>
            <w:vAlign w:val="bottom"/>
            <w:tcBorders>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March 31, 2019 was approximately $1.3 million and is expected to be recognized within future operating results over a period of 1.8 years. The following table presents stock-based compensation expense included in the Company’s consolidated statements of operations: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700,263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1,761,436</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1,589,790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2,113,936</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 Leases, for the Company’s current lease commitments.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LEASES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6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on a straight-line basis over the remaining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Term, the Company is responsible for paying certain costs and expenses, in addition to the rent, as specified in the</w:t>
      </w:r>
    </w:p>
    <w:p>
      <w:pPr>
        <w:spacing w:after="0" w:line="23"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a summary of the Sublease costs recognized under ASC 842 and other information pertaining to the Company’s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three months ended March 31, 2019:</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w w:val="97"/>
              </w:rPr>
              <w:t>2.3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Sublease payments under the Company’s non-cancelable operating Sublease as of March 31, 2019,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320" w:type="dxa"/>
            <w:vAlign w:val="bottom"/>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Waltham</w:t>
            </w:r>
          </w:p>
        </w:tc>
      </w:tr>
      <w:tr>
        <w:trPr>
          <w:trHeight w:val="223"/>
        </w:trPr>
        <w:tc>
          <w:tcPr>
            <w:tcW w:w="6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 (excluding the three months ended March 31, 2019)</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192,004</w:t>
            </w:r>
          </w:p>
        </w:tc>
        <w:tc>
          <w:tcPr>
            <w:tcW w:w="8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446,199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(46,925)</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Sublease liabilities at March 31, 2019</w:t>
            </w:r>
          </w:p>
        </w:tc>
        <w:tc>
          <w:tcPr>
            <w:tcW w:w="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399,274</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4"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2018 as filed with the Securities and Exchange Commission on March 12,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product portfolio and potential indications include: roluperidone (also known as MIN-101) for the treatment of negative symptoms in patients with schizophrenia; seltorexant (also known as MIN-202 or JNJ-42847922), which we are co-developing with Janssen Pharmaceutica NV (“Janssen”) for the treatment of insomnia disorder and adjunctive treatment of Major Depressive Disorder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2017, the first patient was screened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or mg, and 64 mg of roluperidone in adult patients with negative symptoms of schizophrenia. The 12-week study will be followed by a 40-week, open-label extension period during which patients on the drug will continue receiving their original dose and patients on placebo will receive either 32 mg or 64 mg of roluperidone.</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approximately 500 patients we expect to enroll in this trial at clinical sites in the U.S. and Europe will be initially randomized equally to receive one of the two doses of roluperidone or placebo for 12 weeks. Thereafter, all patients will continue treatment with roluperidone for the 40-week extension period if they elect to enter that period.</w:t>
      </w:r>
    </w:p>
    <w:p>
      <w:pPr>
        <w:spacing w:after="0" w:line="18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expect to complete enrollment in this trial during the second half of 2019, with top line results from the 12-week, double-blind portion of the study to be available in the fourth quarter of 2019.</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primary endpoint of this trial will be improvement in negative symptoms in patients treated with roluperidone compared to placebo as measured by the change in the Positive and Negative Syndrome Scale, or PANSS, Marder negative symptoms factor score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(“CGI-S”) score and safety and tolerability.</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moderate to severe symptoms of excitement/hyperactivity, suspiciousness/persecution,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a wash-out period of a few days before receiving study drug. These parameters were applied in screening the population treated in the Phase 2b trial.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Chemistry, Manufacturing and Controls program</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chemistry, manufacturing and controls (“CMC”) scale-up program for roluperidone is ongoing to ensure consistency between the drug batches to be used during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Brain-Derived Neurotrophic Factor Findings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completed a pre-clinical study that provides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synapse regulation,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(Glial cell derived neurotrophic factor) in cultured astrocytes. Furthermore, data showed that roluperidone enhanced BDNF gene expression at drug concentrations similar to those observed in humans at tested doses.</w:t>
      </w:r>
    </w:p>
    <w:p>
      <w:pPr>
        <w:spacing w:after="0" w:line="171" w:lineRule="exact"/>
        <w:rPr>
          <w:sz w:val="20"/>
          <w:szCs w:val="20"/>
          <w:color w:val="auto"/>
        </w:rPr>
      </w:pPr>
    </w:p>
    <w:p>
      <w:pPr>
        <w:ind w:right="480"/>
        <w:spacing w:after="0" w:line="299" w:lineRule="auto"/>
        <w:rPr>
          <w:sz w:val="20"/>
          <w:szCs w:val="20"/>
          <w:color w:val="auto"/>
        </w:rPr>
      </w:pPr>
      <w:r>
        <w:rPr>
          <w:rFonts w:ascii="Arial" w:cs="Arial" w:eastAsia="Arial" w:hAnsi="Arial"/>
          <w:sz w:val="18"/>
          <w:szCs w:val="18"/>
          <w:color w:val="auto"/>
        </w:rPr>
        <w:t>Based on these results, we believe that the effect of roluperidone on BDNF and GDNF may indicate its potential for disease modification and improved neuroplasticity, in addition to its observed effects on the sigma</w:t>
      </w:r>
      <w:r>
        <w:rPr>
          <w:rFonts w:ascii="Arial" w:cs="Arial" w:eastAsia="Arial" w:hAnsi="Arial"/>
          <w:sz w:val="15"/>
          <w:szCs w:val="15"/>
          <w:color w:val="auto"/>
        </w:rPr>
        <w:t>2</w:t>
      </w:r>
      <w:r>
        <w:rPr>
          <w:rFonts w:ascii="Arial" w:cs="Arial" w:eastAsia="Arial" w:hAnsi="Arial"/>
          <w:sz w:val="18"/>
          <w:szCs w:val="18"/>
          <w:color w:val="auto"/>
        </w:rPr>
        <w:t xml:space="preserve"> and serotoninergic 5-HT</w:t>
      </w:r>
      <w:r>
        <w:rPr>
          <w:rFonts w:ascii="Arial" w:cs="Arial" w:eastAsia="Arial" w:hAnsi="Arial"/>
          <w:sz w:val="15"/>
          <w:szCs w:val="15"/>
          <w:color w:val="auto"/>
        </w:rPr>
        <w:t>2A</w:t>
      </w:r>
      <w:r>
        <w:rPr>
          <w:rFonts w:ascii="Arial" w:cs="Arial" w:eastAsia="Arial" w:hAnsi="Arial"/>
          <w:sz w:val="18"/>
          <w:szCs w:val="18"/>
          <w:color w:val="auto"/>
        </w:rPr>
        <w:t xml:space="preserve"> neurotransmitter pathways.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Journal of Clinical Psychiatry Publication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Journal of Clinical Psychiatry has published online results demonstrating cognitive improvements in patients with schizophrenia treated with roluperidone (Cognitive Effects on MIN-101 in Patients with Schizophrenia and Negative Symptoms: Results from a Randomized Controlled Trial). The results also demonstrated that cognitive improvements correlate with previously reported improvements in negative symptoms. This is the third peer-reviewed publication of Phase 2b data with roluperidone.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initiated a Phase 2b trial in MDD in the U.S. and Europe on April 9, 2018. The primary objective of the trial is to evaluate the efficacy of two fixed doses of MIN-117, 5.0 mg and 2.5 mg daily, compared with placebo in reducing the symptoms of major depression as measured by the change in the Montgomery-Asberg Depression Rating Scale (“MADRS”) total score over six weeks of treatment. Secondary objectives include: (1) assessment of the change from baseline in symptoms of anxiety using the Hamilton Anxiety Scale (“HAM-A”); (2) the change in severity of illness using the Clinical Global Impression of Severity Scale (“CGI-S”) and Clinical Global Impression of Improvement Scale (“CGI-I”); and (3) safety over six weeks of treatment.</w:t>
      </w:r>
    </w:p>
    <w:p>
      <w:pPr>
        <w:spacing w:after="0" w:line="1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study is recruiting adults with a diagnosis of moderate or severe MDD with anxious distress and without psychotic features. Based upon previous clinical observations, we believe that patients with MDD who also have symptoms of anxiety may benefit from treatment with MIN-117.</w:t>
      </w:r>
    </w:p>
    <w:p>
      <w:pPr>
        <w:spacing w:after="0" w:line="14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Approximately 324 patients are expected to be enrolled in the U.S. and Europe. Patients will be randomized to one of three arms, including placebo and the two dosage arms, in a 2:1:1 ratio, resulting in approximately 162 patients in the placebo group and 81 patients in each of the two MIN-117 treatment groups. The study design includes a screening phase of up to three weeks, a 6-week double-blind treatment phase and a 2-week post-study follow-up period. We expect to complete enrollment in this trial in the third quarter of 2019, with top line results to be available in the fourth quarter of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Patent Application Related to Pain</w:t>
      </w:r>
    </w:p>
    <w:p>
      <w:pPr>
        <w:spacing w:after="0" w:line="22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We have filed a U.S. patent application for MIN-117 to treat pain. Pre-clinical rat models submitted in the patent application included peripheral motoneuropathy, inflammatory pain and chemotherapy-induced peripheral neuropathic pain. Findings in these models showed that MIN-117 restored approximately 60 percent of the nociceptive pain threshold after peripheral motoneuropathy or inflammatory pain and significantly reduced, in a dose-dependent manner, chemotherapy-induced peripheral neuropathic pain.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20"/>
        <w:spacing w:after="0" w:line="286" w:lineRule="auto"/>
        <w:rPr>
          <w:sz w:val="20"/>
          <w:szCs w:val="20"/>
          <w:color w:val="auto"/>
        </w:rPr>
      </w:pPr>
      <w:r>
        <w:rPr>
          <w:rFonts w:ascii="Arial" w:cs="Arial" w:eastAsia="Arial" w:hAnsi="Arial"/>
          <w:sz w:val="17"/>
          <w:szCs w:val="17"/>
          <w:color w:val="auto"/>
        </w:rPr>
        <w:t>These results suggest that MIN-117 may be a candidate for study in the treatment of diseases with chronic pain symptoms and may have the potential to address the urgent need for non-opioid therapeutic options for the treatment of pain. Furthermore, the currently available treatments for chronic pain are often not satisfactory and may be associated with adverse reactions, tolerance, dependence and reductions in the quality of life for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Trials in MDD</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Phase 2b trial of seltorexant as adjunctive therapy to antidepressants is ongoing in adult patients with MDD who have responded inadequately to antidepressant therapy (the “2001 Trial”). The primary objectives of this multi-center, double-blind, randomized, parallel group, placebo-controlled, adaptive-dose finding study are to assess the dose-response relationship and antidepressant effects of up to three doses of seltorexant (10, 20, and 40 mg) and to assess the safety and tolerability of seltorexant compared to placebo. The trial consists of three phases: a screening phase lasting up to four weeks, a 6-week double-blind treatment phase and a 2-week post-treatment follow-up phase. We plan to enroll approximately 280 patients in the U.S., Europe, Russia and Japan.</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Phase 2b clinical trial comparing seltorexant versus quetiapine as adjunctive therapy is ongoing in patients with MDD who have responded inadequately to antidepressant therapy (the “2002 Trial”). The primary objective of this multi-center, double-blind, randomized, flexible-dose, parallel-group study is to assess the efficacy of flexibly dosed seltorexant compared to flexibly dosed quetiapine as adjunctive therapy to a baseline antidepressant drug in delaying time to all-cause discontinuation of study drug over a 6-month treatment period. Time to all-cause discontinuation is defined as the number of days from administration of the first dose of study drug to administration of the last dose of study drug.</w:t>
      </w:r>
    </w:p>
    <w:p>
      <w:pPr>
        <w:spacing w:after="0" w:line="17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trial consists of three phases: a screening phase lasting up to four weeks, a six-month double-blind treatment phase and a 2-week follow-up phase. Approximately 100 patients 18 to 64 years of age are planned to be randomized in the U.S. to receive either flexibly dosed seltorexant, 20 mg or 40 mg, or flexibly dosed quetiapine XR, 150 mg or 300 mg. Subjects will continue to take their baseline antidepressant therapy of either a selective serotonin reuptake inhibitor (“SSRI”) or a serotonin-norepinephrine reuptake inhibitor (“SNRI”) at the same dose throughout the screening, double-blind and follow-up phases.</w:t>
      </w:r>
    </w:p>
    <w:p>
      <w:pPr>
        <w:spacing w:after="0" w:line="154"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Enrollment in the 2002 trial was temporarily suspended during the first quarter of 2018 due to a drug packaging issue. This issue has been resolved, and enrollment was restarted in the second quarter of 2018. We have completed pre-clinical fertility studies in female rats to assess the potential relevance to exposing women of child bearing potential to seltorexant and have requested regulatory clearance to lift the ban on enrolling these women.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Enrollment has been completed in the 2001 Trial in MDD and we expect top line results from this trial to be available in the second quarter of 2019.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Enrollment has been completed in the 2002 Trial in MDD and we expect top line results from this trial to be available in the third quarter of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 Phase 2b clinical trial of seltorexant is ongoing in patients with insomnia disorder (the “2005 Trial”). This multicenter, double-blind, randomized, parallel-group, active- and placebo-controlled dose finding study is designed to assess the efficacy and safety of seltorexant in both adult and elderly subjects with insomnia disorder. The primary objective of this trial is to assess the dose-response of three doses of seltorexant (5, 10 and 20 mg daily) compared to placebo on sleep onset as measured by the latency to persistent sleep (“LPS”) using polysomnography (“PSG”). The key secondary objective is to assess the dose-response of these three doses compared to placebo on wake after sleep onset (“WASO”) over the first six hours using PSG. In addition, the effects of seltorexant on sleep and cognition will be compared to those effects of zolpidem to determine potential differences between the compounds.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total of approximately 360 patients 18 to 85 years of age are expected to be randomized in this study at clinical sites in the U.S., European Union, and Japan.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Enrollment in the 2005 Trial in Insomnia has been completed and we expect top line results from this trial to be available in the second quarter of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Investigational New Drug (“IND”) or Investigational Medicinal Product Dossier (“IMPD”) filing, with a Phase 1 study expected to commence thereafter.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recognized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 As a result of the Amendment to our Co-Development and License Agreement with Janssen, we have Deferred Revenue that will be recognized in future periods, the timing of which is subject to certain future events that will be evaluated in conjunction with the relevant revenue recognition pronouncements.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future, we expect research and development expenses to be our largest category of operating expenses and to increase as we continue our planned pre-clinical and clinical trials for our product candidates and as we hire additional research and development staff.</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consists of income earned on our cash equivalents and marketable securities (current and non-current).</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incurred under our current outstanding loan with Oxford Finance LLC, or Oxford, and Silicon Valley</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SVB.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2019 versus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Total research and development expenses were $11.6 million for the three months ended March 31, 2019 compared to $8.4 million for the same period in 2018, an increase of approximately $3.2 million. The increase in research and development expenses primarily reflects higher development expenses for the Phase 3 clinical trial of roluperidone and the Phase 2b clinical trial of MIN-117. We expect research and development expenses to increase during 2019 as we increase patient enrollment and related support activities for the roluperidone and MIN-117 clinical trials.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Total general and administrative expenses were $4.7 million for the three months ended March 31, 2019 compared to $4.3 million for the same period in 2018, an increase of approximately $0.4 million. The increase in general and administrative expenses was primarily due to an increase in non-cash stock-based compensation expenses and salary costs from increased staffing to support our pre-commercial activities. We expect general and administrative expenses to increase during 2019 as we continue to invest in the infrastructure necessary to support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Foreign exchange losses were $6 thousand for the three months ended March 31, 2019 compared to a loss of $18 thousand for the same period in 2018, a decreased loss of $12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Investment income was $0.5 million for the three months ended March 31, 2019 compared to $0.4 million for the same period in 2018, an increase of $0.1 million. The increase was due to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was zero for the three months ended March 31, 2019 compared to $0.1 million for the same period in 2018, a decrease of $0.1 million. The decrease was due to the repayment of principal on our Term A loans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in April 2007 and, as of March 31, 2019, we had an accumulated deficit of approximately $230.4 million. We anticipate that we will continue to incur net losses for the foreseeable future as we continue the development and potential commercialization of our product candidates and to support our operations as a public company. At March 31, 2019, we had approximately $79.3 million in cash, cash equivalents, marketable securities, and restricted cash. We believe that our existing cash, cash equivalents, restricted cash and marketable securities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 We incurred $3.0 million in underwriting discounts and commissions and transaction costs, which will be included as a component of additional paid-in capital, resulting in net proceeds of approximately $41.6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March 2017, certain investors in our March 2015 private placement exercised their warrants and received an aggregate of 1,621,073 shares of our common stock. We received gross proceeds of approximately $9.4 million from the exercise of these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marketable securities, and restricted cash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 our $10.0 million Term A Loan, (See Note 5) we have made principal repayments of approximately $10.0 million and made a final repayment of all outstanding borrowings on August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significant sources and uses of cash for the periods.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60" w:type="dxa"/>
            <w:vAlign w:val="bottom"/>
            <w:gridSpan w:val="4"/>
          </w:tcPr>
          <w:p>
            <w:pPr>
              <w:jc w:val="center"/>
              <w:ind w:left="307"/>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060" w:type="dxa"/>
            <w:vAlign w:val="bottom"/>
            <w:gridSpan w:val="4"/>
          </w:tcPr>
          <w:p>
            <w:pPr>
              <w:jc w:val="center"/>
              <w:ind w:left="307"/>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3"/>
              </w:rPr>
              <w:t>(10.5)</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3"/>
              </w:rPr>
              <w:t>(19.6)</w:t>
            </w: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operating activities of approximately $9.6 million during the three months ended March 31, 2019 was primarily due to our net loss of $15.8 million and amortization of investments of $0.2 million, partially offset by stock-based compensation expense of $2.5 million, a $1.9 million increase in accrued expenses, a $1.2 increase in accounts payable and an increase in prepaid expense of $0.8 million.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5" w:name="page26"/>
    <w:bookmarkEnd w:id="25"/>
    <w:p>
      <w:pPr>
        <w:jc w:val="both"/>
        <w:ind w:right="40"/>
        <w:spacing w:after="0" w:line="264" w:lineRule="auto"/>
        <w:rPr>
          <w:sz w:val="20"/>
          <w:szCs w:val="20"/>
          <w:color w:val="auto"/>
        </w:rPr>
      </w:pPr>
      <w:r>
        <w:rPr>
          <w:rFonts w:ascii="Arial" w:cs="Arial" w:eastAsia="Arial" w:hAnsi="Arial"/>
          <w:sz w:val="18"/>
          <w:szCs w:val="18"/>
          <w:color w:val="auto"/>
        </w:rPr>
        <w:t>Net cash used in operating activities of approximately $10.9 million during the three months ended March 31, 2018 was primarily due to our net loss of $12.4 million, an increase in prepaid expense of $2.9 million and amortization of investments of $0.1 million, partially offset by a $1.4 million increase in accounts payable, stock-based compensation expense of $2.1 million and a $1.0 million increase in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Net cash used in investing activities of approximately $10.5 million during the three months ended March 31, 2019 was primarily due to the purchase of marketable securities of $19.5 million, partially offset by the maturity and redemption of marketable securities of $9.0 million.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investing activities of approximately $31.3 million during the three months ended March 31, 2018 was primarily due to the maturity and redemption of marketable securities of $39.3 million, partially offset by the purchase of marketable securities of $7.9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cash provided by financing activities of $0.5 million during the three months ended March 31, 2019 was due to the proceeds from the exercise of common stock options of $0.5 million.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financing activities of $1.3 million during the three months ended March 31, 2018 was due to principal repayments under the Term A loans of $1.3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our Annual Report on Form 10-K for the fiscal year ended December 31, 2018, our most critical accounting policies and estimates upon which our financial status depends were identified as those relating to stock-based compensation; research and development costs; in-process research and development; goodwill; income taxes; Jumpstart Our Business Startups Act; net operating losses and tax credit carryforwards; and impairment of long-lived assets. We reviewed our policies and determined that those policies remain our most critical accounting policies for the three months ended March 31,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2019. Based on the evaluation of our disclosure controls and procedures as of March 31, 2019,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2018, as filed with the SEC on March 12, 2019. The risk factors set forth below are risk factors containing changes, which may be material, from the risk factors previously disclosed in Item 1A of our Annual Report on Form 10-K for the fiscal year ended December 31, 2018, as filed with the SEC.</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not profitable and have incurred losses in each period since our inception in 2007. For the three months ended March 31, 2019, and 2018, we reported net losses of $15.8 million and $12.4 million, respectively. As of March 31, 2019, we had an accumulated deficit of $230.4 million.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We expect our research and development expenses to increase substantially in connection with our ongoing activities to develop and commercialize product candidates.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As of March 31, 2019, we had cash, cash equivalents, marketable securities, and restricted cash of $79.3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40" w:right="700" w:hanging="519"/>
        <w:spacing w:after="0" w:line="25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40" w:right="780" w:hanging="519"/>
        <w:spacing w:after="0" w:line="28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44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120" w:hanging="519"/>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three months ended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three months ended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3"/>
          </w:tcPr>
          <w:p>
            <w:pPr>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14"/>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40" w:type="dxa"/>
            <w:vAlign w:val="bottom"/>
            <w:gridSpan w:val="10"/>
            <w:vMerge w:val="restart"/>
          </w:tcPr>
          <w:p>
            <w:pPr>
              <w:ind w:left="42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14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rFonts w:ascii="Arial" w:cs="Arial" w:eastAsia="Arial" w:hAnsi="Arial"/>
                <w:sz w:val="18"/>
                <w:szCs w:val="18"/>
                <w:color w:val="0000EE"/>
              </w:rPr>
            </w:pPr>
            <w:hyperlink r:id="rId48">
              <w:r>
                <w:rPr>
                  <w:rFonts w:ascii="Arial" w:cs="Arial" w:eastAsia="Arial" w:hAnsi="Arial"/>
                  <w:sz w:val="18"/>
                  <w:szCs w:val="18"/>
                  <w:color w:val="0000EE"/>
                </w:rPr>
                <w:t>Amended and Restated Certificate of Incorporation of the Registrant (incorporated by reference to Exhibit 3.1 to the</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Registrant’s registration statement on Form S-1/A filed with the SEC on June 10, 2014)</w:t>
              </w:r>
            </w:hyperlink>
          </w:p>
        </w:tc>
        <w:tc>
          <w:tcPr>
            <w:tcW w:w="2100" w:type="dxa"/>
            <w:vAlign w:val="bottom"/>
            <w:tcBorders>
              <w:top w:val="single" w:sz="8" w:color="0000EE"/>
            </w:tcBorders>
            <w:gridSpan w:val="2"/>
          </w:tcPr>
          <w:p>
            <w:pPr>
              <w:spacing w:after="0"/>
              <w:rPr>
                <w:sz w:val="17"/>
                <w:szCs w:val="17"/>
                <w:color w:val="auto"/>
              </w:rPr>
            </w:pPr>
          </w:p>
        </w:tc>
        <w:tc>
          <w:tcPr>
            <w:tcW w:w="82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7"/>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Amended and Restated Bylaws of the Registrant (incorporated by reference to Exhibit 3.2 to the Registrant’s registration</w:t>
              </w:r>
            </w:hyperlink>
          </w:p>
        </w:tc>
        <w:tc>
          <w:tcPr>
            <w:tcW w:w="520" w:type="dxa"/>
            <w:vAlign w:val="bottom"/>
            <w:gridSpan w:val="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statement on Form S-1/A filed with the SEC on June 10, 2014)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Employment Agreement between Devin Smith and the Registrant, dated as of June 12, 2018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60" w:type="dxa"/>
            <w:vAlign w:val="bottom"/>
            <w:tcBorders>
              <w:top w:val="single" w:sz="8" w:color="0000EE"/>
            </w:tcBorders>
            <w:gridSpan w:val="9"/>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Certification of Chief Financial Officer (Principal Financial Officer) pursuant to Section 302 of Sarbanes-Oxley Act of 2002</w:t>
              </w:r>
            </w:hyperlink>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Certification of Chief Executive Officer (Principal Executive Officer) and Chief Financial Officer (Principal Financial</w:t>
              </w:r>
            </w:hyperlink>
          </w:p>
        </w:tc>
        <w:tc>
          <w:tcPr>
            <w:tcW w:w="440" w:type="dxa"/>
            <w:vAlign w:val="bottom"/>
            <w:tcBorders>
              <w:top w:val="single" w:sz="8" w:color="0000EE"/>
            </w:tcBorders>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462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66" w:lineRule="exact"/>
        <w:rPr>
          <w:sz w:val="20"/>
          <w:szCs w:val="20"/>
          <w:color w:val="auto"/>
        </w:rPr>
      </w:pPr>
    </w:p>
    <w:p>
      <w:pPr>
        <w:ind w:left="380" w:right="20" w:hanging="372"/>
        <w:spacing w:after="0" w:line="26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240" w:top="337" w:right="6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783590</wp:posOffset>
            </wp:positionV>
            <wp:extent cx="1612265" cy="497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97205"/>
                    </a:xfrm>
                    <a:prstGeom prst="rect">
                      <a:avLst/>
                    </a:prstGeom>
                    <a:noFill/>
                  </pic:spPr>
                </pic:pic>
              </a:graphicData>
            </a:graphic>
          </wp:anchor>
        </w:drawing>
        <w:drawing>
          <wp:anchor simplePos="0" relativeHeight="251657728" behindDoc="1" locked="0" layoutInCell="0" allowOverlap="1">
            <wp:simplePos x="0" y="0"/>
            <wp:positionH relativeFrom="page">
              <wp:posOffset>4994275</wp:posOffset>
            </wp:positionH>
            <wp:positionV relativeFrom="page">
              <wp:posOffset>363220</wp:posOffset>
            </wp:positionV>
            <wp:extent cx="1543685" cy="917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543685" cy="9175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June 12,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Devin,</w:t>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This agreement (hereafter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will formalize the terms and conditions of your employment with Minerva Neurosciences,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54" w:lineRule="exact"/>
        <w:rPr>
          <w:sz w:val="20"/>
          <w:szCs w:val="20"/>
          <w:color w:val="auto"/>
        </w:rPr>
      </w:pPr>
    </w:p>
    <w:p>
      <w:pPr>
        <w:ind w:right="40" w:firstLine="8"/>
        <w:spacing w:after="0" w:line="253"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You will commence employment with the Company on July 19, 2018</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Start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of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are set forth in this agreement dated June 12, 2018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period during which you are actually employed by the Company is referred to as the "</w:t>
      </w:r>
      <w:r>
        <w:rPr>
          <w:rFonts w:ascii="Arial" w:cs="Arial" w:eastAsia="Arial" w:hAnsi="Arial"/>
          <w:sz w:val="18"/>
          <w:szCs w:val="18"/>
          <w:b w:val="1"/>
          <w:bCs w:val="1"/>
          <w:i w:val="1"/>
          <w:iCs w:val="1"/>
          <w:color w:val="auto"/>
        </w:rPr>
        <w:t>Employment Period</w:t>
      </w:r>
      <w:r>
        <w:rPr>
          <w:rFonts w:ascii="Arial" w:cs="Arial" w:eastAsia="Arial" w:hAnsi="Arial"/>
          <w:sz w:val="18"/>
          <w:szCs w:val="18"/>
          <w:color w:val="auto"/>
        </w:rPr>
        <w:t>".</w:t>
      </w:r>
    </w:p>
    <w:p>
      <w:pPr>
        <w:spacing w:after="0" w:line="169" w:lineRule="exact"/>
        <w:rPr>
          <w:rFonts w:ascii="Arial" w:cs="Arial" w:eastAsia="Arial" w:hAnsi="Arial"/>
          <w:sz w:val="18"/>
          <w:szCs w:val="18"/>
          <w:b w:val="1"/>
          <w:bCs w:val="1"/>
          <w:color w:val="auto"/>
        </w:rPr>
      </w:pPr>
    </w:p>
    <w:p>
      <w:pPr>
        <w:ind w:right="20" w:firstLine="8"/>
        <w:spacing w:after="0" w:line="239"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Position Duties; Commitment</w:t>
      </w:r>
      <w:r>
        <w:rPr>
          <w:rFonts w:ascii="Arial" w:cs="Arial" w:eastAsia="Arial" w:hAnsi="Arial"/>
          <w:sz w:val="18"/>
          <w:szCs w:val="18"/>
          <w:color w:val="auto"/>
        </w:rPr>
        <w:t>. During the Employment Period, you will be employed by the Company as its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Counsel. You will report to the Company's Chief Executive Officer ("</w:t>
      </w:r>
      <w:r>
        <w:rPr>
          <w:rFonts w:ascii="Arial" w:cs="Arial" w:eastAsia="Arial" w:hAnsi="Arial"/>
          <w:sz w:val="18"/>
          <w:szCs w:val="18"/>
          <w:b w:val="1"/>
          <w:bCs w:val="1"/>
          <w:i w:val="1"/>
          <w:iCs w:val="1"/>
          <w:color w:val="auto"/>
        </w:rPr>
        <w:t>CEO</w:t>
      </w:r>
      <w:r>
        <w:rPr>
          <w:rFonts w:ascii="Arial" w:cs="Arial" w:eastAsia="Arial" w:hAnsi="Arial"/>
          <w:sz w:val="18"/>
          <w:szCs w:val="18"/>
          <w:color w:val="auto"/>
        </w:rPr>
        <w:t>") and shall perform such duties consistent with your position as the General Counsel and as may be assigned to you by the CEO and/or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You agree to devote substantially all of your working time, attention and energies to the Company and its Affiliates, and while you remain employed, not to engage in any other business activity that is in conflict with your duties and obligations to the Company; provided, however, that, for the avoidance of doubt, you may (i) manage your passive personal investments, (ii) with advance written approval from the Company, serve on industry, trade, civic, charitable or non-profit corporate boards or committees, and (iii) with the advance written approval of the Company, serve on outside for-profit corporate boards or committees. For purposes of this Agreement, the term "</w:t>
      </w:r>
      <w:r>
        <w:rPr>
          <w:rFonts w:ascii="Arial" w:cs="Arial" w:eastAsia="Arial" w:hAnsi="Arial"/>
          <w:sz w:val="18"/>
          <w:szCs w:val="18"/>
          <w:b w:val="1"/>
          <w:bCs w:val="1"/>
          <w:i w:val="1"/>
          <w:iCs w:val="1"/>
          <w:color w:val="auto"/>
        </w:rPr>
        <w:t>Affiliates</w:t>
      </w:r>
      <w:r>
        <w:rPr>
          <w:rFonts w:ascii="Arial" w:cs="Arial" w:eastAsia="Arial" w:hAnsi="Arial"/>
          <w:sz w:val="18"/>
          <w:szCs w:val="18"/>
          <w:color w:val="auto"/>
        </w:rPr>
        <w:t>" means all persons and entities directly or indirectly controlling, controlled by or under common control with the Company, where control may be by management authority or equity interest.</w:t>
      </w:r>
    </w:p>
    <w:p>
      <w:pPr>
        <w:spacing w:after="0" w:line="180" w:lineRule="exact"/>
        <w:rPr>
          <w:rFonts w:ascii="Arial" w:cs="Arial" w:eastAsia="Arial" w:hAnsi="Arial"/>
          <w:sz w:val="18"/>
          <w:szCs w:val="18"/>
          <w:b w:val="1"/>
          <w:bCs w:val="1"/>
          <w:color w:val="auto"/>
        </w:rPr>
      </w:pPr>
    </w:p>
    <w:p>
      <w:pPr>
        <w:ind w:right="80" w:firstLine="8"/>
        <w:spacing w:after="0" w:line="302" w:lineRule="auto"/>
        <w:tabs>
          <w:tab w:leader="none" w:pos="5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During the Employment Period, your current annualized base salary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is US $350,000 payable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Company's normal payroll practice. Your Base Salary will be subject to review and adjustment by the Company from time to time.</w:t>
      </w:r>
    </w:p>
    <w:p>
      <w:pPr>
        <w:spacing w:after="0" w:line="129" w:lineRule="exact"/>
        <w:rPr>
          <w:rFonts w:ascii="Arial" w:cs="Arial" w:eastAsia="Arial" w:hAnsi="Arial"/>
          <w:sz w:val="17"/>
          <w:szCs w:val="17"/>
          <w:b w:val="1"/>
          <w:bCs w:val="1"/>
          <w:color w:val="auto"/>
        </w:rPr>
      </w:pPr>
    </w:p>
    <w:p>
      <w:pPr>
        <w:ind w:firstLine="8"/>
        <w:spacing w:after="0" w:line="239"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Signing Bonus</w:t>
      </w:r>
      <w:r>
        <w:rPr>
          <w:rFonts w:ascii="Arial" w:cs="Arial" w:eastAsia="Arial" w:hAnsi="Arial"/>
          <w:sz w:val="18"/>
          <w:szCs w:val="18"/>
          <w:color w:val="auto"/>
        </w:rPr>
        <w:t>. You shall be eligible to earn a signing bonus in the amount of $50,000, (the “</w:t>
      </w:r>
      <w:r>
        <w:rPr>
          <w:rFonts w:ascii="Arial" w:cs="Arial" w:eastAsia="Arial" w:hAnsi="Arial"/>
          <w:sz w:val="18"/>
          <w:szCs w:val="18"/>
          <w:b w:val="1"/>
          <w:bCs w:val="1"/>
          <w:i w:val="1"/>
          <w:iCs w:val="1"/>
          <w:color w:val="auto"/>
        </w:rPr>
        <w:t>Signing Bonus</w:t>
      </w:r>
      <w:r>
        <w:rPr>
          <w:rFonts w:ascii="Arial" w:cs="Arial" w:eastAsia="Arial" w:hAnsi="Arial"/>
          <w:sz w:val="18"/>
          <w:szCs w:val="18"/>
          <w:color w:val="auto"/>
        </w:rPr>
        <w:t>”), which will be earned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twelve (12) month period following the Start Date. The Signing Bonus will be paid on the next regularly first payroll date to occur at least sixty (60) days after the Start Date. If you resign without Good Reason (as defined below), or are terminated for Cause (as defined below) before the first-year anniversary of the Start Date, you shall be obligated to, and hereby agree to, repay a prorated portion of the Signing Bonus previously advanced, based on the number of days you were employed by the Company prior to such resignation or termination. You agree that if you are obligated to repay all or a portion of the Signing Bonus under this Section 4, the Company may deduct, in accordance with applicable law, any such amount from any payments the Company owes to you, including but not limited to any regular payroll amount and any expense payments. You further agree to pay to the Company, within thirty (30) days of the effective resignation and/or termination date, any remaining unpaid balance of the unearned Signing Bonus not covered by such deductions.</w:t>
      </w:r>
    </w:p>
    <w:p>
      <w:pPr>
        <w:spacing w:after="0" w:line="184" w:lineRule="exact"/>
        <w:rPr>
          <w:rFonts w:ascii="Arial" w:cs="Arial" w:eastAsia="Arial" w:hAnsi="Arial"/>
          <w:sz w:val="18"/>
          <w:szCs w:val="18"/>
          <w:b w:val="1"/>
          <w:bCs w:val="1"/>
          <w:color w:val="auto"/>
        </w:rPr>
      </w:pPr>
    </w:p>
    <w:p>
      <w:pPr>
        <w:jc w:val="both"/>
        <w:ind w:firstLine="8"/>
        <w:spacing w:after="0"/>
        <w:tabs>
          <w:tab w:leader="none" w:pos="58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For each calendar year that ends during the Employment Period you will be eligible to receive a target 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of 40% of the Base Salary paid in such calendar year. In 2018, your Annual Bonus will be pro-rated for the portion of the year that you have been employed by the Company. Whether to grant a bonus, and in what amount, are determinations to be made in the discretion of the Company based on a variety of factors including, but not limited to, achievement of objectives established by the Board (and/or the Compensation Committee thereof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for the Company and specific annual objectives for your position set by the Board, the Compensation Committee and/or the CEO. Since one of the objectives of the Annual Bonus is employee retention, in order to remain eligible and receive any Annual Bonus, you must be employed through the end of the calendar year and still be employed by the Company at the time it makes bonus payments to employees for that year -- generally during the first quarter of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Page Two</w:t>
      </w:r>
    </w:p>
    <w:p>
      <w:pPr>
        <w:spacing w:after="0" w:line="189" w:lineRule="exact"/>
        <w:rPr>
          <w:sz w:val="20"/>
          <w:szCs w:val="20"/>
          <w:color w:val="auto"/>
        </w:rPr>
      </w:pPr>
    </w:p>
    <w:p>
      <w:pPr>
        <w:jc w:val="both"/>
        <w:ind w:firstLine="8"/>
        <w:spacing w:after="0" w:line="238" w:lineRule="auto"/>
        <w:tabs>
          <w:tab w:leader="none" w:pos="58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Any stock, stock options, restricted stock units or other equity awards that you have previously been granted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but not limited to any stock options granted under the Company’s 2013 Amended and Restated Equity Incentive Plan) shall continue to be governed in all respects by the terms of their applicable grant agreements, grant notices and plan documents. The Company, in its sole discretion, may award you equity grants pursuant to the Company’s equity incentive plans from time to time in its sole discretion. Subject to approval of the Board of Directors, on the first business day of the month immediately following the beginning of the Employment Period (the “</w:t>
      </w:r>
      <w:r>
        <w:rPr>
          <w:rFonts w:ascii="Arial" w:cs="Arial" w:eastAsia="Arial" w:hAnsi="Arial"/>
          <w:sz w:val="18"/>
          <w:szCs w:val="18"/>
          <w:b w:val="1"/>
          <w:bCs w:val="1"/>
          <w:i w:val="1"/>
          <w:iCs w:val="1"/>
          <w:color w:val="auto"/>
        </w:rPr>
        <w:t>Commencement Date</w:t>
      </w:r>
      <w:r>
        <w:rPr>
          <w:rFonts w:ascii="Arial" w:cs="Arial" w:eastAsia="Arial" w:hAnsi="Arial"/>
          <w:sz w:val="18"/>
          <w:szCs w:val="18"/>
          <w:color w:val="auto"/>
        </w:rPr>
        <w:t>”) you will be granted an option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200,000 shares of common stock of the Company, with an exercise price equal to the fair market value of the common stock on the Commencement Date. Provided you are employed by the Company on each such date, 25% of the shares subject to the Option will vest on the first anniversary of the Commencement Date and the remaining 75% of the shares subject to the option will vest ratably at the end of each quarter over the three (3) year period thereafter. The Option will be evidenced by a standard stock option agreement, and will be subject to the terms and conditions of that agreement and the Company’s 2013 Amended and Restated Equity Incentive Plan.</w:t>
      </w:r>
    </w:p>
    <w:p>
      <w:pPr>
        <w:spacing w:after="0" w:line="186" w:lineRule="exact"/>
        <w:rPr>
          <w:rFonts w:ascii="Arial" w:cs="Arial" w:eastAsia="Arial" w:hAnsi="Arial"/>
          <w:sz w:val="18"/>
          <w:szCs w:val="18"/>
          <w:b w:val="1"/>
          <w:bCs w:val="1"/>
          <w:color w:val="auto"/>
        </w:rPr>
      </w:pPr>
    </w:p>
    <w:p>
      <w:pPr>
        <w:ind w:left="600" w:hanging="592"/>
        <w:spacing w:after="0"/>
        <w:tabs>
          <w:tab w:leader="none" w:pos="6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33" w:lineRule="exact"/>
        <w:rPr>
          <w:rFonts w:ascii="Arial" w:cs="Arial" w:eastAsia="Arial" w:hAnsi="Arial"/>
          <w:sz w:val="18"/>
          <w:szCs w:val="18"/>
          <w:b w:val="1"/>
          <w:bCs w:val="1"/>
          <w:color w:val="auto"/>
        </w:rPr>
      </w:pPr>
    </w:p>
    <w:p>
      <w:pPr>
        <w:jc w:val="both"/>
        <w:ind w:right="40" w:firstLine="551"/>
        <w:spacing w:after="0" w:line="238" w:lineRule="auto"/>
        <w:tabs>
          <w:tab w:leader="none" w:pos="1193"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You shall be eligible to participate in any and all benefit programs that the Company establishes and makes available to similarly situated employees from time to time, provided that you are eligible under (and subject to all provisions of) the plan documents governing those programs. Such benefits may include participation in group medical, dental, and vision insurance programs, and term life insurance. The benefits made available by the Company, and the rules, terms, and conditions for participation in such benefit plans, may be changed by the Company at any time without advance notice.</w:t>
      </w:r>
    </w:p>
    <w:p>
      <w:pPr>
        <w:spacing w:after="0" w:line="202" w:lineRule="exact"/>
        <w:rPr>
          <w:rFonts w:ascii="Arial" w:cs="Arial" w:eastAsia="Arial" w:hAnsi="Arial"/>
          <w:sz w:val="18"/>
          <w:szCs w:val="18"/>
          <w:b w:val="1"/>
          <w:bCs w:val="1"/>
          <w:color w:val="auto"/>
        </w:rPr>
      </w:pPr>
    </w:p>
    <w:p>
      <w:pPr>
        <w:ind w:right="260" w:firstLine="551"/>
        <w:spacing w:after="0"/>
        <w:tabs>
          <w:tab w:leader="none" w:pos="1202"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During the Employment Period, the Company shall reimburse or otherwise provide for payment for reasonable out-of-pocket business expenses incurred by you in furtherance of or in connection with the legitimate business of the Company, subject to such reasonable documentation or policy requirements established by the Company from time to time.</w:t>
      </w:r>
    </w:p>
    <w:p>
      <w:pPr>
        <w:spacing w:after="0" w:line="202" w:lineRule="exact"/>
        <w:rPr>
          <w:rFonts w:ascii="Arial" w:cs="Arial" w:eastAsia="Arial" w:hAnsi="Arial"/>
          <w:sz w:val="18"/>
          <w:szCs w:val="18"/>
          <w:b w:val="1"/>
          <w:bCs w:val="1"/>
          <w:color w:val="auto"/>
        </w:rPr>
      </w:pPr>
    </w:p>
    <w:p>
      <w:pPr>
        <w:ind w:right="220" w:firstLine="551"/>
        <w:spacing w:after="0" w:line="246" w:lineRule="auto"/>
        <w:tabs>
          <w:tab w:leader="none" w:pos="1193"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During the Employment Period, in addition to holidays recognized by the Company, you will be entitled to accrue on a pro-rated basis four (4) weeks of paid vacation annually. Pursuant to Company policy, vacation time cannot be carried over from year to year.</w:t>
      </w:r>
    </w:p>
    <w:p>
      <w:pPr>
        <w:spacing w:after="0" w:line="174" w:lineRule="exact"/>
        <w:rPr>
          <w:rFonts w:ascii="Arial" w:cs="Arial" w:eastAsia="Arial" w:hAnsi="Arial"/>
          <w:sz w:val="18"/>
          <w:szCs w:val="18"/>
          <w:b w:val="1"/>
          <w:bCs w:val="1"/>
          <w:color w:val="auto"/>
        </w:rPr>
      </w:pPr>
    </w:p>
    <w:p>
      <w:pPr>
        <w:ind w:left="600" w:hanging="592"/>
        <w:spacing w:after="0"/>
        <w:tabs>
          <w:tab w:leader="none" w:pos="6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11" w:lineRule="exact"/>
        <w:rPr>
          <w:rFonts w:ascii="Arial" w:cs="Arial" w:eastAsia="Arial" w:hAnsi="Arial"/>
          <w:sz w:val="18"/>
          <w:szCs w:val="18"/>
          <w:b w:val="1"/>
          <w:bCs w:val="1"/>
          <w:color w:val="auto"/>
        </w:rPr>
      </w:pPr>
    </w:p>
    <w:p>
      <w:pPr>
        <w:jc w:val="both"/>
        <w:ind w:firstLine="551"/>
        <w:spacing w:after="0"/>
        <w:tabs>
          <w:tab w:leader="none" w:pos="1195"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Your employment will terminate upon your death. Your beneficiaries and/or estate will be entitled to (i) any earned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 Base Salary through the date of your death, to be paid less applicable taxes and withholdings within 10 days of your termination of employment, (ii) compensation at the rate of your Base Salary for any vacation time earned but not used as of the date your employment terminates, (iii) reimbursement for any business expenses incurred by you but not yet paid to you as of the date your employment terminates, provided all expenses and supporting documentation required are submitted within sixty (60) days of the date your employment terminates, and provided further that such expenses are reimbursable under Company policy, (iv) payment of a pro-rata portion of your Annual Bonus (assuming for purposes of this payment that your Annual Bonus would be equal to 40% of your Base Salary), and (v) any amounts accrued and payable under the terms of any of the Company's benefit plans (items (i), (ii), (iii) and (v) referred to as the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jc w:val="both"/>
        <w:ind w:firstLine="551"/>
        <w:spacing w:after="0" w:line="247" w:lineRule="auto"/>
        <w:tabs>
          <w:tab w:leader="none" w:pos="1205"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The Board may terminate your employment by reason of your Disability upon written 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that you have been unable to perform your essential job functions by reason of a physical or mental impairment, notwithstanding the provision of any reasonable accommodation, for a period of 180 days within a period of 365 consecutive days. Upon such termination, you will be entitled only to the Accrued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Page Three</w:t>
      </w:r>
    </w:p>
    <w:p>
      <w:pPr>
        <w:spacing w:after="0" w:line="189" w:lineRule="exact"/>
        <w:rPr>
          <w:sz w:val="20"/>
          <w:szCs w:val="20"/>
          <w:color w:val="auto"/>
        </w:rPr>
      </w:pPr>
    </w:p>
    <w:p>
      <w:pPr>
        <w:jc w:val="both"/>
        <w:ind w:firstLine="551"/>
        <w:spacing w:after="0" w:line="238" w:lineRule="auto"/>
        <w:tabs>
          <w:tab w:leader="none" w:pos="1195"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Board may terminate your employment for Cause.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(i) been convicted of (x) felony, or (y) a misdemeanor involving moral turpitude (other than a minor traffic violation), (ii) committed an act of fraud or embezzlement against the Company or its Affiliates, (iii) materially breached this Employment Agreement and failed to cure such breach within thirty (30) days following written notice from the Company, (iv) materially violated any written policy of the Company and failed to cure such violation within thirty (30) days following written notice from the Company, (v) materially failed or materially refused to substantially perform your duties (other than by reason of a physical or mental impairment) or to implement the lawful written directives of the CEO and/or Board that are consistent with your position, and such material failure or material refusal has continued after thirty (30) days following written notice from the Company, (vi) willfully engaged in conduct or willfully omitted to take any action, resulting in material injury to the Company or its Affiliates, monetarily or otherwise (including with respect to the Company's ability to comply with its legal or regulatory obligations), or (vii) materially breached your fiduciary duties as an officer or director of the Company. Upon such termination, you will be entitled only to the Accrued Obligations.</w:t>
      </w:r>
    </w:p>
    <w:p>
      <w:pPr>
        <w:spacing w:after="0" w:line="186" w:lineRule="exact"/>
        <w:rPr>
          <w:rFonts w:ascii="Arial" w:cs="Arial" w:eastAsia="Arial" w:hAnsi="Arial"/>
          <w:sz w:val="18"/>
          <w:szCs w:val="18"/>
          <w:b w:val="1"/>
          <w:bCs w:val="1"/>
          <w:color w:val="auto"/>
        </w:rPr>
      </w:pPr>
    </w:p>
    <w:p>
      <w:pPr>
        <w:jc w:val="both"/>
        <w:ind w:firstLine="551"/>
        <w:spacing w:after="0" w:line="241" w:lineRule="auto"/>
        <w:tabs>
          <w:tab w:leader="none" w:pos="1205"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your employment without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upon written notice. If such termination is without Cause and not by reason of your Disability, then, in addition to the Accrued Obligations, and in lieu of any other severance benefits otherwise payable under any Company policy or plan in effect, subject to compliance with the conditions set forth in </w:t>
      </w:r>
      <w:r>
        <w:rPr>
          <w:rFonts w:ascii="Arial" w:cs="Arial" w:eastAsia="Arial" w:hAnsi="Arial"/>
          <w:sz w:val="18"/>
          <w:szCs w:val="18"/>
          <w:b w:val="1"/>
          <w:bCs w:val="1"/>
          <w:color w:val="auto"/>
        </w:rPr>
        <w:t>Section 8(h)</w:t>
      </w:r>
      <w:r>
        <w:rPr>
          <w:rFonts w:ascii="Arial" w:cs="Arial" w:eastAsia="Arial" w:hAnsi="Arial"/>
          <w:sz w:val="18"/>
          <w:szCs w:val="18"/>
          <w:color w:val="auto"/>
        </w:rPr>
        <w:t>, you will be entitled to (i) continued payment of your Base Salary for nine (9) months (the “</w:t>
      </w:r>
      <w:r>
        <w:rPr>
          <w:rFonts w:ascii="Arial" w:cs="Arial" w:eastAsia="Arial" w:hAnsi="Arial"/>
          <w:sz w:val="18"/>
          <w:szCs w:val="18"/>
          <w:b w:val="1"/>
          <w:bCs w:val="1"/>
          <w:i w:val="1"/>
          <w:iCs w:val="1"/>
          <w:color w:val="auto"/>
        </w:rPr>
        <w:t>Salary Severance Period</w:t>
      </w:r>
      <w:r>
        <w:rPr>
          <w:rFonts w:ascii="Arial" w:cs="Arial" w:eastAsia="Arial" w:hAnsi="Arial"/>
          <w:sz w:val="18"/>
          <w:szCs w:val="18"/>
          <w:color w:val="auto"/>
        </w:rPr>
        <w:t>”),</w:t>
      </w:r>
    </w:p>
    <w:p>
      <w:pPr>
        <w:jc w:val="both"/>
        <w:ind w:firstLine="8"/>
        <w:spacing w:after="0" w:line="237" w:lineRule="auto"/>
        <w:tabs>
          <w:tab w:leader="none" w:pos="2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should you be eligible for and timely elect COBRA coverage, payment of your COBRA premiums, less the amount charged to active employees for health coverage, for up to nine (9) months (the “</w:t>
      </w:r>
      <w:r>
        <w:rPr>
          <w:rFonts w:ascii="Arial" w:cs="Arial" w:eastAsia="Arial" w:hAnsi="Arial"/>
          <w:sz w:val="18"/>
          <w:szCs w:val="18"/>
          <w:b w:val="1"/>
          <w:bCs w:val="1"/>
          <w:i w:val="1"/>
          <w:iCs w:val="1"/>
          <w:color w:val="auto"/>
        </w:rPr>
        <w:t>COBRA Severance Period</w:t>
      </w:r>
      <w:r>
        <w:rPr>
          <w:rFonts w:ascii="Arial" w:cs="Arial" w:eastAsia="Arial" w:hAnsi="Arial"/>
          <w:sz w:val="18"/>
          <w:szCs w:val="18"/>
          <w:color w:val="auto"/>
        </w:rPr>
        <w:t>" (iii) payment of a pro-rata portion of your Annual Bonus (assuming for purposes of this payment that your Annual Bonus is equal to 35% of your Base Salary) and (iv) immediate vesting of any unvested options, restricted stock, restricted stock units, or other equity awards that are outstanding immediately prior to the date of termination and, but for the termination of your employment, would have vested during the nine (9) month period immediately following the date of termination (collectively, the "</w:t>
      </w:r>
      <w:r>
        <w:rPr>
          <w:rFonts w:ascii="Arial" w:cs="Arial" w:eastAsia="Arial" w:hAnsi="Arial"/>
          <w:sz w:val="18"/>
          <w:szCs w:val="18"/>
          <w:b w:val="1"/>
          <w:bCs w:val="1"/>
          <w:i w:val="1"/>
          <w:iCs w:val="1"/>
          <w:color w:val="auto"/>
        </w:rPr>
        <w:t>Severance Benefits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0" w:hanging="649"/>
        <w:spacing w:after="0"/>
        <w:tabs>
          <w:tab w:leader="none" w:pos="12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Without Cause or for Good Reason Following a Change in Control.</w:t>
      </w:r>
    </w:p>
    <w:p>
      <w:pPr>
        <w:spacing w:after="0" w:line="233" w:lineRule="exact"/>
        <w:rPr>
          <w:rFonts w:ascii="Arial" w:cs="Arial" w:eastAsia="Arial" w:hAnsi="Arial"/>
          <w:sz w:val="18"/>
          <w:szCs w:val="18"/>
          <w:b w:val="1"/>
          <w:bCs w:val="1"/>
          <w:color w:val="auto"/>
        </w:rPr>
      </w:pPr>
    </w:p>
    <w:p>
      <w:pPr>
        <w:ind w:right="40" w:firstLine="1093"/>
        <w:spacing w:after="0" w:line="236" w:lineRule="auto"/>
        <w:tabs>
          <w:tab w:leader="none" w:pos="1685" w:val="left"/>
        </w:tabs>
        <w:numPr>
          <w:ilvl w:val="2"/>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If your employment by the Company is terminated by the Company (or its successor or parent) without Cause (and not due to Disability or death) or by you for Good Reason within twelve (12) months immediately following a Change in Control (as defined below), then the Company shall pay or provide you with the Accrued Obligations and all of the benefits described in </w:t>
      </w:r>
      <w:r>
        <w:rPr>
          <w:rFonts w:ascii="Arial" w:cs="Arial" w:eastAsia="Arial" w:hAnsi="Arial"/>
          <w:sz w:val="18"/>
          <w:szCs w:val="18"/>
          <w:b w:val="1"/>
          <w:bCs w:val="1"/>
          <w:color w:val="auto"/>
        </w:rPr>
        <w:t>Section 8(d)</w:t>
      </w:r>
      <w:r>
        <w:rPr>
          <w:rFonts w:ascii="Arial" w:cs="Arial" w:eastAsia="Arial" w:hAnsi="Arial"/>
          <w:sz w:val="18"/>
          <w:szCs w:val="18"/>
          <w:color w:val="auto"/>
        </w:rPr>
        <w:t xml:space="preserve"> above, subject to compliance with the conditions set forth in </w:t>
      </w:r>
      <w:r>
        <w:rPr>
          <w:rFonts w:ascii="Arial" w:cs="Arial" w:eastAsia="Arial" w:hAnsi="Arial"/>
          <w:sz w:val="18"/>
          <w:szCs w:val="18"/>
          <w:b w:val="1"/>
          <w:bCs w:val="1"/>
          <w:color w:val="auto"/>
        </w:rPr>
        <w:t>Section 8(h)</w:t>
      </w:r>
      <w:r>
        <w:rPr>
          <w:rFonts w:ascii="Arial" w:cs="Arial" w:eastAsia="Arial" w:hAnsi="Arial"/>
          <w:sz w:val="18"/>
          <w:szCs w:val="18"/>
          <w:color w:val="auto"/>
        </w:rPr>
        <w:t xml:space="preserve">; provided that: (x) the Salary Severance Period defined in </w:t>
      </w:r>
      <w:r>
        <w:rPr>
          <w:rFonts w:ascii="Arial" w:cs="Arial" w:eastAsia="Arial" w:hAnsi="Arial"/>
          <w:sz w:val="18"/>
          <w:szCs w:val="18"/>
          <w:b w:val="1"/>
          <w:bCs w:val="1"/>
          <w:color w:val="auto"/>
        </w:rPr>
        <w:t>Section 8(d)(i)</w:t>
      </w:r>
      <w:r>
        <w:rPr>
          <w:rFonts w:ascii="Arial" w:cs="Arial" w:eastAsia="Arial" w:hAnsi="Arial"/>
          <w:sz w:val="18"/>
          <w:szCs w:val="18"/>
          <w:color w:val="auto"/>
        </w:rPr>
        <w:t xml:space="preserve"> shall be increased to a total of twelve (12) months following the termination date; (y) the COBRA Severance Period defined in </w:t>
      </w:r>
      <w:r>
        <w:rPr>
          <w:rFonts w:ascii="Arial" w:cs="Arial" w:eastAsia="Arial" w:hAnsi="Arial"/>
          <w:sz w:val="18"/>
          <w:szCs w:val="18"/>
          <w:b w:val="1"/>
          <w:bCs w:val="1"/>
          <w:color w:val="auto"/>
        </w:rPr>
        <w:t>Section 8(d)(ii)</w:t>
      </w:r>
      <w:r>
        <w:rPr>
          <w:rFonts w:ascii="Arial" w:cs="Arial" w:eastAsia="Arial" w:hAnsi="Arial"/>
          <w:sz w:val="18"/>
          <w:szCs w:val="18"/>
          <w:color w:val="auto"/>
        </w:rPr>
        <w:t xml:space="preserve"> shall be increased to a total of twelve (12) months following the termination date; (z) in lieu of the pro-rata bonus described in </w:t>
      </w:r>
      <w:r>
        <w:rPr>
          <w:rFonts w:ascii="Arial" w:cs="Arial" w:eastAsia="Arial" w:hAnsi="Arial"/>
          <w:sz w:val="18"/>
          <w:szCs w:val="18"/>
          <w:b w:val="1"/>
          <w:bCs w:val="1"/>
          <w:color w:val="auto"/>
        </w:rPr>
        <w:t>Section 8(d)(iii)</w:t>
      </w:r>
      <w:r>
        <w:rPr>
          <w:rFonts w:ascii="Arial" w:cs="Arial" w:eastAsia="Arial" w:hAnsi="Arial"/>
          <w:sz w:val="18"/>
          <w:szCs w:val="18"/>
          <w:color w:val="auto"/>
        </w:rPr>
        <w:t xml:space="preserve">, the Company shall pay you the full Annual Bonus for the performance year in which your termination occurs, payable as a lump sum payment on the Company’s first ordinary payroll date occurring on or after the Release of Claims effective date (namely, the date it can no longer be revoked); and (xx) in lieu of the vesting acceleration described in </w:t>
      </w:r>
      <w:r>
        <w:rPr>
          <w:rFonts w:ascii="Arial" w:cs="Arial" w:eastAsia="Arial" w:hAnsi="Arial"/>
          <w:sz w:val="18"/>
          <w:szCs w:val="18"/>
          <w:b w:val="1"/>
          <w:bCs w:val="1"/>
          <w:color w:val="auto"/>
        </w:rPr>
        <w:t>Section 8(d)(iv)</w:t>
      </w:r>
      <w:r>
        <w:rPr>
          <w:rFonts w:ascii="Arial" w:cs="Arial" w:eastAsia="Arial" w:hAnsi="Arial"/>
          <w:sz w:val="18"/>
          <w:szCs w:val="18"/>
          <w:color w:val="auto"/>
        </w:rPr>
        <w:t xml:space="preserve">, all outstanding unvested equity awards granted to you shall vest pursuant to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of the Stock Option Agreement (collectively, the “</w:t>
      </w:r>
      <w:r>
        <w:rPr>
          <w:rFonts w:ascii="Arial" w:cs="Arial" w:eastAsia="Arial" w:hAnsi="Arial"/>
          <w:sz w:val="18"/>
          <w:szCs w:val="18"/>
          <w:b w:val="1"/>
          <w:bCs w:val="1"/>
          <w:i w:val="1"/>
          <w:iCs w:val="1"/>
          <w:color w:val="auto"/>
        </w:rPr>
        <w:t>Change In Control Severance Benefits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Page Four</w:t>
      </w:r>
    </w:p>
    <w:p>
      <w:pPr>
        <w:spacing w:after="0" w:line="189" w:lineRule="exact"/>
        <w:rPr>
          <w:sz w:val="20"/>
          <w:szCs w:val="20"/>
          <w:color w:val="auto"/>
        </w:rPr>
      </w:pPr>
    </w:p>
    <w:p>
      <w:pPr>
        <w:ind w:firstLine="1093"/>
        <w:spacing w:after="0" w:line="236" w:lineRule="auto"/>
        <w:tabs>
          <w:tab w:leader="none" w:pos="1734"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a change in ownership or control of the Company effected through any of the following means: (a) a merger, consolidation or other reorganization approved by the Company’s stockholders, unless securities representing at least fifty percent (50%) of the total combined voting power of the voting securities of the successor corporation are immediately thereafter beneficially owned, directly or indirectly and in substantially the same proportion, by the persons who beneficially owned the Company’s outstanding voting securities immediately prior to such transaction, (b) a sale, transfer or other disposition of all or substantially all of the Company’s assets, or (c) the closing of any transaction or series of related transactions pursuant to which any person or any group of persons comprising a “group” within the meaning of Rule 13d-5(b)(1) of the 1934 Act (other than the Company or a person that, prior to such transaction or series of related transactions, directly or indirectly controls, is controlled by or is under common control with, the Company) becomes directly or indirectly (whether as a result of a single acquisition or by reason of one or more acquisitions within the twelve (12)-month period ending with the most recent acquisition) the beneficial owner (within the meaning of Rule 13d-3 of the 1934 Act) of securities possessing (or convertible into or exercisable for securities possessing) more than fifty percent (50%) of the total combined voting power of the Company’s securities (as measured in terms of the power to vote with respect to the election of Board members) outstanding immediately after the consummation of such transaction or series of related transactions, whether such transaction involves a direct issuance from the Company or the acquisition of outstanding securities held by one or more of the Company’s existing stockholders; or (d) a change in the composition of the Board over a period of twelve (12) consecutive months or less such that a majority of the Board members ceases to be comprised of individuals who either (A) have been Board members continuously since the beginning of such period (“Incumbent Directors”) or (B) have been elected or nominated for election as Board members during such period by at least a majority of the Incumbent Directors who were still in office at the time the Board approved such election or nomination; provided that any individual who becomes a Board member subsequent to the beginning of such period and whose election or nomination was approved by two-thirds of the Board members then comprising the Incumbent Directors will be considered an Incumbent Director.</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event of any interpretation of this definition, the Board of Directors of the Company, upon advice of legal counsel, shall have final and conclusive authority, so long as such authority is exercised in good faith. Notwithstanding the foregoing, a Change in Control will only be deemed to occur for purposes of this Agreement if it also meets the definition used for purposes of Treasury Regulation Section 1.409A-3(a)(5), that is, as defined under Treasury Regulation Section 1.409A-3(i)(5).</w:t>
      </w:r>
    </w:p>
    <w:p>
      <w:pPr>
        <w:spacing w:after="0" w:line="180" w:lineRule="exact"/>
        <w:rPr>
          <w:sz w:val="20"/>
          <w:szCs w:val="20"/>
          <w:color w:val="auto"/>
        </w:rPr>
      </w:pPr>
    </w:p>
    <w:p>
      <w:pPr>
        <w:jc w:val="both"/>
        <w:ind w:firstLine="551"/>
        <w:spacing w:after="0" w:line="253" w:lineRule="auto"/>
        <w:tabs>
          <w:tab w:leader="none" w:pos="11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You Without Good Reason. </w:t>
      </w:r>
      <w:r>
        <w:rPr>
          <w:rFonts w:ascii="Arial" w:cs="Arial" w:eastAsia="Arial" w:hAnsi="Arial"/>
          <w:sz w:val="18"/>
          <w:szCs w:val="18"/>
          <w:color w:val="auto"/>
        </w:rPr>
        <w:t>You may terminate your employment for any or no reason subject to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30 days written notice to the Company. The Company shall have the right to elect to terminate your employment immediately or at any other date during the notice period. Upon such termination, you will be entitled only to the Accrued Obligations.</w:t>
      </w:r>
    </w:p>
    <w:p>
      <w:pPr>
        <w:spacing w:after="0" w:line="169" w:lineRule="exact"/>
        <w:rPr>
          <w:rFonts w:ascii="Arial" w:cs="Arial" w:eastAsia="Arial" w:hAnsi="Arial"/>
          <w:sz w:val="18"/>
          <w:szCs w:val="18"/>
          <w:b w:val="1"/>
          <w:bCs w:val="1"/>
          <w:color w:val="auto"/>
        </w:rPr>
      </w:pPr>
    </w:p>
    <w:p>
      <w:pPr>
        <w:jc w:val="both"/>
        <w:ind w:firstLine="551"/>
        <w:spacing w:after="0" w:line="239" w:lineRule="auto"/>
        <w:tabs>
          <w:tab w:leader="none" w:pos="120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You For Good Reason. </w:t>
      </w:r>
      <w:r>
        <w:rPr>
          <w:rFonts w:ascii="Arial" w:cs="Arial" w:eastAsia="Arial" w:hAnsi="Arial"/>
          <w:sz w:val="18"/>
          <w:szCs w:val="18"/>
          <w:color w:val="auto"/>
        </w:rPr>
        <w:t>You may terminate your employment for Good Reason by providing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of the condition giving rise to the Good Reason no later than ninety (90) days following the first occurrence of the condition, by giving the Company thirty (30) days to remedy the condition and by terminating your employment for Good Reason within ninety (90) days thereafter if the Company fails to remedy the condition. 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without your written consent, the occurrence of any one or more of the following events: (i) material diminution in the nature or scope of the your responsibilities, duties or authority; (ii) material reduction in your Base Salary; (iii) relocation of your principal work location more than fifty (50) miles from the location of your principal work location as of immediately prior to such relocation; or (iv) material breach of this Agreement by the Company. In the event you terminate your employment for Good Reason, in addition to the Accrued Obligations, and in lieu of any other severance benefits otherwise payable under any Company policy, you will be entitled to the Severance Benefits, in accordance with and subject to the provisions of </w:t>
      </w:r>
      <w:r>
        <w:rPr>
          <w:rFonts w:ascii="Arial" w:cs="Arial" w:eastAsia="Arial" w:hAnsi="Arial"/>
          <w:sz w:val="18"/>
          <w:szCs w:val="18"/>
          <w:b w:val="1"/>
          <w:bCs w:val="1"/>
          <w:color w:val="auto"/>
        </w:rPr>
        <w:t>Section 8(d)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Page Five</w:t>
      </w:r>
    </w:p>
    <w:p>
      <w:pPr>
        <w:spacing w:after="0" w:line="189" w:lineRule="exact"/>
        <w:rPr>
          <w:sz w:val="20"/>
          <w:szCs w:val="20"/>
          <w:color w:val="auto"/>
        </w:rPr>
      </w:pPr>
    </w:p>
    <w:p>
      <w:pPr>
        <w:jc w:val="both"/>
        <w:ind w:firstLine="551"/>
        <w:spacing w:after="0" w:line="239" w:lineRule="auto"/>
        <w:tabs>
          <w:tab w:leader="none" w:pos="1205"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Any payments or benefits made or provided pursuant to</w:t>
      </w:r>
      <w:r>
        <w:rPr>
          <w:rFonts w:ascii="Arial" w:cs="Arial" w:eastAsia="Arial" w:hAnsi="Arial"/>
          <w:sz w:val="18"/>
          <w:szCs w:val="18"/>
          <w:b w:val="1"/>
          <w:bCs w:val="1"/>
          <w:color w:val="auto"/>
        </w:rPr>
        <w:t xml:space="preserve"> Section 8 </w:t>
      </w:r>
      <w:r>
        <w:rPr>
          <w:rFonts w:ascii="Arial" w:cs="Arial" w:eastAsia="Arial" w:hAnsi="Arial"/>
          <w:sz w:val="18"/>
          <w:szCs w:val="18"/>
          <w:color w:val="auto"/>
        </w:rPr>
        <w:t>(other than Accrued Obligations)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conditional upon (i) your continuing compliance with the restrictive covenants contained in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(ii) your continuing material compliance with the provisions of </w:t>
      </w:r>
      <w:r>
        <w:rPr>
          <w:rFonts w:ascii="Arial" w:cs="Arial" w:eastAsia="Arial" w:hAnsi="Arial"/>
          <w:sz w:val="18"/>
          <w:szCs w:val="18"/>
          <w:b w:val="1"/>
          <w:bCs w:val="1"/>
          <w:color w:val="auto"/>
        </w:rPr>
        <w:t>Sections 10 and 11</w:t>
      </w:r>
      <w:r>
        <w:rPr>
          <w:rFonts w:ascii="Arial" w:cs="Arial" w:eastAsia="Arial" w:hAnsi="Arial"/>
          <w:sz w:val="18"/>
          <w:szCs w:val="18"/>
          <w:color w:val="auto"/>
        </w:rPr>
        <w:t>, and (iii) your execution of a release of claims relating to your employment in a form prepared by and satisfactory to the Company (the "</w:t>
      </w:r>
      <w:r>
        <w:rPr>
          <w:rFonts w:ascii="Arial" w:cs="Arial" w:eastAsia="Arial" w:hAnsi="Arial"/>
          <w:sz w:val="18"/>
          <w:szCs w:val="18"/>
          <w:b w:val="1"/>
          <w:bCs w:val="1"/>
          <w:i w:val="1"/>
          <w:iCs w:val="1"/>
          <w:color w:val="auto"/>
        </w:rPr>
        <w:t>Release of Claims</w:t>
      </w:r>
      <w:r>
        <w:rPr>
          <w:rFonts w:ascii="Arial" w:cs="Arial" w:eastAsia="Arial" w:hAnsi="Arial"/>
          <w:sz w:val="18"/>
          <w:szCs w:val="18"/>
          <w:color w:val="auto"/>
        </w:rPr>
        <w:t>"). You must execute the Release of Claims and the Release of Claims must become effective within forty-five (45) days following the date of the termination of your employment (which release shall be delivered to you within five</w:t>
      </w:r>
    </w:p>
    <w:p>
      <w:pPr>
        <w:spacing w:after="0" w:line="4" w:lineRule="exact"/>
        <w:rPr>
          <w:rFonts w:ascii="Arial" w:cs="Arial" w:eastAsia="Arial" w:hAnsi="Arial"/>
          <w:sz w:val="18"/>
          <w:szCs w:val="18"/>
          <w:b w:val="1"/>
          <w:bCs w:val="1"/>
          <w:color w:val="auto"/>
        </w:rPr>
      </w:pPr>
    </w:p>
    <w:p>
      <w:pPr>
        <w:jc w:val="both"/>
        <w:ind w:firstLine="8"/>
        <w:spacing w:after="0" w:line="239" w:lineRule="auto"/>
        <w:tabs>
          <w:tab w:leader="none" w:pos="2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days following the date of such termination). The first payment of continued Base Salary and COBRA premiums, together with the pro-rata Annual Bonus payable pursuant to </w:t>
      </w:r>
      <w:r>
        <w:rPr>
          <w:rFonts w:ascii="Arial" w:cs="Arial" w:eastAsia="Arial" w:hAnsi="Arial"/>
          <w:sz w:val="18"/>
          <w:szCs w:val="18"/>
          <w:b w:val="1"/>
          <w:bCs w:val="1"/>
          <w:color w:val="auto"/>
        </w:rPr>
        <w:t>subsection 8(d)(iii)</w:t>
      </w:r>
      <w:r>
        <w:rPr>
          <w:rFonts w:ascii="Arial" w:cs="Arial" w:eastAsia="Arial" w:hAnsi="Arial"/>
          <w:sz w:val="18"/>
          <w:szCs w:val="18"/>
          <w:color w:val="auto"/>
        </w:rPr>
        <w:t xml:space="preserve"> above, pursuant to </w:t>
      </w:r>
      <w:r>
        <w:rPr>
          <w:rFonts w:ascii="Arial" w:cs="Arial" w:eastAsia="Arial" w:hAnsi="Arial"/>
          <w:sz w:val="18"/>
          <w:szCs w:val="18"/>
          <w:b w:val="1"/>
          <w:bCs w:val="1"/>
          <w:color w:val="auto"/>
        </w:rPr>
        <w:t>Section 8(d)</w:t>
      </w:r>
      <w:r>
        <w:rPr>
          <w:rFonts w:ascii="Arial" w:cs="Arial" w:eastAsia="Arial" w:hAnsi="Arial"/>
          <w:sz w:val="18"/>
          <w:szCs w:val="18"/>
          <w:color w:val="auto"/>
        </w:rPr>
        <w:t xml:space="preserve"> shall be made on the first regular payroll date of the Company following the effective date of the Release of Claims as set forth in </w:t>
      </w:r>
      <w:r>
        <w:rPr>
          <w:rFonts w:ascii="Arial" w:cs="Arial" w:eastAsia="Arial" w:hAnsi="Arial"/>
          <w:sz w:val="18"/>
          <w:szCs w:val="18"/>
          <w:b w:val="1"/>
          <w:bCs w:val="1"/>
          <w:color w:val="auto"/>
        </w:rPr>
        <w:t>Section 8(d)</w:t>
      </w:r>
      <w:r>
        <w:rPr>
          <w:rFonts w:ascii="Arial" w:cs="Arial" w:eastAsia="Arial" w:hAnsi="Arial"/>
          <w:sz w:val="18"/>
          <w:szCs w:val="18"/>
          <w:color w:val="auto"/>
        </w:rPr>
        <w:t>; provided, however, that if such 45-day period covers two of your taxable years, payment of Severance Benefits or Change In Control Severance Benefits will begin in the later taxable year.</w:t>
      </w:r>
    </w:p>
    <w:p>
      <w:pPr>
        <w:spacing w:after="0" w:line="180"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11" w:lineRule="exact"/>
        <w:rPr>
          <w:rFonts w:ascii="Arial" w:cs="Arial" w:eastAsia="Arial" w:hAnsi="Arial"/>
          <w:sz w:val="18"/>
          <w:szCs w:val="18"/>
          <w:b w:val="1"/>
          <w:bCs w:val="1"/>
          <w:color w:val="auto"/>
        </w:rPr>
      </w:pPr>
    </w:p>
    <w:p>
      <w:pPr>
        <w:jc w:val="both"/>
        <w:ind w:firstLine="551"/>
        <w:spacing w:after="0" w:line="238" w:lineRule="auto"/>
        <w:tabs>
          <w:tab w:leader="none" w:pos="1195"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During your Employment Period and ending on the twelve (12) month anniversary following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employment for any reason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you will not (except as an officer, director, stockholder, member, manager, employee, agent or consultant of the Company or its subsidiaries) directly or indirectly, own, manage, operate, join, or have a financial interest in, control or participate in the ownership, management, operation or control of, or be employed as an employee, agent or consultant, or in any other individual or representative capacity whatsoever, or use or permit your name to be used in connection with, any business anywhere in the world which is primarily engaged in the business of research, development and commercialization of drugs to treat (i) psychiatric disorders, sleep disorders or Parkinson's disease or (ii) any other indication for which the Company is clinically developing or commercializing a drug at the time of termination of your employment (the "</w:t>
      </w:r>
      <w:r>
        <w:rPr>
          <w:rFonts w:ascii="Arial" w:cs="Arial" w:eastAsia="Arial" w:hAnsi="Arial"/>
          <w:sz w:val="18"/>
          <w:szCs w:val="18"/>
          <w:b w:val="1"/>
          <w:bCs w:val="1"/>
          <w:i w:val="1"/>
          <w:iCs w:val="1"/>
          <w:color w:val="auto"/>
        </w:rPr>
        <w:t>Restricted Business</w:t>
      </w:r>
      <w:r>
        <w:rPr>
          <w:rFonts w:ascii="Arial" w:cs="Arial" w:eastAsia="Arial" w:hAnsi="Arial"/>
          <w:sz w:val="18"/>
          <w:szCs w:val="18"/>
          <w:color w:val="auto"/>
        </w:rPr>
        <w:t>"). These restrictions shall not prevent you from (y) accepting employment with a recognized pharmaceutical company that is not primarily engaged in a Restricted Business, provided that your services for any such entity do not primarily relate to any Restricted Business in which such entity may be engaged and/or (z) holding five percent (5%) of the securities of any publicly traded entity.</w:t>
      </w:r>
    </w:p>
    <w:p>
      <w:pPr>
        <w:spacing w:after="0" w:line="186" w:lineRule="exact"/>
        <w:rPr>
          <w:rFonts w:ascii="Arial" w:cs="Arial" w:eastAsia="Arial" w:hAnsi="Arial"/>
          <w:sz w:val="18"/>
          <w:szCs w:val="18"/>
          <w:b w:val="1"/>
          <w:bCs w:val="1"/>
          <w:color w:val="auto"/>
        </w:rPr>
      </w:pPr>
    </w:p>
    <w:p>
      <w:pPr>
        <w:jc w:val="both"/>
        <w:ind w:firstLine="551"/>
        <w:spacing w:after="0" w:line="244" w:lineRule="auto"/>
        <w:tabs>
          <w:tab w:leader="none" w:pos="1205"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Employees. </w:t>
      </w:r>
      <w:r>
        <w:rPr>
          <w:rFonts w:ascii="Arial" w:cs="Arial" w:eastAsia="Arial" w:hAnsi="Arial"/>
          <w:sz w:val="18"/>
          <w:szCs w:val="18"/>
          <w:color w:val="auto"/>
        </w:rPr>
        <w:t>During the Restricted Period, you agree not to, directly or indirectly, whether for your own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or for the account of any other individual or entity, (i) solicit for hire or engagement, hire, or engage any individual who is employed by the Company or its Affiliates on the date of any attempted solicitation or was employed during the six month period prior thereto unless such individual had been involuntarily terminated by the Company or (ii) otherwise induce or attempt to induce any individual who is employed by Company or its Affiliates to terminate such employment.</w:t>
      </w:r>
    </w:p>
    <w:p>
      <w:pPr>
        <w:spacing w:after="0" w:line="176" w:lineRule="exact"/>
        <w:rPr>
          <w:rFonts w:ascii="Arial" w:cs="Arial" w:eastAsia="Arial" w:hAnsi="Arial"/>
          <w:sz w:val="18"/>
          <w:szCs w:val="18"/>
          <w:b w:val="1"/>
          <w:bCs w:val="1"/>
          <w:color w:val="auto"/>
        </w:rPr>
      </w:pPr>
    </w:p>
    <w:p>
      <w:pPr>
        <w:jc w:val="both"/>
        <w:ind w:firstLine="551"/>
        <w:spacing w:after="0" w:line="238" w:lineRule="auto"/>
        <w:tabs>
          <w:tab w:leader="none" w:pos="1195"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You recognize that it is in the legitimate business interest of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to restrict your disclosure or use of Trade Secrets or other Confidential Information relating to the Company and its Affiliates for any purpose other than in connection with your performance of your duties to the Company and its Affiliates, and to limit any potential appropriation of such Trade Secrets or other Confidential Information. You therefore agree that all Trade Secrets or other Confidential Information relating to the Company and its Affiliates heretofore or in the future obtained by you shall be considered confidential and the proprietary information of the Company and its Affiliates. Except as required in connection with the performance of your duties, you shall not use or disclose, or authorize any other person or entity to use or disclose, any Trade Secrets or other Confidential. Information. The term "Trade Secrets or other Confidential information," means any information of the Company or its Affiliates that is not generally known by those with whom they compete and includes, by way of example and without limitation, in whatever medium, the whole or any portion or phase of any scientific or technical information, design, process, procedure, formula, machine, invention, improvement, manufacturing, sales or test data, business or financial information which are non-public in nature and which are treated as confidential or trade secret information by the Company. The term "Trade Secrets or other Confidential Information" does not include information that enters the public domain, other than through your breach of your obligations under this Agreement.</w:t>
      </w:r>
    </w:p>
    <w:p>
      <w:pPr>
        <w:spacing w:after="0" w:line="181" w:lineRule="exact"/>
        <w:rPr>
          <w:rFonts w:ascii="Arial" w:cs="Arial" w:eastAsia="Arial" w:hAnsi="Arial"/>
          <w:sz w:val="18"/>
          <w:szCs w:val="18"/>
          <w:b w:val="1"/>
          <w:bCs w:val="1"/>
          <w:color w:val="auto"/>
        </w:rPr>
      </w:pPr>
    </w:p>
    <w:p>
      <w:pPr>
        <w:jc w:val="both"/>
        <w:ind w:firstLine="551"/>
        <w:spacing w:after="0" w:line="244" w:lineRule="auto"/>
        <w:tabs>
          <w:tab w:leader="none" w:pos="1205"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Information. </w:t>
      </w:r>
      <w:r>
        <w:rPr>
          <w:rFonts w:ascii="Arial" w:cs="Arial" w:eastAsia="Arial" w:hAnsi="Arial"/>
          <w:sz w:val="18"/>
          <w:szCs w:val="18"/>
          <w:color w:val="auto"/>
        </w:rPr>
        <w:t>You understand, in addition, that the Company has received and in the future will receive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and/or proprietary knowledge, data, or information from third parties (“</w:t>
      </w:r>
      <w:r>
        <w:rPr>
          <w:rFonts w:ascii="Arial" w:cs="Arial" w:eastAsia="Arial" w:hAnsi="Arial"/>
          <w:sz w:val="18"/>
          <w:szCs w:val="18"/>
          <w:b w:val="1"/>
          <w:bCs w:val="1"/>
          <w:i w:val="1"/>
          <w:iCs w:val="1"/>
          <w:color w:val="auto"/>
        </w:rPr>
        <w:t>Third Party Information</w:t>
      </w:r>
      <w:r>
        <w:rPr>
          <w:rFonts w:ascii="Arial" w:cs="Arial" w:eastAsia="Arial" w:hAnsi="Arial"/>
          <w:sz w:val="18"/>
          <w:szCs w:val="18"/>
          <w:color w:val="auto"/>
        </w:rPr>
        <w:t>”). During your employment and thereafter, you will hold Third Party Information in the strictest confidence and will not disclose to anyone (other than Company personnel who need to know such information in connection with their work for the Company) or use, except in connection with your work for the Company, Third Party Information unless expressly authorized by an authorized officer of the Company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Page Six</w:t>
      </w:r>
    </w:p>
    <w:p>
      <w:pPr>
        <w:spacing w:after="0" w:line="189" w:lineRule="exact"/>
        <w:rPr>
          <w:sz w:val="20"/>
          <w:szCs w:val="20"/>
          <w:color w:val="auto"/>
        </w:rPr>
      </w:pPr>
    </w:p>
    <w:p>
      <w:pPr>
        <w:jc w:val="both"/>
        <w:ind w:firstLine="551"/>
        <w:spacing w:after="0" w:line="244" w:lineRule="auto"/>
        <w:tabs>
          <w:tab w:leader="none" w:pos="119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Improper Use of Information of Prior Employers and Others. </w:t>
      </w:r>
      <w:r>
        <w:rPr>
          <w:rFonts w:ascii="Arial" w:cs="Arial" w:eastAsia="Arial" w:hAnsi="Arial"/>
          <w:sz w:val="18"/>
          <w:szCs w:val="18"/>
          <w:color w:val="auto"/>
        </w:rPr>
        <w:t>During your employment by the Company you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improperly use or disclose any confidential information or trade secrets, if any, of any former employer or any other person to whom you have an obligation of confidentiality, and you will not bring onto the premises of the Company any unpublished documents or any property belonging to any former employer or any other person to whom you have an obligation of confidentiality unless consented to in writing by that former employer or person.</w:t>
      </w:r>
    </w:p>
    <w:p>
      <w:pPr>
        <w:spacing w:after="0" w:line="176" w:lineRule="exact"/>
        <w:rPr>
          <w:rFonts w:ascii="Arial" w:cs="Arial" w:eastAsia="Arial" w:hAnsi="Arial"/>
          <w:sz w:val="18"/>
          <w:szCs w:val="18"/>
          <w:b w:val="1"/>
          <w:bCs w:val="1"/>
          <w:color w:val="auto"/>
        </w:rPr>
      </w:pPr>
    </w:p>
    <w:p>
      <w:pPr>
        <w:jc w:val="both"/>
        <w:ind w:firstLine="551"/>
        <w:spacing w:after="0" w:line="237" w:lineRule="auto"/>
        <w:tabs>
          <w:tab w:leader="none" w:pos="115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Discoveries and Works. </w:t>
      </w:r>
      <w:r>
        <w:rPr>
          <w:rFonts w:ascii="Arial" w:cs="Arial" w:eastAsia="Arial" w:hAnsi="Arial"/>
          <w:sz w:val="18"/>
          <w:szCs w:val="18"/>
          <w:color w:val="auto"/>
        </w:rPr>
        <w:t>All Discoveries and Works made or conceived by you, during the Employment Period, jointly or with</w:t>
      </w:r>
      <w:r>
        <w:rPr>
          <w:rFonts w:ascii="Arial" w:cs="Arial" w:eastAsia="Arial" w:hAnsi="Arial"/>
          <w:sz w:val="18"/>
          <w:szCs w:val="18"/>
          <w:b w:val="1"/>
          <w:bCs w:val="1"/>
          <w:color w:val="auto"/>
        </w:rPr>
        <w:t xml:space="preserve"> </w:t>
      </w:r>
      <w:r>
        <w:rPr>
          <w:rFonts w:ascii="Arial" w:cs="Arial" w:eastAsia="Arial" w:hAnsi="Arial"/>
          <w:sz w:val="18"/>
          <w:szCs w:val="18"/>
          <w:color w:val="auto"/>
        </w:rPr>
        <w:t>others, that relate to the present or anticipated activities of the Company or its Affiliates, or are used by the Company or any Affiliate shall be owned by the Company or any Affiliate. The term "Discoveries and Works" means Trade Secrets or other Confidential Information, patents and patent applications, trademarks and trademark registrations and applications, service marks and service mark registrations and applications, trade names, copyrights and copyright registrations and applications, inventions, developments and discoveries. You shall (a) promptly notify, make full disclosure to, and execute and deliver any documents, including any assignment agreement, requested by the Company or any Affiliate, as the case may be, to evidence or better assure title to Discoveries and Works in the Company or any subsidiary, as so requested, (b) renounce any and all claims, including but not limited to claims of ownership and royalty, with respect to all Discoveries and Works and all other property owned or licensed by the Company or any of its Affiliates, (c) assist the Company or any of its Affiliates in obtaining or maintaining for itself at its own expense United States and foreign patents, copyrights, trade secret protection or other protection of any and all Discoveries and Works, and (d) promptly execute, whether during the Employment Period or thereafter, all applications or other endorsements necessary or appropriate to maintain patents and other rights for the Company or any Affiliate and to protect the title of the Company or any Affiliate thereto, including but not limited to assignments of such patents and other rights to Discoveries and Works. In the event the Company is unable for any reason, after reasonable effort, to secure your signature on any document needed in connection with the actions specified in the preceding paragraph, you hereby irrevocably designate and appoint the Company and its duly authorized officers and agents as your agent and attorney in fact, which appointment is coupled with an interest, to act for and in your behalf to execute, verify and file any such documents and to do all other lawfully permitted acts to further the purposes of the preceding paragraph with the same legal force and effect as if executed by you. You acknowledge that all Discoveries and Works shall be deemed "works made for hire" under the Copyright Act of 1976, as amended, 17 U.S.C. § 101.</w:t>
      </w:r>
    </w:p>
    <w:p>
      <w:pPr>
        <w:spacing w:after="0" w:line="181" w:lineRule="exact"/>
        <w:rPr>
          <w:rFonts w:ascii="Arial" w:cs="Arial" w:eastAsia="Arial" w:hAnsi="Arial"/>
          <w:sz w:val="18"/>
          <w:szCs w:val="18"/>
          <w:b w:val="1"/>
          <w:bCs w:val="1"/>
          <w:color w:val="auto"/>
        </w:rPr>
      </w:pPr>
    </w:p>
    <w:p>
      <w:pPr>
        <w:jc w:val="both"/>
        <w:ind w:firstLine="551"/>
        <w:spacing w:after="0" w:line="244" w:lineRule="auto"/>
        <w:tabs>
          <w:tab w:leader="none" w:pos="120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Disclosure Pursuant to 18 U.S.C. Section 1833(b). </w:t>
      </w:r>
      <w:r>
        <w:rPr>
          <w:rFonts w:ascii="Arial" w:cs="Arial" w:eastAsia="Arial" w:hAnsi="Arial"/>
          <w:sz w:val="18"/>
          <w:szCs w:val="18"/>
          <w:color w:val="auto"/>
        </w:rPr>
        <w:t>Notwithstanding the foregoing, pursuant to 18 U.S.C. Section 1833(b), you</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176" w:lineRule="exact"/>
        <w:rPr>
          <w:rFonts w:ascii="Arial" w:cs="Arial" w:eastAsia="Arial" w:hAnsi="Arial"/>
          <w:sz w:val="18"/>
          <w:szCs w:val="18"/>
          <w:b w:val="1"/>
          <w:bCs w:val="1"/>
          <w:color w:val="auto"/>
        </w:rPr>
      </w:pPr>
    </w:p>
    <w:p>
      <w:pPr>
        <w:jc w:val="both"/>
        <w:ind w:firstLine="551"/>
        <w:spacing w:after="0" w:line="242" w:lineRule="auto"/>
        <w:tabs>
          <w:tab w:leader="none" w:pos="120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You agree that the Company and its Affiliates' remedies at law for any breach or threatened breach by you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will be inadequate, and that, in addition to any other remedy to which the Company and its Affiliates may be entitled at law or in equity, the Company shall be entitled to a temporary or permanent injunction or injunctions or temporary restraining order or orders to prevent breaches of the provisions of this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and to enforce specifically the terms and provisions hereof', in each case without the need to post any security or bond. Nothing herein contained shall be construed as prohibiting the Company or its Affiliates from pursuing, in addition, any other remedies available to the Company or any Affiliate for such breach or threatened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Page Seven</w:t>
      </w:r>
    </w:p>
    <w:p>
      <w:pPr>
        <w:spacing w:after="0" w:line="189" w:lineRule="exact"/>
        <w:rPr>
          <w:sz w:val="20"/>
          <w:szCs w:val="20"/>
          <w:color w:val="auto"/>
        </w:rPr>
      </w:pPr>
    </w:p>
    <w:p>
      <w:pPr>
        <w:jc w:val="both"/>
        <w:ind w:firstLine="551"/>
        <w:spacing w:after="0" w:line="237" w:lineRule="auto"/>
        <w:tabs>
          <w:tab w:leader="none" w:pos="1145"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Enforceability. </w:t>
      </w:r>
      <w:r>
        <w:rPr>
          <w:rFonts w:ascii="Arial" w:cs="Arial" w:eastAsia="Arial" w:hAnsi="Arial"/>
          <w:sz w:val="18"/>
          <w:szCs w:val="18"/>
          <w:color w:val="auto"/>
        </w:rPr>
        <w:t>It is expressly understood and agreed that the parties consider the restrictions contained in this</w:t>
      </w:r>
      <w:r>
        <w:rPr>
          <w:rFonts w:ascii="Arial" w:cs="Arial" w:eastAsia="Arial" w:hAnsi="Arial"/>
          <w:sz w:val="18"/>
          <w:szCs w:val="18"/>
          <w:b w:val="1"/>
          <w:bCs w:val="1"/>
          <w:color w:val="auto"/>
        </w:rPr>
        <w:t xml:space="preserve"> Section 9 </w:t>
      </w:r>
      <w:r>
        <w:rPr>
          <w:rFonts w:ascii="Arial" w:cs="Arial" w:eastAsia="Arial" w:hAnsi="Arial"/>
          <w:sz w:val="18"/>
          <w:szCs w:val="18"/>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reasonable for the purpose of preserving the goodwill, proprietary rights and going concern value of the Company and its Affiliates. You agree that you have read this entire Agreement and understand it. You agree that this Agreement does not prevent you from earning a living or pursuing your career and that you have the ability to secure other non-competitive employment using your marketable skills. You agree that the restrictions contained in this Agreement are reasonable, proper, and necessitated by the Company’s legitimate business interests, including without limitation, the Company’s Trade Secrets or other Confidential Information and the goodwill of its customers. You represent and agree that you are entering into this Agreement freely and with knowledge of its contents with the intent to be bound by the Agreement and the restrictions contained in it. if a final, determination is made by an arbitrator or court, as the case may be, having jurisdiction that the time or territory or any other restriction contained in this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is an unenforceable restriction on your activities, the provisions of this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shall not necessarily be rendered void but shall be deemed amended to apply as to such maximum time, if any and territory, if any and to such other extent, if any, as such arbitrator or court, as the case may be, may determine to be reasonable such that the Agreement, as modified, provides the Company with the maximum protection of its business interests allowed by law and you agree to be bound by the Agreement as modified. Alternatively, if the arbitrator or court, as the case may be, referred to above finds that any restriction contained in this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or any remedy provided herein is unenforceable, and such restriction or remedy cannot be amended so as to make it enforceable, such finding shall not affect the enforceability of any of the other restrictions contained therein or the availability of any other remedy.</w:t>
      </w:r>
    </w:p>
    <w:p>
      <w:pPr>
        <w:spacing w:after="0" w:line="188" w:lineRule="exact"/>
        <w:rPr>
          <w:rFonts w:ascii="Arial" w:cs="Arial" w:eastAsia="Arial" w:hAnsi="Arial"/>
          <w:sz w:val="18"/>
          <w:szCs w:val="18"/>
          <w:b w:val="1"/>
          <w:bCs w:val="1"/>
          <w:color w:val="auto"/>
        </w:rPr>
      </w:pPr>
    </w:p>
    <w:p>
      <w:pPr>
        <w:jc w:val="both"/>
        <w:ind w:firstLine="8"/>
        <w:spacing w:after="0" w:line="238" w:lineRule="auto"/>
        <w:tabs>
          <w:tab w:leader="none" w:pos="68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Company Property. </w:t>
      </w:r>
      <w:r>
        <w:rPr>
          <w:rFonts w:ascii="Arial" w:cs="Arial" w:eastAsia="Arial" w:hAnsi="Arial"/>
          <w:sz w:val="18"/>
          <w:szCs w:val="18"/>
          <w:color w:val="auto"/>
        </w:rPr>
        <w:t>Upon termination of your employment or upon Company’s request at any other time, you will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of Company’s property, equipment, and documents, together with all copies thereof, and any other material containing or disclosing any Discoveries and Works, Third Party Information or Trade Secrets or other Confidential Information and certify in writing that you have fully complied with the foregoing obligation. You agree that you will not copy, delete, or alter any information contained upon your Company computer or Company equipment before you return it to Company. In addition, if you have used any personal computer, server, or e-mail system to receive, store, review, prepare or transmit any Company information, including but not limited to, Trade Secrets or other Confidential Information, you agree to provide the Company with a computer-useable copy of all such Trade Secrets or other Confidential Information and then permanently delete and expunge such Trade Secrets or other Confidential Information from those systems; and you agree to provide the Company access to your system as reasonably requested to verify that the necessary copying and/or deletion is completed. You further agree that any property situated on Company’s premises and owned by Company is subject to inspection by Company’s personnel at any time with or without notice. Prior to the termination of your employment or promptly after termination of your employment, you will cooperate with Company in attending an exit interview and certify in writing that you have complied with the requirements of this section.</w:t>
      </w:r>
    </w:p>
    <w:p>
      <w:pPr>
        <w:spacing w:after="0" w:line="183" w:lineRule="exact"/>
        <w:rPr>
          <w:rFonts w:ascii="Arial" w:cs="Arial" w:eastAsia="Arial" w:hAnsi="Arial"/>
          <w:sz w:val="18"/>
          <w:szCs w:val="18"/>
          <w:b w:val="1"/>
          <w:bCs w:val="1"/>
          <w:color w:val="auto"/>
        </w:rPr>
      </w:pPr>
    </w:p>
    <w:p>
      <w:pPr>
        <w:jc w:val="both"/>
        <w:ind w:firstLine="8"/>
        <w:spacing w:after="0" w:line="242" w:lineRule="auto"/>
        <w:tabs>
          <w:tab w:leader="none" w:pos="68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Future Cooperation</w:t>
      </w:r>
      <w:r>
        <w:rPr>
          <w:rFonts w:ascii="Arial" w:cs="Arial" w:eastAsia="Arial" w:hAnsi="Arial"/>
          <w:sz w:val="18"/>
          <w:szCs w:val="18"/>
          <w:color w:val="auto"/>
        </w:rPr>
        <w:t>. You agree that upon the Company's reasonable request following your termination of employment, you will use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to assist and cooperate with the Company in connection with the defense or prosecution of any claim that may be made against or by the Company or its Affiliates, or in connection with any ongoing or future investigation or dispute or claim of any kind involving the Company or its Affiliates, including any proceeding before any arbitral, administrative, regulatory, self- regulatory, judicial, legislative, or other body or agency. You will be entitled only to reimbursement for reasonable out-of-pocket expenses (including travel expenses) incurred in connection with providing such assistance.</w:t>
      </w:r>
    </w:p>
    <w:p>
      <w:pPr>
        <w:spacing w:after="0" w:line="179" w:lineRule="exact"/>
        <w:rPr>
          <w:rFonts w:ascii="Arial" w:cs="Arial" w:eastAsia="Arial" w:hAnsi="Arial"/>
          <w:sz w:val="18"/>
          <w:szCs w:val="18"/>
          <w:b w:val="1"/>
          <w:bCs w:val="1"/>
          <w:color w:val="auto"/>
        </w:rPr>
      </w:pPr>
    </w:p>
    <w:p>
      <w:pPr>
        <w:jc w:val="both"/>
        <w:ind w:firstLine="8"/>
        <w:spacing w:after="0"/>
        <w:tabs>
          <w:tab w:leader="none" w:pos="68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Publication of Agreement to Future Employers. </w:t>
      </w:r>
      <w:r>
        <w:rPr>
          <w:rFonts w:ascii="Arial" w:cs="Arial" w:eastAsia="Arial" w:hAnsi="Arial"/>
          <w:sz w:val="18"/>
          <w:szCs w:val="18"/>
          <w:color w:val="auto"/>
        </w:rPr>
        <w:t>If you are offered employment or the opportunity to enter into any business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owner, partner, consultant or other capacity while the restrictions described in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of this Agreement are in effect you agree to inform your potential employer, partner, co-owner and/or others involved in managing the business with which you have an opportunity to be associated of your obligations under this Agreement and also agree to provide such person or persons with a copy of this Agreement. You agree to inform the Company of all employment and business ventures which you enter into while the restrictions described in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of this Agreement are in effect and you also authorize the Company to provide copies of this Agreement to your employer, partner, co-owner and/or others involved in managing the business with which you are employed or associated and to make such persons aware of your obligations under this Agreement.</w:t>
      </w:r>
    </w:p>
    <w:p>
      <w:pPr>
        <w:spacing w:after="0" w:line="180" w:lineRule="exact"/>
        <w:rPr>
          <w:rFonts w:ascii="Arial" w:cs="Arial" w:eastAsia="Arial" w:hAnsi="Arial"/>
          <w:sz w:val="18"/>
          <w:szCs w:val="18"/>
          <w:b w:val="1"/>
          <w:bCs w:val="1"/>
          <w:color w:val="auto"/>
        </w:rPr>
      </w:pPr>
    </w:p>
    <w:p>
      <w:pPr>
        <w:ind w:right="20" w:firstLine="8"/>
        <w:spacing w:after="0" w:line="271" w:lineRule="auto"/>
        <w:tabs>
          <w:tab w:leader="none" w:pos="68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shall have the right to withhold from any amount payable to you hereunder an amount necessary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 to satisfy any withholding tax obligation it may have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511175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Page Eight</w:t>
      </w:r>
    </w:p>
    <w:p>
      <w:pPr>
        <w:spacing w:after="0" w:line="189" w:lineRule="exact"/>
        <w:rPr>
          <w:sz w:val="20"/>
          <w:szCs w:val="20"/>
          <w:color w:val="auto"/>
        </w:rPr>
      </w:pPr>
    </w:p>
    <w:p>
      <w:pPr>
        <w:jc w:val="both"/>
        <w:ind w:firstLine="8"/>
        <w:spacing w:after="0" w:line="241" w:lineRule="auto"/>
        <w:tabs>
          <w:tab w:leader="none" w:pos="68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Consent to Personal Jurisdiction</w:t>
      </w:r>
      <w:r>
        <w:rPr>
          <w:rFonts w:ascii="Arial" w:cs="Arial" w:eastAsia="Arial" w:hAnsi="Arial"/>
          <w:sz w:val="18"/>
          <w:szCs w:val="18"/>
          <w:color w:val="auto"/>
        </w:rPr>
        <w:t>. The terms of this Employment Agreement, and any action arising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governed by and construed in accordance with the domestic laws of the Commonwealth of Massachusetts giving effect to any choice of law or conflict of law provision or rule (whether of the Commonwealth of Massachusetts or other jurisdiction) that would cause the application of the laws of any jurisdiction other than the Commonwealth of Massachusetts. To the extent that any dispute involving this Employment Agreement is not subject to arbitration pursuant to </w:t>
      </w:r>
      <w:r>
        <w:rPr>
          <w:rFonts w:ascii="Arial" w:cs="Arial" w:eastAsia="Arial" w:hAnsi="Arial"/>
          <w:sz w:val="18"/>
          <w:szCs w:val="18"/>
          <w:b w:val="1"/>
          <w:bCs w:val="1"/>
          <w:color w:val="auto"/>
        </w:rPr>
        <w:t>Section 17</w:t>
      </w:r>
      <w:r>
        <w:rPr>
          <w:rFonts w:ascii="Arial" w:cs="Arial" w:eastAsia="Arial" w:hAnsi="Arial"/>
          <w:sz w:val="18"/>
          <w:szCs w:val="18"/>
          <w:color w:val="auto"/>
        </w:rPr>
        <w:t xml:space="preserve"> below, you hereby expressly consent to the personal jurisdiction and venue of the state and federal courts located in the Commonwealth of Massachusetts for any lawsuit filed there against me by Company arising from or related to this Agreement.</w:t>
      </w:r>
    </w:p>
    <w:p>
      <w:pPr>
        <w:spacing w:after="0" w:line="179" w:lineRule="exact"/>
        <w:rPr>
          <w:rFonts w:ascii="Arial" w:cs="Arial" w:eastAsia="Arial" w:hAnsi="Arial"/>
          <w:sz w:val="18"/>
          <w:szCs w:val="18"/>
          <w:b w:val="1"/>
          <w:bCs w:val="1"/>
          <w:color w:val="auto"/>
        </w:rPr>
      </w:pPr>
    </w:p>
    <w:p>
      <w:pPr>
        <w:jc w:val="both"/>
        <w:ind w:firstLine="8"/>
        <w:spacing w:after="0" w:line="247" w:lineRule="auto"/>
        <w:tabs>
          <w:tab w:leader="none" w:pos="68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This Employment Agreement may not be released, changed or modified in any manner, except by an instrument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you and the Board. The failure of either party to enforce any of the provisions of this Employment Agreement shall in no way be construed to be a waiver of any such provision. No waiver of any breach of this Employment Agreement shall be held to be a waiver of any other or subsequent breach.</w:t>
      </w:r>
    </w:p>
    <w:p>
      <w:pPr>
        <w:spacing w:after="0" w:line="174" w:lineRule="exact"/>
        <w:rPr>
          <w:rFonts w:ascii="Arial" w:cs="Arial" w:eastAsia="Arial" w:hAnsi="Arial"/>
          <w:sz w:val="18"/>
          <w:szCs w:val="18"/>
          <w:b w:val="1"/>
          <w:bCs w:val="1"/>
          <w:color w:val="auto"/>
        </w:rPr>
      </w:pPr>
    </w:p>
    <w:p>
      <w:pPr>
        <w:jc w:val="both"/>
        <w:ind w:firstLine="8"/>
        <w:spacing w:after="0" w:line="247" w:lineRule="auto"/>
        <w:tabs>
          <w:tab w:leader="none" w:pos="68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This Employment Agreement is personal to you. You shall not assign this Employment Agreement or any of your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and/or obligations under this Employment Agreement to any other person. The Company may, without your consent, assign this Employment Agreement to a successor to all or substantially all of its stock or assets, provided that the assignee or any successor remains bound by these terms.</w:t>
      </w:r>
    </w:p>
    <w:p>
      <w:pPr>
        <w:spacing w:after="0" w:line="174" w:lineRule="exact"/>
        <w:rPr>
          <w:rFonts w:ascii="Arial" w:cs="Arial" w:eastAsia="Arial" w:hAnsi="Arial"/>
          <w:sz w:val="18"/>
          <w:szCs w:val="18"/>
          <w:b w:val="1"/>
          <w:bCs w:val="1"/>
          <w:color w:val="auto"/>
        </w:rPr>
      </w:pPr>
    </w:p>
    <w:p>
      <w:pPr>
        <w:jc w:val="both"/>
        <w:ind w:firstLine="8"/>
        <w:spacing w:after="0" w:line="238" w:lineRule="auto"/>
        <w:tabs>
          <w:tab w:leader="none" w:pos="68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benefit mutually from the time and cost savings of arbitration over the delay and expense of the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federal and state court systems, all disputes involving this Employment Agreement (except, at the election of either party, for injunctive or declaratory relief with respect to disputes arising out of an alleged breach or threatened breach of the restrictive covenants contained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9</w:t>
      </w:r>
      <w:r>
        <w:rPr>
          <w:rFonts w:ascii="Arial" w:cs="Arial" w:eastAsia="Arial" w:hAnsi="Arial"/>
          <w:sz w:val="18"/>
          <w:szCs w:val="18"/>
          <w:color w:val="auto"/>
        </w:rPr>
        <w:t>), including claims of violations of federal or state discrimination statutes, wage and hour laws, or public policy, shall be resolved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arbitration in the Commonwealth of Massachusetts. In the event of a dispute, a written request for arbitration shall be submitted to the Boston office of JAMS, Inc. (“</w:t>
      </w:r>
      <w:r>
        <w:rPr>
          <w:rFonts w:ascii="Arial" w:cs="Arial" w:eastAsia="Arial" w:hAnsi="Arial"/>
          <w:sz w:val="18"/>
          <w:szCs w:val="18"/>
          <w:b w:val="1"/>
          <w:bCs w:val="1"/>
          <w:color w:val="auto"/>
        </w:rPr>
        <w:t>JAMS</w:t>
      </w:r>
      <w:r>
        <w:rPr>
          <w:rFonts w:ascii="Arial" w:cs="Arial" w:eastAsia="Arial" w:hAnsi="Arial"/>
          <w:sz w:val="18"/>
          <w:szCs w:val="18"/>
          <w:color w:val="auto"/>
        </w:rPr>
        <w:t>”) or its successor, under JAMS’ then applicable rules and procedures for employment disputes. The award of the arbitrators shall be final and binding and judgment upon the award may be entered in any court having jurisdiction thereof. Except as otherwise provided above, this procedure shall be the exclusive means of settling any disputes that may arise under this Employment Agreement. All fees and expenses of the arbitrators and all other expenses of the arbitration, except for attorneys' fees and witness expenses, shall be allocated as determined by the arbitrators. Each party shall bear its own witness expenses and attorneys' fees, except as otherwise determined by the arbitrators.</w:t>
      </w:r>
    </w:p>
    <w:p>
      <w:pPr>
        <w:spacing w:after="0" w:line="186" w:lineRule="exact"/>
        <w:rPr>
          <w:rFonts w:ascii="Arial" w:cs="Arial" w:eastAsia="Arial" w:hAnsi="Arial"/>
          <w:sz w:val="18"/>
          <w:szCs w:val="18"/>
          <w:b w:val="1"/>
          <w:bCs w:val="1"/>
          <w:color w:val="auto"/>
        </w:rPr>
      </w:pPr>
    </w:p>
    <w:p>
      <w:pPr>
        <w:ind w:firstLine="8"/>
        <w:spacing w:after="0" w:line="271" w:lineRule="auto"/>
        <w:tabs>
          <w:tab w:leader="none" w:pos="68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Jointly Drafted Agreement</w:t>
      </w:r>
      <w:r>
        <w:rPr>
          <w:rFonts w:ascii="Arial" w:cs="Arial" w:eastAsia="Arial" w:hAnsi="Arial"/>
          <w:sz w:val="18"/>
          <w:szCs w:val="18"/>
          <w:color w:val="auto"/>
        </w:rPr>
        <w:t>. This Employment Agreement is and shall be deemed jointly drafted and written by the parties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construed or interpreted against any party originating or preparing any part of it because of its authorship.</w:t>
      </w:r>
    </w:p>
    <w:p>
      <w:pPr>
        <w:spacing w:after="0" w:line="153" w:lineRule="exact"/>
        <w:rPr>
          <w:rFonts w:ascii="Arial" w:cs="Arial" w:eastAsia="Arial" w:hAnsi="Arial"/>
          <w:sz w:val="18"/>
          <w:szCs w:val="18"/>
          <w:b w:val="1"/>
          <w:bCs w:val="1"/>
          <w:color w:val="auto"/>
        </w:rPr>
      </w:pPr>
    </w:p>
    <w:p>
      <w:pPr>
        <w:jc w:val="both"/>
        <w:ind w:firstLine="8"/>
        <w:spacing w:after="0" w:line="243" w:lineRule="auto"/>
        <w:tabs>
          <w:tab w:leader="none" w:pos="68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Conflicts</w:t>
      </w:r>
      <w:r>
        <w:rPr>
          <w:rFonts w:ascii="Arial" w:cs="Arial" w:eastAsia="Arial" w:hAnsi="Arial"/>
          <w:sz w:val="18"/>
          <w:szCs w:val="18"/>
          <w:color w:val="auto"/>
        </w:rPr>
        <w:t>. You represent and warrant to the Company that your acceptance of employment and the performance of your duties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conflict with or result in a violation or breach of, or constitute a default under any contract, agreement or understanding to which you are or were a party or of which you are aware and that there are no restrictions, covenants, agreements or limitations on your right or</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7"/>
          <w:szCs w:val="17"/>
          <w:color w:val="auto"/>
        </w:rPr>
        <w:t>ability to enter into and perform the terms of this Employment Agreement. You further represent and warrant that you have no knowledge of any</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fact or circumstance that could prevent or materially delay you or the Company (as a result of your employment hereunder) from obtaining or maintaining any registration, license or other authorization or approval required for (i) you to perform your duties hereunder or (ii) the Company to operate its business as currently contemplated.</w:t>
      </w:r>
    </w:p>
    <w:p>
      <w:pPr>
        <w:spacing w:after="0" w:line="181" w:lineRule="exact"/>
        <w:rPr>
          <w:sz w:val="20"/>
          <w:szCs w:val="20"/>
          <w:color w:val="auto"/>
        </w:rPr>
      </w:pPr>
    </w:p>
    <w:p>
      <w:pPr>
        <w:jc w:val="both"/>
        <w:ind w:firstLine="8"/>
        <w:spacing w:after="0" w:line="244" w:lineRule="auto"/>
        <w:tabs>
          <w:tab w:leader="none" w:pos="68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Company Policies and Procedures</w:t>
      </w:r>
      <w:r>
        <w:rPr>
          <w:rFonts w:ascii="Arial" w:cs="Arial" w:eastAsia="Arial" w:hAnsi="Arial"/>
          <w:sz w:val="18"/>
          <w:szCs w:val="18"/>
          <w:color w:val="auto"/>
        </w:rPr>
        <w:t>. As an employee of the Company, you will be required to comply with all Company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The Company's premises, including all workspaces, furniture, documents, and other tangible materials, and all information technology resources of the Company (including computers, data and other electronic files, and all internet and email) are subject to oversight and inspection by the Company at any time, with or without notice. Company employees should have no expectation of privacy with regard to any Company premises, materials, resources, or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Page Nine</w:t>
      </w:r>
    </w:p>
    <w:p>
      <w:pPr>
        <w:spacing w:after="0" w:line="189" w:lineRule="exact"/>
        <w:rPr>
          <w:sz w:val="20"/>
          <w:szCs w:val="20"/>
          <w:color w:val="auto"/>
        </w:rPr>
      </w:pPr>
    </w:p>
    <w:p>
      <w:pPr>
        <w:ind w:firstLine="8"/>
        <w:spacing w:after="0" w:line="271" w:lineRule="auto"/>
        <w:tabs>
          <w:tab w:leader="none" w:pos="68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and other communications provided for in this Employment Agreement shall be in writing, shall be given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addresses or telecopy numbers set forth in clauses (a) and (b) of this </w:t>
      </w:r>
      <w:r>
        <w:rPr>
          <w:rFonts w:ascii="Arial" w:cs="Arial" w:eastAsia="Arial" w:hAnsi="Arial"/>
          <w:sz w:val="18"/>
          <w:szCs w:val="18"/>
          <w:b w:val="1"/>
          <w:bCs w:val="1"/>
          <w:color w:val="auto"/>
        </w:rPr>
        <w:t>Section 21</w:t>
      </w:r>
      <w:r>
        <w:rPr>
          <w:rFonts w:ascii="Arial" w:cs="Arial" w:eastAsia="Arial" w:hAnsi="Arial"/>
          <w:sz w:val="18"/>
          <w:szCs w:val="18"/>
          <w:color w:val="auto"/>
        </w:rPr>
        <w:t>.</w:t>
      </w:r>
    </w:p>
    <w:p>
      <w:pPr>
        <w:spacing w:after="0" w:line="154" w:lineRule="exact"/>
        <w:rPr>
          <w:sz w:val="20"/>
          <w:szCs w:val="20"/>
          <w:color w:val="auto"/>
        </w:rPr>
      </w:pPr>
    </w:p>
    <w:p>
      <w:pPr>
        <w:ind w:right="180" w:firstLine="543"/>
        <w:spacing w:after="0" w:line="27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Each notice or other communication to the Company under this Employment Agreement shall be directed as follows or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address as Company may have furnished to you in writing in accordance herewith:</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Minerva Neurosciences, Inc. 1601 Trapelo Road, Suite 286</w:t>
      </w:r>
    </w:p>
    <w:p>
      <w:pPr>
        <w:ind w:left="800"/>
        <w:spacing w:after="0" w:line="234" w:lineRule="auto"/>
        <w:rPr>
          <w:sz w:val="20"/>
          <w:szCs w:val="20"/>
          <w:color w:val="auto"/>
        </w:rPr>
      </w:pPr>
      <w:r>
        <w:rPr>
          <w:rFonts w:ascii="Arial" w:cs="Arial" w:eastAsia="Arial" w:hAnsi="Arial"/>
          <w:sz w:val="18"/>
          <w:szCs w:val="18"/>
          <w:color w:val="auto"/>
        </w:rPr>
        <w:t>Waltham, MA 02451</w:t>
      </w:r>
    </w:p>
    <w:p>
      <w:pPr>
        <w:ind w:left="800"/>
        <w:spacing w:after="0" w:line="235" w:lineRule="auto"/>
        <w:rPr>
          <w:sz w:val="20"/>
          <w:szCs w:val="20"/>
          <w:color w:val="auto"/>
        </w:rPr>
      </w:pPr>
      <w:r>
        <w:rPr>
          <w:rFonts w:ascii="Arial" w:cs="Arial" w:eastAsia="Arial" w:hAnsi="Arial"/>
          <w:sz w:val="18"/>
          <w:szCs w:val="18"/>
          <w:color w:val="auto"/>
        </w:rPr>
        <w:t>Attn: Chief Executive Officer</w:t>
      </w:r>
    </w:p>
    <w:p>
      <w:pPr>
        <w:ind w:left="800"/>
        <w:spacing w:after="0" w:line="235" w:lineRule="auto"/>
        <w:rPr>
          <w:sz w:val="20"/>
          <w:szCs w:val="20"/>
          <w:color w:val="auto"/>
        </w:rPr>
      </w:pPr>
      <w:r>
        <w:rPr>
          <w:rFonts w:ascii="Arial" w:cs="Arial" w:eastAsia="Arial" w:hAnsi="Arial"/>
          <w:sz w:val="18"/>
          <w:szCs w:val="18"/>
          <w:color w:val="auto"/>
        </w:rPr>
        <w:t>Email: rluthringer@minervaneurosciences.com With a required copy to:</w:t>
      </w:r>
    </w:p>
    <w:p>
      <w:pPr>
        <w:ind w:left="800"/>
        <w:spacing w:after="0" w:line="235" w:lineRule="auto"/>
        <w:rPr>
          <w:sz w:val="20"/>
          <w:szCs w:val="20"/>
          <w:color w:val="auto"/>
        </w:rPr>
      </w:pPr>
      <w:r>
        <w:rPr>
          <w:rFonts w:ascii="Arial" w:cs="Arial" w:eastAsia="Arial" w:hAnsi="Arial"/>
          <w:sz w:val="18"/>
          <w:szCs w:val="18"/>
          <w:color w:val="auto"/>
        </w:rPr>
        <w:t>Cooley LLP</w:t>
      </w:r>
    </w:p>
    <w:p>
      <w:pPr>
        <w:ind w:left="800"/>
        <w:spacing w:after="0" w:line="235" w:lineRule="auto"/>
        <w:rPr>
          <w:sz w:val="20"/>
          <w:szCs w:val="20"/>
          <w:color w:val="auto"/>
        </w:rPr>
      </w:pPr>
      <w:r>
        <w:rPr>
          <w:rFonts w:ascii="Arial" w:cs="Arial" w:eastAsia="Arial" w:hAnsi="Arial"/>
          <w:sz w:val="18"/>
          <w:szCs w:val="18"/>
          <w:color w:val="auto"/>
        </w:rPr>
        <w:t>500 Boylston Street, 14th Floor Boston, MA 02116-3736</w:t>
      </w:r>
    </w:p>
    <w:p>
      <w:pPr>
        <w:ind w:left="800"/>
        <w:spacing w:after="0" w:line="235" w:lineRule="auto"/>
        <w:rPr>
          <w:sz w:val="20"/>
          <w:szCs w:val="20"/>
          <w:color w:val="auto"/>
        </w:rPr>
      </w:pPr>
      <w:r>
        <w:rPr>
          <w:rFonts w:ascii="Arial" w:cs="Arial" w:eastAsia="Arial" w:hAnsi="Arial"/>
          <w:sz w:val="18"/>
          <w:szCs w:val="18"/>
          <w:color w:val="auto"/>
        </w:rPr>
        <w:t>Attn: Marc Recht</w:t>
      </w:r>
    </w:p>
    <w:p>
      <w:pPr>
        <w:ind w:left="800"/>
        <w:spacing w:after="0"/>
        <w:rPr>
          <w:sz w:val="20"/>
          <w:szCs w:val="20"/>
          <w:color w:val="auto"/>
        </w:rPr>
      </w:pPr>
      <w:r>
        <w:rPr>
          <w:rFonts w:ascii="Arial" w:cs="Arial" w:eastAsia="Arial" w:hAnsi="Arial"/>
          <w:sz w:val="18"/>
          <w:szCs w:val="18"/>
          <w:color w:val="auto"/>
        </w:rPr>
        <w:t>E-mail: mrecht@cooley.com</w:t>
      </w:r>
    </w:p>
    <w:p>
      <w:pPr>
        <w:spacing w:after="0" w:line="212" w:lineRule="exact"/>
        <w:rPr>
          <w:sz w:val="20"/>
          <w:szCs w:val="20"/>
          <w:color w:val="auto"/>
        </w:rPr>
      </w:pPr>
    </w:p>
    <w:p>
      <w:pPr>
        <w:ind w:right="120" w:firstLine="551"/>
        <w:spacing w:after="0" w:line="246" w:lineRule="auto"/>
        <w:tabs>
          <w:tab w:leader="none" w:pos="1202"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Each notice or other communication to you under this Employment Agreement shall be directed to your home address on file with the Company or to such other address as you may have furnished to the Company in writing in accordance herewith.</w:t>
      </w:r>
    </w:p>
    <w:p>
      <w:pPr>
        <w:spacing w:after="0" w:line="174" w:lineRule="exact"/>
        <w:rPr>
          <w:rFonts w:ascii="Arial" w:cs="Arial" w:eastAsia="Arial" w:hAnsi="Arial"/>
          <w:sz w:val="18"/>
          <w:szCs w:val="18"/>
          <w:b w:val="1"/>
          <w:bCs w:val="1"/>
          <w:color w:val="auto"/>
        </w:rPr>
      </w:pPr>
    </w:p>
    <w:p>
      <w:pPr>
        <w:jc w:val="both"/>
        <w:ind w:firstLine="8"/>
        <w:spacing w:after="0" w:line="253" w:lineRule="auto"/>
        <w:tabs>
          <w:tab w:leader="none" w:pos="68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Upon the date hereof, this Employment Agreement supersedes all previous and contemporaneous</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agreements and understandings between you, on the one hand, and the Company or any of its Affiliates, on the other hand, including the Offer Letter, and constitutes the sole and entire agreement between you and the Company pertaining to the subject matter hereof.</w:t>
      </w:r>
    </w:p>
    <w:p>
      <w:pPr>
        <w:spacing w:after="0" w:line="169" w:lineRule="exact"/>
        <w:rPr>
          <w:rFonts w:ascii="Arial" w:cs="Arial" w:eastAsia="Arial" w:hAnsi="Arial"/>
          <w:sz w:val="18"/>
          <w:szCs w:val="18"/>
          <w:b w:val="1"/>
          <w:bCs w:val="1"/>
          <w:color w:val="auto"/>
        </w:rPr>
      </w:pPr>
    </w:p>
    <w:p>
      <w:pPr>
        <w:jc w:val="both"/>
        <w:ind w:firstLine="8"/>
        <w:spacing w:after="0" w:line="253" w:lineRule="auto"/>
        <w:tabs>
          <w:tab w:leader="none" w:pos="68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Employment Agreement may be executed in one or more counterparts, all of which shall be considered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agreement, and shall become a binding agreement when one or more counterparts have been signed by each party and delivered to the other party.</w:t>
      </w:r>
    </w:p>
    <w:p>
      <w:pPr>
        <w:spacing w:after="0" w:line="169" w:lineRule="exact"/>
        <w:rPr>
          <w:rFonts w:ascii="Arial" w:cs="Arial" w:eastAsia="Arial" w:hAnsi="Arial"/>
          <w:sz w:val="18"/>
          <w:szCs w:val="18"/>
          <w:b w:val="1"/>
          <w:bCs w:val="1"/>
          <w:color w:val="auto"/>
        </w:rPr>
      </w:pPr>
    </w:p>
    <w:p>
      <w:pPr>
        <w:ind w:left="700" w:hanging="692"/>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Payments</w:t>
      </w:r>
      <w:r>
        <w:rPr>
          <w:rFonts w:ascii="Arial" w:cs="Arial" w:eastAsia="Arial" w:hAnsi="Arial"/>
          <w:sz w:val="18"/>
          <w:szCs w:val="18"/>
          <w:color w:val="auto"/>
        </w:rPr>
        <w:t>.</w:t>
      </w:r>
    </w:p>
    <w:p>
      <w:pPr>
        <w:spacing w:after="0" w:line="233" w:lineRule="exact"/>
        <w:rPr>
          <w:rFonts w:ascii="Arial" w:cs="Arial" w:eastAsia="Arial" w:hAnsi="Arial"/>
          <w:sz w:val="18"/>
          <w:szCs w:val="18"/>
          <w:b w:val="1"/>
          <w:bCs w:val="1"/>
          <w:color w:val="auto"/>
        </w:rPr>
      </w:pPr>
    </w:p>
    <w:p>
      <w:pPr>
        <w:ind w:right="60" w:firstLine="551"/>
        <w:spacing w:after="0" w:line="236" w:lineRule="auto"/>
        <w:tabs>
          <w:tab w:leader="none" w:pos="1193"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If any payment or benefit you would receive from the Company or otherwise in connection with a change in control of the Company or other similar transaction (a “</w:t>
      </w:r>
      <w:r>
        <w:rPr>
          <w:rFonts w:ascii="Arial" w:cs="Arial" w:eastAsia="Arial" w:hAnsi="Arial"/>
          <w:sz w:val="18"/>
          <w:szCs w:val="18"/>
          <w:b w:val="1"/>
          <w:bCs w:val="1"/>
          <w:i w:val="1"/>
          <w:iCs w:val="1"/>
          <w:color w:val="auto"/>
        </w:rPr>
        <w:t>280G Payment</w:t>
      </w:r>
      <w:r>
        <w:rPr>
          <w:rFonts w:ascii="Arial" w:cs="Arial" w:eastAsia="Arial" w:hAnsi="Arial"/>
          <w:sz w:val="18"/>
          <w:szCs w:val="18"/>
          <w:color w:val="auto"/>
        </w:rPr>
        <w:t>”) would (i) constitute a “parachute payment” within the meaning of Section 280G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any such 280G Payment (a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8"/>
          <w:szCs w:val="18"/>
          <w:b w:val="1"/>
          <w:bCs w:val="1"/>
          <w:i w:val="1"/>
          <w:iCs w:val="1"/>
          <w:color w:val="auto"/>
        </w:rPr>
        <w:t>Reduction Method</w:t>
      </w:r>
      <w:r>
        <w:rPr>
          <w:rFonts w:ascii="Arial" w:cs="Arial" w:eastAsia="Arial" w:hAnsi="Arial"/>
          <w:sz w:val="18"/>
          <w:szCs w:val="18"/>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8"/>
          <w:szCs w:val="18"/>
          <w:b w:val="1"/>
          <w:bCs w:val="1"/>
          <w:i w:val="1"/>
          <w:iCs w:val="1"/>
          <w:color w:val="auto"/>
        </w:rPr>
        <w:t>Pro Rata Reduction Method</w:t>
      </w:r>
      <w:r>
        <w:rPr>
          <w:rFonts w:ascii="Arial" w:cs="Arial" w:eastAsia="Arial" w:hAnsi="Arial"/>
          <w:sz w:val="18"/>
          <w:szCs w:val="18"/>
          <w:color w:val="auto"/>
        </w:rPr>
        <w:t>”).</w:t>
      </w:r>
    </w:p>
    <w:p>
      <w:pPr>
        <w:spacing w:after="0" w:line="204" w:lineRule="exact"/>
        <w:rPr>
          <w:rFonts w:ascii="Arial" w:cs="Arial" w:eastAsia="Arial" w:hAnsi="Arial"/>
          <w:sz w:val="18"/>
          <w:szCs w:val="18"/>
          <w:b w:val="1"/>
          <w:bCs w:val="1"/>
          <w:color w:val="auto"/>
        </w:rPr>
      </w:pPr>
    </w:p>
    <w:p>
      <w:pPr>
        <w:ind w:right="160" w:firstLine="551"/>
        <w:spacing w:after="0" w:line="236" w:lineRule="auto"/>
        <w:tabs>
          <w:tab w:leader="none" w:pos="1202"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Page Ten</w:t>
      </w:r>
    </w:p>
    <w:p>
      <w:pPr>
        <w:spacing w:after="0" w:line="211" w:lineRule="exact"/>
        <w:rPr>
          <w:sz w:val="20"/>
          <w:szCs w:val="20"/>
          <w:color w:val="auto"/>
        </w:rPr>
      </w:pPr>
    </w:p>
    <w:p>
      <w:pPr>
        <w:ind w:right="160" w:firstLine="551"/>
        <w:spacing w:after="0" w:line="236" w:lineRule="auto"/>
        <w:tabs>
          <w:tab w:leader="none" w:pos="1193"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15 calendar days after the date on which your right to a 280G Payment becomes reasonably likely to occur (if requested at that time by you or the Company) or such other time as requested by you or the Company.</w:t>
      </w:r>
    </w:p>
    <w:p>
      <w:pPr>
        <w:spacing w:after="0" w:line="207" w:lineRule="exact"/>
        <w:rPr>
          <w:rFonts w:ascii="Arial" w:cs="Arial" w:eastAsia="Arial" w:hAnsi="Arial"/>
          <w:sz w:val="18"/>
          <w:szCs w:val="18"/>
          <w:b w:val="1"/>
          <w:bCs w:val="1"/>
          <w:color w:val="auto"/>
        </w:rPr>
      </w:pPr>
    </w:p>
    <w:p>
      <w:pPr>
        <w:ind w:right="60" w:firstLine="551"/>
        <w:spacing w:after="0" w:line="237" w:lineRule="auto"/>
        <w:tabs>
          <w:tab w:leader="none" w:pos="1202"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If you receive a Payment for which the Reduced Amount was determined pursuant to clause (x) of the first paragraph of this Section and the Internal Revenue Service determines thereafter that some portion of the Payment is subject to the Excise Tax, you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you shall have no obligation to return any portion of the Payment pursuant to the preceding sentence.</w:t>
      </w:r>
    </w:p>
    <w:p>
      <w:pPr>
        <w:spacing w:after="0" w:line="183" w:lineRule="exact"/>
        <w:rPr>
          <w:rFonts w:ascii="Arial" w:cs="Arial" w:eastAsia="Arial" w:hAnsi="Arial"/>
          <w:sz w:val="18"/>
          <w:szCs w:val="18"/>
          <w:b w:val="1"/>
          <w:bCs w:val="1"/>
          <w:color w:val="auto"/>
        </w:rPr>
      </w:pPr>
    </w:p>
    <w:p>
      <w:pPr>
        <w:ind w:left="700" w:hanging="692"/>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409A Matters</w:t>
      </w:r>
      <w:r>
        <w:rPr>
          <w:rFonts w:ascii="Arial" w:cs="Arial" w:eastAsia="Arial" w:hAnsi="Arial"/>
          <w:sz w:val="18"/>
          <w:szCs w:val="18"/>
          <w:color w:val="auto"/>
        </w:rPr>
        <w:t>.</w:t>
      </w:r>
    </w:p>
    <w:p>
      <w:pPr>
        <w:spacing w:after="0" w:line="233" w:lineRule="exact"/>
        <w:rPr>
          <w:rFonts w:ascii="Arial" w:cs="Arial" w:eastAsia="Arial" w:hAnsi="Arial"/>
          <w:sz w:val="18"/>
          <w:szCs w:val="18"/>
          <w:b w:val="1"/>
          <w:bCs w:val="1"/>
          <w:color w:val="auto"/>
        </w:rPr>
      </w:pPr>
    </w:p>
    <w:p>
      <w:pPr>
        <w:jc w:val="both"/>
        <w:ind w:firstLine="551"/>
        <w:spacing w:after="0" w:line="235" w:lineRule="auto"/>
        <w:tabs>
          <w:tab w:leader="none" w:pos="11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any provision of this Employment Agreement to the contrary, all payments and benefits pair of provided for under this Employment Agreement are intended to comply with or be exempt from the requirements of Section 409A of the Code. Accordingly, all provisions herein, or incorporated by reference, shall be construed and interpreted to comply with or be exempt from (as applicable) Section 409A of the Code and the regulations and guidance thereunder. For purposes of this Agreement, all references to "</w:t>
      </w:r>
      <w:r>
        <w:rPr>
          <w:rFonts w:ascii="Arial" w:cs="Arial" w:eastAsia="Arial" w:hAnsi="Arial"/>
          <w:sz w:val="18"/>
          <w:szCs w:val="18"/>
          <w:b w:val="1"/>
          <w:bCs w:val="1"/>
          <w:i w:val="1"/>
          <w:iCs w:val="1"/>
          <w:color w:val="auto"/>
        </w:rPr>
        <w:t>termination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and correlative phrases shall be construed to require a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(as defined in Section 1.409A-1(h)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Treasury regulations after giving effect to the presumptions contained therein). Further, each payment of compensation under this Employment Agreement (including each installment of the Severance Benefits) shall be treated as a separate payment of compensation. Any amounts payable solely on account of an involuntary separation from service within the meaning of Section 409A of the Code shall be excludible from the requirements of Section 409A of the Code, either as involuntary separation pay or as short-term deferral amounts to the maximum possible extent. Any reimbursements or in-kind benefits provided under this Employment Agreement shall be made or provided in accordance with the requirements of Section 409A of the Code, including, where applicable, the requirement that (i) any reimbursement is for expenses incurred during the period of time specified in this Employment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 The welfare benefit continuation provided during the period of time in which you would be entitled to continuation coverage under the Company's group health plan under COBRA is intended to qualify for the exception from deferred compensation as a medical benefit provided in accordance with the requirements of Treasury Regulation Section I .409A-1(b)(9)(v)(B).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Page Eleven</w:t>
      </w:r>
    </w:p>
    <w:p>
      <w:pPr>
        <w:spacing w:after="0" w:line="189" w:lineRule="exact"/>
        <w:rPr>
          <w:sz w:val="20"/>
          <w:szCs w:val="20"/>
          <w:color w:val="auto"/>
        </w:rPr>
      </w:pPr>
    </w:p>
    <w:p>
      <w:pPr>
        <w:jc w:val="both"/>
        <w:ind w:firstLine="551"/>
        <w:spacing w:after="0" w:line="239" w:lineRule="auto"/>
        <w:tabs>
          <w:tab w:leader="none" w:pos="11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 provision of the Employment Agreement to the contrary, if you are a "</w:t>
      </w:r>
      <w:r>
        <w:rPr>
          <w:rFonts w:ascii="Arial" w:cs="Arial" w:eastAsia="Arial" w:hAnsi="Arial"/>
          <w:sz w:val="18"/>
          <w:szCs w:val="18"/>
          <w:b w:val="1"/>
          <w:bCs w:val="1"/>
          <w:i w:val="1"/>
          <w:iCs w:val="1"/>
          <w:color w:val="auto"/>
        </w:rPr>
        <w:t>specified employee</w:t>
      </w:r>
      <w:r>
        <w:rPr>
          <w:rFonts w:ascii="Arial" w:cs="Arial" w:eastAsia="Arial" w:hAnsi="Arial"/>
          <w:sz w:val="18"/>
          <w:szCs w:val="18"/>
          <w:color w:val="auto"/>
        </w:rPr>
        <w:t>" within the meaning of Section 409A of the Code at the time of termination of employment, to the extent necessary to comply with Section 409A of the Code, any payment required under this Employment Agreement shall be delayed for a period of six (6) months after termination of employment pursuant to Section 409A of the Code, regardless of the circumstances giving rise to or the basis for such payment. Payment of such delayed amount shall be paid in a lump sum on the day immediately following the end of the six (6) month period. If you die during the postponement period prior to the payment of the delayed amount, the amounts delayed on account of Section 409A of the Code shall he paid to the personal representative of your estate within ninety (90) days after the date of your death. For these purposes, a "</w:t>
      </w:r>
      <w:r>
        <w:rPr>
          <w:rFonts w:ascii="Arial" w:cs="Arial" w:eastAsia="Arial" w:hAnsi="Arial"/>
          <w:sz w:val="18"/>
          <w:szCs w:val="18"/>
          <w:b w:val="1"/>
          <w:bCs w:val="1"/>
          <w:i w:val="1"/>
          <w:iCs w:val="1"/>
          <w:color w:val="auto"/>
        </w:rPr>
        <w:t>specified employee</w:t>
      </w:r>
      <w:r>
        <w:rPr>
          <w:rFonts w:ascii="Arial" w:cs="Arial" w:eastAsia="Arial" w:hAnsi="Arial"/>
          <w:sz w:val="18"/>
          <w:szCs w:val="18"/>
          <w:color w:val="auto"/>
        </w:rPr>
        <w:t>" shall mean an employee who, at any time during the 12-month period ending on the identification date, is a "</w:t>
      </w:r>
      <w:r>
        <w:rPr>
          <w:rFonts w:ascii="Arial" w:cs="Arial" w:eastAsia="Arial" w:hAnsi="Arial"/>
          <w:sz w:val="18"/>
          <w:szCs w:val="18"/>
          <w:b w:val="1"/>
          <w:bCs w:val="1"/>
          <w:i w:val="1"/>
          <w:iCs w:val="1"/>
          <w:color w:val="auto"/>
        </w:rPr>
        <w:t>specified employee</w:t>
      </w:r>
      <w:r>
        <w:rPr>
          <w:rFonts w:ascii="Arial" w:cs="Arial" w:eastAsia="Arial" w:hAnsi="Arial"/>
          <w:sz w:val="18"/>
          <w:szCs w:val="18"/>
          <w:color w:val="auto"/>
        </w:rPr>
        <w:t>" under Section 409A of the Code, as determined by the Company. The determination of "</w:t>
      </w:r>
      <w:r>
        <w:rPr>
          <w:rFonts w:ascii="Arial" w:cs="Arial" w:eastAsia="Arial" w:hAnsi="Arial"/>
          <w:sz w:val="18"/>
          <w:szCs w:val="18"/>
          <w:b w:val="1"/>
          <w:bCs w:val="1"/>
          <w:i w:val="1"/>
          <w:iCs w:val="1"/>
          <w:color w:val="auto"/>
        </w:rPr>
        <w:t>specified employees,</w:t>
      </w:r>
      <w:r>
        <w:rPr>
          <w:rFonts w:ascii="Arial" w:cs="Arial" w:eastAsia="Arial" w:hAnsi="Arial"/>
          <w:sz w:val="18"/>
          <w:szCs w:val="18"/>
          <w:color w:val="auto"/>
        </w:rPr>
        <w:t>" including the number and identity of persons considered "</w:t>
      </w:r>
      <w:r>
        <w:rPr>
          <w:rFonts w:ascii="Arial" w:cs="Arial" w:eastAsia="Arial" w:hAnsi="Arial"/>
          <w:sz w:val="18"/>
          <w:szCs w:val="18"/>
          <w:b w:val="1"/>
          <w:bCs w:val="1"/>
          <w:i w:val="1"/>
          <w:iCs w:val="1"/>
          <w:color w:val="auto"/>
        </w:rPr>
        <w:t>specified employees</w:t>
      </w:r>
      <w:r>
        <w:rPr>
          <w:rFonts w:ascii="Arial" w:cs="Arial" w:eastAsia="Arial" w:hAnsi="Arial"/>
          <w:sz w:val="18"/>
          <w:szCs w:val="18"/>
          <w:color w:val="auto"/>
        </w:rPr>
        <w:t>" and the identification date, shall be made by the Company in accordance with Treasury regulation Section 1.409A-1(i).</w:t>
      </w:r>
    </w:p>
    <w:p>
      <w:pPr>
        <w:spacing w:after="0" w:line="23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Sincerely yours,</w:t>
      </w:r>
    </w:p>
    <w:p>
      <w:pPr>
        <w:spacing w:after="0" w:line="21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MINERVA NEUROSCIENCES, INC.</w:t>
      </w:r>
    </w:p>
    <w:p>
      <w:pPr>
        <w:spacing w:after="0" w:line="200" w:lineRule="exact"/>
        <w:rPr>
          <w:sz w:val="20"/>
          <w:szCs w:val="20"/>
          <w:color w:val="auto"/>
        </w:rPr>
      </w:pPr>
    </w:p>
    <w:p>
      <w:pPr>
        <w:spacing w:after="0" w:line="228"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Remy Luthringer Ph.D.</w:t>
      </w:r>
    </w:p>
    <w:p>
      <w:pPr>
        <w:ind w:left="8220"/>
        <w:spacing w:after="0"/>
        <w:rPr>
          <w:sz w:val="20"/>
          <w:szCs w:val="20"/>
          <w:color w:val="auto"/>
        </w:rPr>
      </w:pPr>
      <w:r>
        <w:rPr>
          <w:rFonts w:ascii="Arial" w:cs="Arial" w:eastAsia="Arial" w:hAnsi="Arial"/>
          <w:sz w:val="18"/>
          <w:szCs w:val="18"/>
          <w:color w:val="auto"/>
        </w:rPr>
        <w:t>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THIS 12 DAY OF JUNE, 2018.</w:t>
      </w:r>
    </w:p>
    <w:p>
      <w:pPr>
        <w:spacing w:after="0" w:line="2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Devin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26073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Devin Smith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tabs>
          <w:tab w:leader="none" w:pos="2020" w:val="left"/>
          <w:tab w:leader="none" w:pos="2220" w:val="left"/>
          <w:tab w:leader="none" w:pos="3700" w:val="left"/>
          <w:tab w:leader="none" w:pos="3880" w:val="left"/>
        </w:tabs>
        <w:rPr>
          <w:sz w:val="20"/>
          <w:szCs w:val="20"/>
          <w:color w:val="auto"/>
        </w:rPr>
      </w:pPr>
      <w:r>
        <w:rPr>
          <w:rFonts w:ascii="Arial" w:cs="Arial" w:eastAsia="Arial" w:hAnsi="Arial"/>
          <w:sz w:val="15"/>
          <w:szCs w:val="15"/>
          <w:color w:val="006B63"/>
        </w:rPr>
        <w:t>1601 Trapelo Road, Suite 284</w:t>
      </w:r>
      <w:r>
        <w:rPr>
          <w:sz w:val="20"/>
          <w:szCs w:val="20"/>
          <w:color w:val="auto"/>
        </w:rPr>
        <w:tab/>
      </w:r>
      <w:r>
        <w:rPr>
          <w:rFonts w:ascii="Arial" w:cs="Arial" w:eastAsia="Arial" w:hAnsi="Arial"/>
          <w:sz w:val="16"/>
          <w:szCs w:val="16"/>
          <w:color w:val="006B63"/>
        </w:rPr>
        <w:t>|</w:t>
        <w:tab/>
        <w:t>Waltham, MA 02451</w:t>
        <w:tab/>
        <w:t>|</w:t>
      </w:r>
      <w:r>
        <w:rPr>
          <w:sz w:val="20"/>
          <w:szCs w:val="20"/>
          <w:color w:val="auto"/>
        </w:rPr>
        <w:tab/>
      </w:r>
      <w:r>
        <w:rPr>
          <w:rFonts w:ascii="Arial" w:cs="Arial" w:eastAsia="Arial" w:hAnsi="Arial"/>
          <w:sz w:val="15"/>
          <w:szCs w:val="15"/>
          <w:color w:val="006B63"/>
        </w:rPr>
        <w:t>T 617.600.7373</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77787B"/>
        </w:rPr>
        <w:t>minervaneurosciences.com | info@minervaneurosciences.com</w:t>
      </w:r>
    </w:p>
    <w:p>
      <w:pPr>
        <w:sectPr>
          <w:pgSz w:w="11900" w:h="16838" w:orient="portrait"/>
          <w:cols w:equalWidth="0" w:num="1">
            <w:col w:w="11420"/>
          </w:cols>
          <w:pgMar w:left="240" w:top="14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2019</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2019</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2019,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6, 2019</w:t>
      </w:r>
      <w:r>
        <w:rPr>
          <w:sz w:val="20"/>
          <w:szCs w:val="20"/>
          <w:color w:val="auto"/>
        </w:rPr>
        <w:tab/>
      </w:r>
      <w:r>
        <w:rPr>
          <w:rFonts w:ascii="Arial" w:cs="Arial" w:eastAsia="Arial" w:hAnsi="Arial"/>
          <w:sz w:val="16"/>
          <w:szCs w:val="16"/>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6, 2019</w:t>
      </w:r>
      <w:r>
        <w:rPr>
          <w:sz w:val="20"/>
          <w:szCs w:val="20"/>
          <w:color w:val="auto"/>
        </w:rPr>
        <w:tab/>
      </w:r>
      <w:r>
        <w:rPr>
          <w:rFonts w:ascii="Arial" w:cs="Arial" w:eastAsia="Arial" w:hAnsi="Arial"/>
          <w:sz w:val="16"/>
          <w:szCs w:val="16"/>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2"/>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6"/>
    </w:lvl>
    <w:lvl w:ilvl="1">
      <w:lvlJc w:val="left"/>
      <w:lvlText w:val="(%2)"/>
      <w:numFmt w:val="lowerLetter"/>
      <w:start w:val="1"/>
    </w:lvl>
  </w:abstractNum>
  <w:abstractNum w:abstractNumId="9">
    <w:nsid w:val="62BBD95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0">
    <w:nsid w:val="436C6125"/>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11">
    <w:nsid w:val="628C895D"/>
    <w:multiLevelType w:val="hybridMultilevel"/>
    <w:lvl w:ilvl="0">
      <w:lvlJc w:val="left"/>
      <w:lvlText w:val="(%1)"/>
      <w:numFmt w:val="lowerRoman"/>
      <w:start w:val="2"/>
    </w:lvl>
  </w:abstractNum>
  <w:abstractNum w:abstractNumId="12">
    <w:nsid w:val="333AB105"/>
    <w:multiLevelType w:val="hybridMultilevel"/>
    <w:lvl w:ilvl="0">
      <w:lvlJc w:val="left"/>
      <w:lvlText w:val="(%1)"/>
      <w:numFmt w:val="lowerLetter"/>
      <w:start w:val="6"/>
    </w:lvl>
  </w:abstractNum>
  <w:abstractNum w:abstractNumId="13">
    <w:nsid w:val="721DA317"/>
    <w:multiLevelType w:val="hybridMultilevel"/>
    <w:lvl w:ilvl="0">
      <w:lvlJc w:val="left"/>
      <w:lvlText w:val="%1"/>
      <w:numFmt w:val="decimal"/>
      <w:start w:val="1"/>
    </w:lvl>
    <w:lvl w:ilvl="1">
      <w:lvlJc w:val="left"/>
      <w:lvlText w:val="(%2)"/>
      <w:numFmt w:val="lowerLetter"/>
      <w:start w:val="8"/>
    </w:lvl>
  </w:abstractNum>
  <w:abstractNum w:abstractNumId="14">
    <w:nsid w:val="2443A858"/>
    <w:multiLevelType w:val="hybridMultilevel"/>
    <w:lvl w:ilvl="0">
      <w:lvlJc w:val="left"/>
      <w:lvlText w:val="(%1)"/>
      <w:numFmt w:val="decimal"/>
      <w:start w:val="5"/>
    </w:lvl>
    <w:lvl w:ilvl="1">
      <w:lvlJc w:val="left"/>
      <w:lvlText w:val="%2"/>
      <w:numFmt w:val="lowerLetter"/>
      <w:start w:val="1"/>
    </w:lvl>
  </w:abstractNum>
  <w:abstractNum w:abstractNumId="15">
    <w:nsid w:val="2D1D5AE9"/>
    <w:multiLevelType w:val="hybridMultilevel"/>
    <w:lvl w:ilvl="0">
      <w:lvlJc w:val="left"/>
      <w:lvlText w:val="%1."/>
      <w:numFmt w:val="decimal"/>
      <w:start w:val="9"/>
    </w:lvl>
    <w:lvl w:ilvl="1">
      <w:lvlJc w:val="left"/>
      <w:lvlText w:val="(%2)"/>
      <w:numFmt w:val="lowerLetter"/>
      <w:start w:val="1"/>
    </w:lvl>
  </w:abstractNum>
  <w:abstractNum w:abstractNumId="16">
    <w:nsid w:val="6763845E"/>
    <w:multiLevelType w:val="hybridMultilevel"/>
    <w:lvl w:ilvl="0">
      <w:lvlJc w:val="left"/>
      <w:lvlText w:val="(%1)"/>
      <w:numFmt w:val="lowerLetter"/>
      <w:start w:val="5"/>
    </w:lvl>
  </w:abstractNum>
  <w:abstractNum w:abstractNumId="17">
    <w:nsid w:val="75A2A8D4"/>
    <w:multiLevelType w:val="hybridMultilevel"/>
    <w:lvl w:ilvl="0">
      <w:lvlJc w:val="left"/>
      <w:lvlText w:val="%1"/>
      <w:numFmt w:val="decimal"/>
      <w:start w:val="1"/>
    </w:lvl>
    <w:lvl w:ilvl="1">
      <w:lvlJc w:val="left"/>
      <w:lvlText w:val="(%2)"/>
      <w:numFmt w:val="lowerRoman"/>
      <w:start w:val="1"/>
    </w:lvl>
  </w:abstractNum>
  <w:abstractNum w:abstractNumId="18">
    <w:nsid w:val="8EDBDAB"/>
    <w:multiLevelType w:val="hybridMultilevel"/>
    <w:lvl w:ilvl="0">
      <w:lvlJc w:val="left"/>
      <w:lvlText w:val="%1."/>
      <w:numFmt w:val="decimal"/>
      <w:start w:val="10"/>
    </w:lvl>
    <w:lvl w:ilvl="1">
      <w:lvlJc w:val="left"/>
      <w:lvlText w:val="%2"/>
      <w:numFmt w:val="lowerRoman"/>
      <w:start w:val="1"/>
    </w:lvl>
  </w:abstractNum>
  <w:abstractNum w:abstractNumId="19">
    <w:nsid w:val="79838CB2"/>
    <w:multiLevelType w:val="hybridMultilevel"/>
    <w:lvl w:ilvl="0">
      <w:lvlJc w:val="left"/>
      <w:lvlText w:val="%1."/>
      <w:numFmt w:val="decimal"/>
      <w:start w:val="14"/>
    </w:lvl>
  </w:abstractNum>
  <w:abstractNum w:abstractNumId="20">
    <w:nsid w:val="4353D0CD"/>
    <w:multiLevelType w:val="hybridMultilevel"/>
    <w:lvl w:ilvl="0">
      <w:lvlJc w:val="left"/>
      <w:lvlText w:val="%1."/>
      <w:numFmt w:val="decimal"/>
      <w:start w:val="20"/>
    </w:lvl>
  </w:abstractNum>
  <w:abstractNum w:abstractNumId="21">
    <w:nsid w:val="B03E0C6"/>
    <w:multiLevelType w:val="hybridMultilevel"/>
    <w:lvl w:ilvl="0">
      <w:lvlJc w:val="left"/>
      <w:lvlText w:val="%1."/>
      <w:numFmt w:val="decimal"/>
      <w:start w:val="21"/>
    </w:lvl>
  </w:abstractNum>
  <w:abstractNum w:abstractNumId="22">
    <w:nsid w:val="189A769B"/>
    <w:multiLevelType w:val="hybridMultilevel"/>
    <w:lvl w:ilvl="0">
      <w:lvlJc w:val="left"/>
      <w:lvlText w:val="%1"/>
      <w:numFmt w:val="decimal"/>
      <w:start w:val="1"/>
    </w:lvl>
    <w:lvl w:ilvl="1">
      <w:lvlJc w:val="left"/>
      <w:lvlText w:val="(%2)"/>
      <w:numFmt w:val="lowerLetter"/>
      <w:start w:val="2"/>
    </w:lvl>
  </w:abstractNum>
  <w:abstractNum w:abstractNumId="23">
    <w:nsid w:val="54E49EB4"/>
    <w:multiLevelType w:val="hybridMultilevel"/>
    <w:lvl w:ilvl="0">
      <w:lvlJc w:val="left"/>
      <w:lvlText w:val="%1."/>
      <w:numFmt w:val="decimal"/>
      <w:start w:val="22"/>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3"/>
    </w:lvl>
  </w:abstractNum>
  <w:abstractNum w:abstractNumId="25">
    <w:nsid w:val="2CA88611"/>
    <w:multiLevelType w:val="hybridMultilevel"/>
    <w:lvl w:ilvl="0">
      <w:lvlJc w:val="left"/>
      <w:lvlText w:val="%1."/>
      <w:numFmt w:val="decimal"/>
      <w:start w:val="25"/>
    </w:lvl>
    <w:lvl w:ilvl="1">
      <w:lvlJc w:val="left"/>
      <w:lvlText w:val="(%2)"/>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48" Type="http://schemas.openxmlformats.org/officeDocument/2006/relationships/hyperlink" Target="http://www.sec.gov/Archives/edgar/data/0001598646/000104746914005459/a2219972zex-3_1.htm" TargetMode="External"/><Relationship Id="rId49" Type="http://schemas.openxmlformats.org/officeDocument/2006/relationships/hyperlink" Target="http://www.sec.gov/Archives/edgar/data/0001598646/000104746914005459/a2219972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2019-12-28T12:51:01Z</dcterms:created>
  <dcterms:modified xsi:type="dcterms:W3CDTF">2019-12-28T12:51:01Z</dcterms:modified>
</cp:coreProperties>
</file>