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83185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6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2021</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64" w:lineRule="exact"/>
        <w:rPr>
          <w:sz w:val="24"/>
          <w:szCs w:val="24"/>
          <w:color w:val="auto"/>
        </w:rPr>
      </w:pPr>
    </w:p>
    <w:p>
      <w:pPr>
        <w:ind w:left="500" w:right="200" w:hanging="492"/>
        <w:spacing w:after="0" w:line="267" w:lineRule="auto"/>
        <w:tabs>
          <w:tab w:leader="none" w:pos="500" w:val="left"/>
        </w:tabs>
        <w:numPr>
          <w:ilvl w:val="0"/>
          <w:numId w:val="2"/>
        </w:numPr>
        <w:rPr>
          <w:rFonts w:ascii="MS PGothic" w:cs="MS PGothic" w:eastAsia="MS PGothic" w:hAnsi="MS PGothic"/>
          <w:sz w:val="18"/>
          <w:szCs w:val="18"/>
          <w:color w:val="auto"/>
        </w:rPr>
      </w:pPr>
      <w:r>
        <w:rPr>
          <w:rFonts w:ascii="Arial" w:cs="Arial" w:eastAsia="Arial" w:hAnsi="Arial"/>
          <w:sz w:val="20"/>
          <w:szCs w:val="20"/>
          <w:b w:val="1"/>
          <w:bCs w:val="1"/>
          <w:color w:val="auto"/>
        </w:rPr>
        <w:t>TRANSITION REPORT PURSUANT TO SECTION 13 OR 15(d) OF THE SECURITIES EXCHANGE ACT OF 1934 FOR THE TRANSITION PERIOD FROM 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71755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Minerva Neurosciences,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2" w:lineRule="exact"/>
        <w:rPr>
          <w:sz w:val="24"/>
          <w:szCs w:val="24"/>
          <w:color w:val="auto"/>
        </w:rPr>
      </w:pPr>
    </w:p>
    <w:tbl>
      <w:tblPr>
        <w:tblLayout w:type="fixed"/>
        <w:tblInd w:w="1580" w:type="dxa"/>
        <w:tblCellMar>
          <w:top w:w="0" w:type="dxa"/>
          <w:left w:w="0" w:type="dxa"/>
          <w:bottom w:w="0" w:type="dxa"/>
          <w:right w:w="0" w:type="dxa"/>
        </w:tblCellMar>
      </w:tblPr>
      <w:tr>
        <w:trPr>
          <w:trHeight w:val="212"/>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91"/>
              </w:rPr>
              <w:t>Delaware</w:t>
            </w:r>
          </w:p>
        </w:tc>
        <w:tc>
          <w:tcPr>
            <w:tcW w:w="3120" w:type="dxa"/>
            <w:vAlign w:val="bottom"/>
          </w:tcPr>
          <w:p>
            <w:pPr>
              <w:jc w:val="right"/>
              <w:ind w:right="61"/>
              <w:spacing w:after="0"/>
              <w:rPr>
                <w:sz w:val="20"/>
                <w:szCs w:val="20"/>
                <w:color w:val="auto"/>
              </w:rPr>
            </w:pPr>
            <w:r>
              <w:rPr>
                <w:rFonts w:ascii="Arial" w:cs="Arial" w:eastAsia="Arial" w:hAnsi="Arial"/>
                <w:sz w:val="18"/>
                <w:szCs w:val="18"/>
                <w:b w:val="1"/>
                <w:bCs w:val="1"/>
                <w:color w:val="auto"/>
              </w:rPr>
              <w:t>26-0784194</w:t>
            </w:r>
          </w:p>
        </w:tc>
      </w:tr>
      <w:tr>
        <w:trPr>
          <w:trHeight w:val="148"/>
        </w:trPr>
        <w:tc>
          <w:tcPr>
            <w:tcW w:w="4360" w:type="dxa"/>
            <w:vAlign w:val="bottom"/>
          </w:tcPr>
          <w:p>
            <w:pPr>
              <w:jc w:val="center"/>
              <w:ind w:right="19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60" w:type="dxa"/>
            <w:vAlign w:val="bottom"/>
          </w:tcPr>
          <w:p>
            <w:pPr>
              <w:jc w:val="center"/>
              <w:ind w:right="1919"/>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6"/>
              </w:rPr>
              <w:t>Identification No.)</w:t>
            </w:r>
          </w:p>
        </w:tc>
      </w:tr>
      <w:tr>
        <w:trPr>
          <w:trHeight w:val="250"/>
        </w:trPr>
        <w:tc>
          <w:tcPr>
            <w:tcW w:w="4360" w:type="dxa"/>
            <w:vAlign w:val="bottom"/>
          </w:tcPr>
          <w:p>
            <w:pPr>
              <w:jc w:val="center"/>
              <w:ind w:right="1919"/>
              <w:spacing w:after="0"/>
              <w:rPr>
                <w:sz w:val="20"/>
                <w:szCs w:val="20"/>
                <w:color w:val="auto"/>
              </w:rPr>
            </w:pPr>
            <w:r>
              <w:rPr>
                <w:rFonts w:ascii="Arial" w:cs="Arial" w:eastAsia="Arial" w:hAnsi="Arial"/>
                <w:sz w:val="18"/>
                <w:szCs w:val="18"/>
                <w:b w:val="1"/>
                <w:bCs w:val="1"/>
                <w:color w:val="auto"/>
                <w:w w:val="89"/>
              </w:rPr>
              <w:t>1601 Trapelo Road, Suite 286</w:t>
            </w:r>
          </w:p>
        </w:tc>
        <w:tc>
          <w:tcPr>
            <w:tcW w:w="3120" w:type="dxa"/>
            <w:vAlign w:val="bottom"/>
          </w:tcPr>
          <w:p>
            <w:pPr>
              <w:spacing w:after="0"/>
              <w:rPr>
                <w:sz w:val="21"/>
                <w:szCs w:val="21"/>
                <w:color w:val="auto"/>
              </w:rPr>
            </w:pPr>
          </w:p>
        </w:tc>
      </w:tr>
      <w:tr>
        <w:trPr>
          <w:trHeight w:val="212"/>
        </w:trPr>
        <w:tc>
          <w:tcPr>
            <w:tcW w:w="4360" w:type="dxa"/>
            <w:vAlign w:val="bottom"/>
          </w:tcPr>
          <w:p>
            <w:pPr>
              <w:jc w:val="center"/>
              <w:ind w:right="1899"/>
              <w:spacing w:after="0"/>
              <w:rPr>
                <w:sz w:val="20"/>
                <w:szCs w:val="20"/>
                <w:color w:val="auto"/>
              </w:rPr>
            </w:pPr>
            <w:r>
              <w:rPr>
                <w:rFonts w:ascii="Arial" w:cs="Arial" w:eastAsia="Arial" w:hAnsi="Arial"/>
                <w:sz w:val="18"/>
                <w:szCs w:val="18"/>
                <w:b w:val="1"/>
                <w:bCs w:val="1"/>
                <w:color w:val="auto"/>
                <w:w w:val="97"/>
              </w:rPr>
              <w:t>Waltham, MA</w:t>
            </w:r>
          </w:p>
        </w:tc>
        <w:tc>
          <w:tcPr>
            <w:tcW w:w="312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02451</w:t>
            </w:r>
          </w:p>
        </w:tc>
      </w:tr>
      <w:tr>
        <w:trPr>
          <w:trHeight w:val="186"/>
        </w:trPr>
        <w:tc>
          <w:tcPr>
            <w:tcW w:w="4360" w:type="dxa"/>
            <w:vAlign w:val="bottom"/>
          </w:tcPr>
          <w:p>
            <w:pPr>
              <w:jc w:val="center"/>
              <w:ind w:right="18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tcPr>
          <w:p>
            <w:pPr>
              <w:jc w:val="center"/>
              <w:ind w:left="1901"/>
              <w:spacing w:after="0"/>
              <w:rPr>
                <w:sz w:val="20"/>
                <w:szCs w:val="20"/>
                <w:color w:val="auto"/>
              </w:rPr>
            </w:pPr>
            <w:r>
              <w:rPr>
                <w:rFonts w:ascii="Arial" w:cs="Arial" w:eastAsia="Arial" w:hAnsi="Arial"/>
                <w:sz w:val="14"/>
                <w:szCs w:val="14"/>
                <w:b w:val="1"/>
                <w:bCs w:val="1"/>
                <w:color w:val="auto"/>
                <w:w w:val="95"/>
              </w:rPr>
              <w:t>(Zip Code)</w:t>
            </w:r>
          </w:p>
        </w:tc>
      </w:tr>
    </w:tbl>
    <w:p>
      <w:pPr>
        <w:spacing w:after="0" w:line="25"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Registrant’s telephone number, including area code: (617) 600-7373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80645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2"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6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20" w:type="dxa"/>
            <w:vAlign w:val="bottom"/>
            <w:tcBorders>
              <w:top w:val="single" w:sz="8" w:color="auto"/>
              <w:bottom w:val="single" w:sz="8" w:color="auto"/>
            </w:tcBorders>
          </w:tcPr>
          <w:p>
            <w:pPr>
              <w:spacing w:after="0"/>
              <w:rPr>
                <w:sz w:val="21"/>
                <w:szCs w:val="21"/>
                <w:color w:val="auto"/>
              </w:rPr>
            </w:pPr>
          </w:p>
        </w:tc>
        <w:tc>
          <w:tcPr>
            <w:tcW w:w="3880" w:type="dxa"/>
            <w:vAlign w:val="bottom"/>
            <w:tcBorders>
              <w:top w:val="single" w:sz="8" w:color="auto"/>
              <w:bottom w:val="single" w:sz="8" w:color="auto"/>
              <w:right w:val="single" w:sz="8" w:color="auto"/>
            </w:tcBorders>
            <w:gridSpan w:val="3"/>
          </w:tcPr>
          <w:p>
            <w:pPr>
              <w:jc w:val="center"/>
              <w:ind w:right="370"/>
              <w:spacing w:after="0"/>
              <w:rPr>
                <w:sz w:val="20"/>
                <w:szCs w:val="20"/>
                <w:color w:val="auto"/>
              </w:rPr>
            </w:pPr>
            <w:r>
              <w:rPr>
                <w:rFonts w:ascii="Arial" w:cs="Arial" w:eastAsia="Arial" w:hAnsi="Arial"/>
                <w:sz w:val="18"/>
                <w:szCs w:val="18"/>
                <w:color w:val="auto"/>
                <w:w w:val="89"/>
              </w:rPr>
              <w:t>Name of each exchange on which registered</w:t>
            </w:r>
          </w:p>
        </w:tc>
      </w:tr>
      <w:tr>
        <w:trPr>
          <w:trHeight w:val="223"/>
        </w:trPr>
        <w:tc>
          <w:tcPr>
            <w:tcW w:w="4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2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NERV</w:t>
            </w: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440" w:type="dxa"/>
            <w:vAlign w:val="bottom"/>
            <w:tcBorders>
              <w:bottom w:val="single" w:sz="8" w:color="auto"/>
              <w:right w:val="single" w:sz="8" w:color="auto"/>
            </w:tcBorders>
            <w:gridSpan w:val="2"/>
          </w:tcPr>
          <w:p>
            <w:pPr>
              <w:jc w:val="center"/>
              <w:ind w:right="810"/>
              <w:spacing w:after="0"/>
              <w:rPr>
                <w:sz w:val="20"/>
                <w:szCs w:val="20"/>
                <w:color w:val="auto"/>
              </w:rPr>
            </w:pPr>
            <w:r>
              <w:rPr>
                <w:rFonts w:ascii="Arial" w:cs="Arial" w:eastAsia="Arial" w:hAnsi="Arial"/>
                <w:sz w:val="18"/>
                <w:szCs w:val="18"/>
                <w:color w:val="auto"/>
                <w:w w:val="95"/>
              </w:rPr>
              <w:t>The NASDAQ Global Market</w:t>
            </w:r>
          </w:p>
        </w:tc>
      </w:tr>
      <w:tr>
        <w:trPr>
          <w:trHeight w:val="258"/>
        </w:trPr>
        <w:tc>
          <w:tcPr>
            <w:tcW w:w="4320" w:type="dxa"/>
            <w:vAlign w:val="bottom"/>
          </w:tcPr>
          <w:p>
            <w:pPr>
              <w:spacing w:after="0"/>
              <w:rPr>
                <w:sz w:val="20"/>
                <w:szCs w:val="20"/>
                <w:color w:val="auto"/>
              </w:rPr>
            </w:pPr>
            <w:r>
              <w:rPr>
                <w:rFonts w:ascii="Arial" w:cs="Arial" w:eastAsia="Arial" w:hAnsi="Arial"/>
                <w:sz w:val="16"/>
                <w:szCs w:val="16"/>
                <w:color w:val="auto"/>
                <w:w w:val="94"/>
              </w:rPr>
              <w:t xml:space="preserve">Securities registered pursuant to Section 12(g) of the Act: </w:t>
            </w:r>
            <w:r>
              <w:rPr>
                <w:rFonts w:ascii="Arial" w:cs="Arial" w:eastAsia="Arial" w:hAnsi="Arial"/>
                <w:sz w:val="16"/>
                <w:szCs w:val="16"/>
                <w:b w:val="1"/>
                <w:bCs w:val="1"/>
                <w:color w:val="auto"/>
                <w:w w:val="94"/>
              </w:rPr>
              <w:t>None</w:t>
            </w:r>
          </w:p>
        </w:tc>
        <w:tc>
          <w:tcPr>
            <w:tcW w:w="2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00" w:type="dxa"/>
            <w:vAlign w:val="bottom"/>
          </w:tcPr>
          <w:p>
            <w:pPr>
              <w:spacing w:after="0"/>
              <w:rPr>
                <w:sz w:val="22"/>
                <w:szCs w:val="22"/>
                <w:color w:val="auto"/>
              </w:rPr>
            </w:pPr>
          </w:p>
        </w:tc>
      </w:tr>
      <w:tr>
        <w:trPr>
          <w:trHeight w:val="288"/>
        </w:trPr>
        <w:tc>
          <w:tcPr>
            <w:tcW w:w="7800" w:type="dxa"/>
            <w:vAlign w:val="bottom"/>
            <w:gridSpan w:val="4"/>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340" w:type="dxa"/>
            <w:vAlign w:val="bottom"/>
          </w:tcPr>
          <w:p>
            <w:pPr>
              <w:ind w:left="20"/>
              <w:spacing w:after="0"/>
              <w:rPr>
                <w:sz w:val="20"/>
                <w:szCs w:val="20"/>
                <w:color w:val="auto"/>
              </w:rPr>
            </w:pPr>
            <w:r>
              <w:rPr>
                <w:rFonts w:ascii="Arial" w:cs="Arial" w:eastAsia="Arial" w:hAnsi="Arial"/>
                <w:sz w:val="16"/>
                <w:szCs w:val="16"/>
                <w:color w:val="auto"/>
                <w:w w:val="93"/>
              </w:rPr>
              <w:t>YES</w:t>
            </w:r>
          </w:p>
        </w:tc>
        <w:tc>
          <w:tcPr>
            <w:tcW w:w="3100" w:type="dxa"/>
            <w:vAlign w:val="bottom"/>
          </w:tcPr>
          <w:p>
            <w:pPr>
              <w:ind w:left="80"/>
              <w:spacing w:after="0" w:line="207"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8"/>
                <w:szCs w:val="18"/>
                <w:color w:val="auto"/>
              </w:rPr>
              <w:t xml:space="preserve"> NO </w:t>
            </w:r>
            <w:r>
              <w:rPr>
                <w:rFonts w:ascii="MS PGothic" w:cs="MS PGothic" w:eastAsia="MS PGothic" w:hAnsi="MS PGothic"/>
                <w:sz w:val="16"/>
                <w:szCs w:val="16"/>
                <w:color w:val="auto"/>
              </w:rPr>
              <w:t>☒</w:t>
            </w:r>
          </w:p>
        </w:tc>
      </w:tr>
      <w:tr>
        <w:trPr>
          <w:trHeight w:val="270"/>
        </w:trPr>
        <w:tc>
          <w:tcPr>
            <w:tcW w:w="7360" w:type="dxa"/>
            <w:vAlign w:val="bottom"/>
            <w:gridSpan w:val="3"/>
          </w:tcPr>
          <w:p>
            <w:pPr>
              <w:spacing w:after="0"/>
              <w:rPr>
                <w:sz w:val="20"/>
                <w:szCs w:val="20"/>
                <w:color w:val="auto"/>
              </w:rPr>
            </w:pPr>
            <w:r>
              <w:rPr>
                <w:rFonts w:ascii="Arial" w:cs="Arial" w:eastAsia="Arial" w:hAnsi="Arial"/>
                <w:sz w:val="16"/>
                <w:szCs w:val="16"/>
                <w:color w:val="auto"/>
                <w:w w:val="93"/>
              </w:rPr>
              <w:t>Indicate by check mark if the Registrant is not required to file reports pursuant to Section 13 or 15(d) of the Act.</w:t>
            </w:r>
          </w:p>
        </w:tc>
        <w:tc>
          <w:tcPr>
            <w:tcW w:w="440" w:type="dxa"/>
            <w:vAlign w:val="bottom"/>
          </w:tcPr>
          <w:p>
            <w:pPr>
              <w:ind w:left="80"/>
              <w:spacing w:after="0"/>
              <w:rPr>
                <w:sz w:val="20"/>
                <w:szCs w:val="20"/>
                <w:color w:val="auto"/>
              </w:rPr>
            </w:pPr>
            <w:r>
              <w:rPr>
                <w:rFonts w:ascii="Arial" w:cs="Arial" w:eastAsia="Arial" w:hAnsi="Arial"/>
                <w:sz w:val="16"/>
                <w:szCs w:val="16"/>
                <w:color w:val="auto"/>
              </w:rPr>
              <w:t>YES</w:t>
            </w:r>
          </w:p>
        </w:tc>
        <w:tc>
          <w:tcPr>
            <w:tcW w:w="340" w:type="dxa"/>
            <w:vAlign w:val="bottom"/>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100" w:type="dxa"/>
            <w:vAlign w:val="bottom"/>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6"/>
                <w:szCs w:val="16"/>
                <w:color w:val="auto"/>
              </w:rPr>
              <w:t>☒</w:t>
            </w:r>
          </w:p>
        </w:tc>
      </w:tr>
    </w:tbl>
    <w:p>
      <w:pPr>
        <w:spacing w:after="0" w:line="32" w:lineRule="exact"/>
        <w:rPr>
          <w:sz w:val="24"/>
          <w:szCs w:val="24"/>
          <w:color w:val="auto"/>
        </w:rPr>
      </w:pPr>
    </w:p>
    <w:p>
      <w:pPr>
        <w:jc w:val="both"/>
        <w:ind w:right="520"/>
        <w:spacing w:after="0" w:line="21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7"/>
          <w:szCs w:val="17"/>
          <w:color w:val="auto"/>
        </w:rPr>
        <w:t>YES</w:t>
      </w:r>
      <w:r>
        <w:rPr>
          <w:rFonts w:ascii="Arial" w:cs="Arial" w:eastAsia="Arial" w:hAnsi="Arial"/>
          <w:sz w:val="16"/>
          <w:szCs w:val="16"/>
          <w:color w:val="auto"/>
        </w:rPr>
        <w:t xml:space="preserve">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36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34" w:lineRule="exact"/>
        <w:rPr>
          <w:sz w:val="24"/>
          <w:szCs w:val="24"/>
          <w:color w:val="auto"/>
        </w:rPr>
      </w:pPr>
    </w:p>
    <w:p>
      <w:pPr>
        <w:jc w:val="both"/>
        <w:ind w:right="200"/>
        <w:spacing w:after="0" w:line="277"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Accelerated filer</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280"/>
              <w:spacing w:after="0"/>
              <w:rPr>
                <w:sz w:val="20"/>
                <w:szCs w:val="20"/>
                <w:color w:val="auto"/>
              </w:rPr>
            </w:pPr>
            <w:r>
              <w:rPr>
                <w:rFonts w:ascii="Arial" w:cs="Arial" w:eastAsia="Arial" w:hAnsi="Arial"/>
                <w:sz w:val="18"/>
                <w:szCs w:val="18"/>
                <w:color w:val="auto"/>
              </w:rPr>
              <w:t>Smaller reporting company</w:t>
            </w:r>
          </w:p>
        </w:tc>
        <w:tc>
          <w:tcPr>
            <w:tcW w:w="1680" w:type="dxa"/>
            <w:vAlign w:val="bottom"/>
          </w:tcPr>
          <w:p>
            <w:pPr>
              <w:ind w:left="1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35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98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pacing w:after="0" w:line="38" w:lineRule="exact"/>
        <w:rPr>
          <w:sz w:val="24"/>
          <w:szCs w:val="24"/>
          <w:color w:val="auto"/>
        </w:rPr>
      </w:pPr>
    </w:p>
    <w:p>
      <w:pPr>
        <w:ind w:right="58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3" w:lineRule="exact"/>
        <w:rPr>
          <w:sz w:val="24"/>
          <w:szCs w:val="24"/>
          <w:color w:val="auto"/>
        </w:rPr>
      </w:pPr>
    </w:p>
    <w:p>
      <w:pPr>
        <w:ind w:right="220"/>
        <w:spacing w:after="0" w:line="214"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0"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03" w:lineRule="exact"/>
        <w:rPr>
          <w:sz w:val="24"/>
          <w:szCs w:val="24"/>
          <w:color w:val="auto"/>
        </w:rPr>
      </w:pPr>
    </w:p>
    <w:p>
      <w:pPr>
        <w:ind w:right="180"/>
        <w:spacing w:after="0" w:line="293" w:lineRule="auto"/>
        <w:rPr>
          <w:sz w:val="20"/>
          <w:szCs w:val="20"/>
          <w:color w:val="auto"/>
        </w:rPr>
      </w:pPr>
      <w:r>
        <w:rPr>
          <w:rFonts w:ascii="Arial" w:cs="Arial" w:eastAsia="Arial" w:hAnsi="Arial"/>
          <w:sz w:val="16"/>
          <w:szCs w:val="16"/>
          <w:color w:val="auto"/>
        </w:rPr>
        <w:t>The aggregate value of the Company’s Common Stock held by non-affiliates of the Company was approximately $95.5 million as of June 30, 2021, when the last reported sales price was $2.32 per share.</w:t>
      </w:r>
    </w:p>
    <w:p>
      <w:pPr>
        <w:spacing w:after="0" w:line="10"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Registrant’s Common Stock outstanding as of February 24, 2022 was 42,721,566.</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6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Portions of the Registrant’s Definitive Proxy Statement relating to the 2021 Annual Meeting of Stockholders to be filed pursuant to Regulation 14A with the Securities and Exchange Commission are incorporated by reference into Part III of this Report. Such proxy statement will be filed with the Securities and Exchange Commission not later than 120 days following the end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720" w:type="dxa"/>
            <w:vAlign w:val="bottom"/>
            <w:gridSpan w:val="11"/>
          </w:tcPr>
          <w:p>
            <w:pPr>
              <w:jc w:val="center"/>
              <w:ind w:right="3440"/>
              <w:spacing w:after="0"/>
              <w:rPr>
                <w:sz w:val="20"/>
                <w:szCs w:val="20"/>
                <w:color w:val="auto"/>
              </w:rPr>
            </w:pPr>
            <w:r>
              <w:rPr>
                <w:rFonts w:ascii="Arial" w:cs="Arial" w:eastAsia="Arial" w:hAnsi="Arial"/>
                <w:sz w:val="18"/>
                <w:szCs w:val="18"/>
                <w:b w:val="1"/>
                <w:bCs w:val="1"/>
                <w:color w:val="auto"/>
              </w:rPr>
              <w:t>MINERVA NEUROSCIENCES, INC.</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9"/>
          </w:tcPr>
          <w:p>
            <w:pPr>
              <w:jc w:val="center"/>
              <w:ind w:right="3920"/>
              <w:spacing w:after="0"/>
              <w:rPr>
                <w:sz w:val="20"/>
                <w:szCs w:val="20"/>
                <w:color w:val="auto"/>
              </w:rPr>
            </w:pPr>
            <w:r>
              <w:rPr>
                <w:rFonts w:ascii="Arial" w:cs="Arial" w:eastAsia="Arial" w:hAnsi="Arial"/>
                <w:sz w:val="18"/>
                <w:szCs w:val="18"/>
                <w:b w:val="1"/>
                <w:bCs w:val="1"/>
                <w:color w:val="auto"/>
                <w:w w:val="98"/>
              </w:rPr>
              <w:t>TABLE OF CONTENTS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080" w:type="dxa"/>
            <w:vAlign w:val="bottom"/>
            <w:gridSpan w:val="6"/>
            <w:vMerge w:val="restart"/>
          </w:tcPr>
          <w:p>
            <w:pPr>
              <w:spacing w:after="0"/>
              <w:rPr>
                <w:sz w:val="20"/>
                <w:szCs w:val="20"/>
                <w:color w:val="auto"/>
              </w:rPr>
            </w:pPr>
            <w:r>
              <w:rPr>
                <w:rFonts w:ascii="Arial" w:cs="Arial" w:eastAsia="Arial" w:hAnsi="Arial"/>
                <w:sz w:val="18"/>
                <w:szCs w:val="18"/>
                <w:b w:val="1"/>
                <w:bCs w:val="1"/>
                <w:color w:val="0000EE"/>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80" w:type="dxa"/>
            <w:vAlign w:val="bottom"/>
            <w:gridSpan w:val="6"/>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4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20" w:type="dxa"/>
            <w:vAlign w:val="bottom"/>
            <w:tcBorders>
              <w:top w:val="single" w:sz="8" w:color="0000EE"/>
            </w:tcBorders>
          </w:tcPr>
          <w:p>
            <w:pPr>
              <w:spacing w:after="0" w:line="196" w:lineRule="exact"/>
              <w:rPr>
                <w:sz w:val="20"/>
                <w:szCs w:val="20"/>
                <w:color w:val="auto"/>
              </w:rPr>
            </w:pPr>
            <w:r>
              <w:rPr>
                <w:rFonts w:ascii="Arial" w:cs="Arial" w:eastAsia="Arial" w:hAnsi="Arial"/>
                <w:sz w:val="18"/>
                <w:szCs w:val="18"/>
                <w:color w:val="auto"/>
              </w:rPr>
              <w:t>Item 1.</w:t>
            </w:r>
          </w:p>
        </w:tc>
        <w:tc>
          <w:tcPr>
            <w:tcW w:w="460" w:type="dxa"/>
            <w:vAlign w:val="bottom"/>
            <w:gridSpan w:val="5"/>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3">
              <w:r>
                <w:rPr>
                  <w:rFonts w:ascii="Arial" w:cs="Arial" w:eastAsia="Arial" w:hAnsi="Arial"/>
                  <w:sz w:val="18"/>
                  <w:szCs w:val="18"/>
                  <w:color w:val="0000EE"/>
                  <w:w w:val="89"/>
                </w:rPr>
                <w:t>Risk Factors</w:t>
              </w:r>
            </w:hyperlink>
          </w:p>
        </w:tc>
        <w:tc>
          <w:tcPr>
            <w:tcW w:w="8660" w:type="dxa"/>
            <w:vAlign w:val="bottom"/>
            <w:gridSpan w:val="1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Unresolved Staff Comments</w:t>
              </w:r>
            </w:hyperlink>
          </w:p>
        </w:tc>
        <w:tc>
          <w:tcPr>
            <w:tcW w:w="7520" w:type="dxa"/>
            <w:vAlign w:val="bottom"/>
            <w:gridSpan w:val="1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Properties</w:t>
              </w:r>
            </w:hyperlink>
          </w:p>
        </w:tc>
        <w:tc>
          <w:tcPr>
            <w:tcW w:w="8840" w:type="dxa"/>
            <w:vAlign w:val="bottom"/>
            <w:gridSpan w:val="1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3.</w:t>
            </w:r>
          </w:p>
        </w:tc>
        <w:tc>
          <w:tcPr>
            <w:tcW w:w="95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b w:val="1"/>
                <w:bCs w:val="1"/>
                <w:color w:val="0000EE"/>
                <w:w w:val="98"/>
              </w:rPr>
              <w:t>PART II.</w:t>
            </w:r>
          </w:p>
        </w:tc>
        <w:tc>
          <w:tcPr>
            <w:tcW w:w="380" w:type="dxa"/>
            <w:vAlign w:val="bottom"/>
            <w:gridSpan w:val="4"/>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5.</w:t>
            </w:r>
          </w:p>
        </w:tc>
        <w:tc>
          <w:tcPr>
            <w:tcW w:w="9580" w:type="dxa"/>
            <w:vAlign w:val="bottom"/>
            <w:gridSpan w:val="21"/>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Market for Registrant’s Common Equity, Related Stockholder Matters and Issuer Purchases of Equity Securities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Selected Financial Data</w:t>
              </w:r>
            </w:hyperlink>
          </w:p>
        </w:tc>
        <w:tc>
          <w:tcPr>
            <w:tcW w:w="6360" w:type="dxa"/>
            <w:vAlign w:val="bottom"/>
            <w:tcBorders>
              <w:top w:val="single" w:sz="8" w:color="0000EE"/>
            </w:tcBorders>
            <w:gridSpan w:val="14"/>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7.</w:t>
            </w:r>
          </w:p>
        </w:tc>
        <w:tc>
          <w:tcPr>
            <w:tcW w:w="9580" w:type="dxa"/>
            <w:vAlign w:val="bottom"/>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Management’s Discussion and Analysis of Financial Condition and Results of Operations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7A.</w:t>
            </w:r>
          </w:p>
        </w:tc>
        <w:tc>
          <w:tcPr>
            <w:tcW w:w="43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1"/>
              </w:rPr>
            </w:pPr>
            <w:hyperlink w:anchor="page6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17"/>
                <w:szCs w:val="17"/>
                <w:color w:val="auto"/>
              </w:rPr>
            </w:pPr>
          </w:p>
        </w:tc>
        <w:tc>
          <w:tcPr>
            <w:tcW w:w="3120" w:type="dxa"/>
            <w:vAlign w:val="bottom"/>
            <w:gridSpan w:val="4"/>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Financial Statements and Supplementary Data</w:t>
              </w:r>
            </w:hyperlink>
          </w:p>
        </w:tc>
        <w:tc>
          <w:tcPr>
            <w:tcW w:w="6240" w:type="dxa"/>
            <w:vAlign w:val="bottom"/>
            <w:gridSpan w:val="9"/>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w:t>
            </w:r>
          </w:p>
        </w:tc>
        <w:tc>
          <w:tcPr>
            <w:tcW w:w="95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Changes in and Disagreements with Accountants on Accounting and Financial Disclosure</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89">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1"/>
          </w:tcPr>
          <w:p>
            <w:pPr>
              <w:spacing w:after="0"/>
              <w:rPr>
                <w:sz w:val="17"/>
                <w:szCs w:val="17"/>
                <w:color w:val="auto"/>
              </w:rPr>
            </w:pPr>
          </w:p>
        </w:tc>
        <w:tc>
          <w:tcPr>
            <w:tcW w:w="3100" w:type="dxa"/>
            <w:vAlign w:val="bottom"/>
            <w:gridSpan w:val="3"/>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Other Information</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9C.</w:t>
            </w:r>
          </w:p>
        </w:tc>
        <w:tc>
          <w:tcPr>
            <w:tcW w:w="9580" w:type="dxa"/>
            <w:vAlign w:val="bottom"/>
            <w:gridSpan w:val="21"/>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Disclosure Regarding Foreign Jurisdictions that Prevent Inspections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b w:val="1"/>
                <w:bCs w:val="1"/>
                <w:color w:val="0000EE"/>
              </w:rPr>
              <w:t>PART III.</w:t>
            </w: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auto"/>
              </w:rPr>
              <w:t>Item 10.</w:t>
            </w:r>
          </w:p>
        </w:tc>
        <w:tc>
          <w:tcPr>
            <w:tcW w:w="320" w:type="dxa"/>
            <w:vAlign w:val="bottom"/>
            <w:gridSpan w:val="2"/>
          </w:tcPr>
          <w:p>
            <w:pPr>
              <w:spacing w:after="0"/>
              <w:rPr>
                <w:sz w:val="17"/>
                <w:szCs w:val="17"/>
                <w:color w:val="auto"/>
              </w:rPr>
            </w:pPr>
          </w:p>
        </w:tc>
        <w:tc>
          <w:tcPr>
            <w:tcW w:w="9580" w:type="dxa"/>
            <w:vAlign w:val="bottom"/>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Directors, Executive Officers and Corporate Governance</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480" w:type="dxa"/>
            <w:vAlign w:val="bottom"/>
            <w:gridSpan w:val="8"/>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13.</w:t>
            </w:r>
          </w:p>
        </w:tc>
        <w:tc>
          <w:tcPr>
            <w:tcW w:w="9580" w:type="dxa"/>
            <w:vAlign w:val="bottom"/>
            <w:gridSpan w:val="21"/>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Certain Relationships and Related Person Transactions and Director Independence</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14.</w:t>
            </w:r>
          </w:p>
        </w:tc>
        <w:tc>
          <w:tcPr>
            <w:tcW w:w="59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Principal Accountant Fees and Services</w:t>
              </w:r>
            </w:hyperlink>
          </w:p>
        </w:tc>
        <w:tc>
          <w:tcPr>
            <w:tcW w:w="3640" w:type="dxa"/>
            <w:vAlign w:val="bottom"/>
            <w:gridSpan w:val="5"/>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74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b w:val="1"/>
                <w:bCs w:val="1"/>
                <w:color w:val="0000EE"/>
                <w:w w:val="94"/>
              </w:rPr>
              <w:t>PART IV.</w:t>
            </w:r>
          </w:p>
        </w:tc>
        <w:tc>
          <w:tcPr>
            <w:tcW w:w="340" w:type="dxa"/>
            <w:vAlign w:val="bottom"/>
            <w:gridSpan w:val="3"/>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15.</w:t>
            </w:r>
          </w:p>
        </w:tc>
        <w:tc>
          <w:tcPr>
            <w:tcW w:w="9580" w:type="dxa"/>
            <w:vAlign w:val="bottom"/>
            <w:gridSpan w:val="21"/>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Exhibits and Financial Statement Schedules</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3"/>
              </w:rPr>
              <w:t>Exhibit Index</w:t>
            </w:r>
          </w:p>
        </w:tc>
        <w:tc>
          <w:tcPr>
            <w:tcW w:w="10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1080" w:type="dxa"/>
            <w:vAlign w:val="bottom"/>
            <w:gridSpan w:val="6"/>
          </w:tcPr>
          <w:p>
            <w:pPr>
              <w:spacing w:after="0" w:line="196" w:lineRule="exact"/>
              <w:rPr>
                <w:sz w:val="20"/>
                <w:szCs w:val="20"/>
                <w:color w:val="auto"/>
              </w:rPr>
            </w:pPr>
            <w:r>
              <w:rPr>
                <w:rFonts w:ascii="Arial" w:cs="Arial" w:eastAsia="Arial" w:hAnsi="Arial"/>
                <w:sz w:val="18"/>
                <w:szCs w:val="18"/>
                <w:color w:val="auto"/>
              </w:rPr>
              <w:t>Item 16.</w:t>
            </w:r>
          </w:p>
        </w:tc>
        <w:tc>
          <w:tcPr>
            <w:tcW w:w="9580" w:type="dxa"/>
            <w:vAlign w:val="bottom"/>
            <w:gridSpan w:val="21"/>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Form 10-K Summary</w:t>
              </w:r>
            </w:hyperlink>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5"/>
              </w:rPr>
              <w:t>Signatures</w:t>
            </w:r>
          </w:p>
        </w:tc>
        <w:tc>
          <w:tcPr>
            <w:tcW w:w="320" w:type="dxa"/>
            <w:vAlign w:val="bottom"/>
            <w:gridSpan w:val="2"/>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All trademarks, trade names, service marks, and copyrights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ind w:right="80"/>
        <w:spacing w:after="0" w:line="283" w:lineRule="auto"/>
        <w:rPr>
          <w:sz w:val="20"/>
          <w:szCs w:val="20"/>
          <w:color w:val="auto"/>
        </w:rPr>
      </w:pPr>
      <w:r>
        <w:rPr>
          <w:rFonts w:ascii="Arial" w:cs="Arial" w:eastAsia="Arial" w:hAnsi="Arial"/>
          <w:sz w:val="16"/>
          <w:szCs w:val="16"/>
          <w:i w:val="1"/>
          <w:iCs w:val="1"/>
          <w:color w:val="auto"/>
        </w:rPr>
        <w:t>This Annual Report on Form 10-K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Annual Report 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Form 10-K under Part I, Item IA, “Risk Factors.</w:t>
      </w:r>
      <w:r>
        <w:rPr>
          <w:rFonts w:ascii="Arial" w:cs="Arial" w:eastAsia="Arial" w:hAnsi="Arial"/>
          <w:sz w:val="21"/>
          <w:szCs w:val="21"/>
          <w:i w:val="1"/>
          <w:iCs w:val="1"/>
          <w:color w:val="auto"/>
        </w:rPr>
        <w:t>”</w:t>
      </w:r>
    </w:p>
    <w:p>
      <w:pPr>
        <w:spacing w:after="0" w:line="20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Risks Associated with Our Business</w:t>
      </w:r>
    </w:p>
    <w:p>
      <w:pPr>
        <w:spacing w:after="0" w:line="22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summary of risks below provides an overview of the principal risks that we are exposed to in the normal course of our business activities. The below summary of risks is not exhaustive, and such summary should be considered in addition to the other risks described elsewhere in this report:</w:t>
      </w:r>
    </w:p>
    <w:p>
      <w:pPr>
        <w:spacing w:after="0" w:line="16" w:lineRule="exact"/>
        <w:rPr>
          <w:sz w:val="20"/>
          <w:szCs w:val="20"/>
          <w:color w:val="auto"/>
        </w:rPr>
      </w:pPr>
    </w:p>
    <w:p>
      <w:pPr>
        <w:ind w:left="1000" w:right="1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We expect to continue to incur losses over the next several years and we will require additional capital to finance our operations;</w:t>
      </w:r>
    </w:p>
    <w:p>
      <w:pPr>
        <w:spacing w:after="0" w:line="62"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risks and uncertainties as a result of the ongoing COVID-19 pandemic, and could be subject to risks from further health pandemics or epidemics, as well as uncertainty regarding returning to work and re-openings;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estimates regarding fair value of intangible assets may result in an adverse impact on our results of operations;</w:t>
      </w:r>
    </w:p>
    <w:p>
      <w:pPr>
        <w:spacing w:after="0" w:line="117"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cannot give any assurance that any of our product candidates will receive regulatory approval in a timely manner or at all. The results of clinical trials conducted at sites outside the U.S. may not be accepted by the FDA and the results of clinical trials conducted at sites in the U.S. may not be accepted by international regulatory authorities;</w:t>
      </w:r>
    </w:p>
    <w:p>
      <w:pPr>
        <w:spacing w:after="0" w:line="75" w:lineRule="exact"/>
        <w:rPr>
          <w:rFonts w:ascii="Arial" w:cs="Arial" w:eastAsia="Arial" w:hAnsi="Arial"/>
          <w:sz w:val="18"/>
          <w:szCs w:val="18"/>
          <w:color w:val="auto"/>
        </w:rPr>
      </w:pPr>
    </w:p>
    <w:p>
      <w:pPr>
        <w:ind w:left="1000" w:right="8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experience delays in clinical testing, we will be delayed in commercializing our product candidates, our costs may increase, and our business may be harmed. If we are unable to enroll subjects in clinical trials, we will be unable to complete these trials on a timely basis or at all. Our clinical trials may fail to demonstrate adequately the safety and efficacy of our product candidates, which could prevent or delay regulatory approval and commercialization, and also increase costs;</w:t>
      </w:r>
    </w:p>
    <w:p>
      <w:pPr>
        <w:spacing w:after="0" w:line="78"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2" w:lineRule="exact"/>
        <w:rPr>
          <w:rFonts w:ascii="Arial" w:cs="Arial" w:eastAsia="Arial" w:hAnsi="Arial"/>
          <w:sz w:val="18"/>
          <w:szCs w:val="18"/>
          <w:color w:val="auto"/>
        </w:rPr>
      </w:pPr>
    </w:p>
    <w:p>
      <w:pPr>
        <w:ind w:left="1000" w:right="80" w:hanging="493"/>
        <w:spacing w:after="0" w:line="286"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Even if we complete the necessary clinical trials, we cannot predict when or if we will obtain marketing approval to commercialize a product candidate or the approval may be for a narrower indication than we expect. We have no experience in advancing product candidates beyond Phase 3, which makes it difficult to assess our ability to develop and commercialize our product candidates;</w:t>
      </w:r>
    </w:p>
    <w:p>
      <w:pPr>
        <w:spacing w:after="0" w:line="57" w:lineRule="exact"/>
        <w:rPr>
          <w:rFonts w:ascii="Arial" w:cs="Arial" w:eastAsia="Arial" w:hAnsi="Arial"/>
          <w:sz w:val="17"/>
          <w:szCs w:val="17"/>
          <w:color w:val="auto"/>
        </w:rPr>
      </w:pPr>
    </w:p>
    <w:p>
      <w:pPr>
        <w:ind w:left="1000" w:right="20" w:hanging="493"/>
        <w:spacing w:after="0" w:line="259"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78"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regulatory pathway for our product candidate, MIN-301, has not yet been determined. Depending on the pathway, we may be subject to different regulatory requirements;</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opportunities for any product that we or our collaborators develop are smaller than we believe, our revenue may be adversely affected and our business may suffer;</w:t>
      </w:r>
    </w:p>
    <w:p>
      <w:pPr>
        <w:spacing w:after="0" w:line="62"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 w:name="page4"/>
    <w:bookmarkEnd w:id="3"/>
    <w:p>
      <w:pPr>
        <w:ind w:left="500" w:right="36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Recently enacted and future legislation may increase the difficulty and cost for us to commercialize our product candidates and affect the prices we may obtain;</w:t>
      </w:r>
    </w:p>
    <w:p>
      <w:pPr>
        <w:spacing w:after="0" w:line="62" w:lineRule="exact"/>
        <w:rPr>
          <w:rFonts w:ascii="Arial" w:cs="Arial" w:eastAsia="Arial" w:hAnsi="Arial"/>
          <w:sz w:val="18"/>
          <w:szCs w:val="18"/>
          <w:color w:val="auto"/>
        </w:rPr>
      </w:pPr>
    </w:p>
    <w:p>
      <w:pPr>
        <w:ind w:left="500" w:right="120" w:hanging="493"/>
        <w:spacing w:after="0" w:line="25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and operations would suffer in the event of system failures. 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 Our disclosure controls and procedures may not prevent or detect all errors or acts of fraud;</w:t>
      </w:r>
    </w:p>
    <w:p>
      <w:pPr>
        <w:spacing w:after="0" w:line="78" w:lineRule="exact"/>
        <w:rPr>
          <w:rFonts w:ascii="Arial" w:cs="Arial" w:eastAsia="Arial" w:hAnsi="Arial"/>
          <w:sz w:val="18"/>
          <w:szCs w:val="18"/>
          <w:color w:val="auto"/>
        </w:rPr>
      </w:pPr>
    </w:p>
    <w:p>
      <w:pPr>
        <w:ind w:left="500" w:right="540" w:hanging="493"/>
        <w:spacing w:after="0" w:line="308"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currently rely and continue to expect to rely on third parties to conduct our future clinical trials. The failure of these third parties to successfully carry out their contractual duties or meet expected deadlines could substantially harm our business;</w:t>
      </w:r>
    </w:p>
    <w:p>
      <w:pPr>
        <w:spacing w:after="0" w:line="38" w:lineRule="exact"/>
        <w:rPr>
          <w:rFonts w:ascii="Arial" w:cs="Arial" w:eastAsia="Arial" w:hAnsi="Arial"/>
          <w:sz w:val="17"/>
          <w:szCs w:val="17"/>
          <w:color w:val="auto"/>
        </w:rPr>
      </w:pPr>
    </w:p>
    <w:p>
      <w:pPr>
        <w:ind w:left="500" w:hanging="493"/>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w:t>
      </w:r>
    </w:p>
    <w:p>
      <w:pPr>
        <w:spacing w:after="0" w:line="75" w:lineRule="exact"/>
        <w:rPr>
          <w:rFonts w:ascii="Arial" w:cs="Arial" w:eastAsia="Arial" w:hAnsi="Arial"/>
          <w:sz w:val="18"/>
          <w:szCs w:val="18"/>
          <w:color w:val="auto"/>
        </w:rPr>
      </w:pPr>
    </w:p>
    <w:p>
      <w:pPr>
        <w:ind w:left="500" w:right="4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collaborations with certain of our licensing partners, and could be seriously harmed if our license agreements are terminated or breached;</w:t>
      </w:r>
    </w:p>
    <w:p>
      <w:pPr>
        <w:spacing w:after="0" w:line="62" w:lineRule="exact"/>
        <w:rPr>
          <w:rFonts w:ascii="Arial" w:cs="Arial" w:eastAsia="Arial" w:hAnsi="Arial"/>
          <w:sz w:val="18"/>
          <w:szCs w:val="18"/>
          <w:color w:val="auto"/>
        </w:rPr>
      </w:pPr>
    </w:p>
    <w:p>
      <w:pPr>
        <w:ind w:left="500" w:right="100" w:hanging="493"/>
        <w:spacing w:after="0" w:line="263"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potential future milestone payments to the Company depend on the development and commercialization of seltorexant, and we may be obligated to make related payments to certain of our contractual partners even if certain of our other contractual partners breach their obligations to pay us;</w:t>
      </w:r>
    </w:p>
    <w:p>
      <w:pPr>
        <w:spacing w:after="0" w:line="75" w:lineRule="exact"/>
        <w:rPr>
          <w:rFonts w:ascii="Arial" w:cs="Arial" w:eastAsia="Arial" w:hAnsi="Arial"/>
          <w:sz w:val="18"/>
          <w:szCs w:val="18"/>
          <w:color w:val="auto"/>
        </w:rPr>
      </w:pPr>
    </w:p>
    <w:p>
      <w:pPr>
        <w:ind w:left="500" w:right="24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successful in establishing new collaborations, which could adversely affect our ability to develop future product candidates and commercialize future products;</w:t>
      </w:r>
    </w:p>
    <w:p>
      <w:pPr>
        <w:spacing w:after="0" w:line="62"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62" w:lineRule="exact"/>
        <w:rPr>
          <w:rFonts w:ascii="Arial" w:cs="Arial" w:eastAsia="Arial" w:hAnsi="Arial"/>
          <w:sz w:val="18"/>
          <w:szCs w:val="18"/>
          <w:color w:val="auto"/>
        </w:rPr>
      </w:pPr>
    </w:p>
    <w:p>
      <w:pPr>
        <w:ind w:left="500" w:right="20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62" w:lineRule="exact"/>
        <w:rPr>
          <w:rFonts w:ascii="Arial" w:cs="Arial" w:eastAsia="Arial" w:hAnsi="Arial"/>
          <w:sz w:val="18"/>
          <w:szCs w:val="18"/>
          <w:color w:val="auto"/>
        </w:rPr>
      </w:pPr>
    </w:p>
    <w:p>
      <w:pPr>
        <w:ind w:left="500" w:right="74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become involved in lawsuits to protect or enforce our patents or other intellectual property, which could be expensive, time consuming and unsuccessful;</w:t>
      </w:r>
    </w:p>
    <w:p>
      <w:pPr>
        <w:spacing w:after="0" w:line="62" w:lineRule="exact"/>
        <w:rPr>
          <w:rFonts w:ascii="Arial" w:cs="Arial" w:eastAsia="Arial" w:hAnsi="Arial"/>
          <w:sz w:val="18"/>
          <w:szCs w:val="18"/>
          <w:color w:val="auto"/>
        </w:rPr>
      </w:pPr>
    </w:p>
    <w:p>
      <w:pPr>
        <w:ind w:left="500" w:right="30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cannot predict what the market price of our common stock will be and, as a result, it may be difficult for you to sell your shares of our common stock;</w:t>
      </w:r>
    </w:p>
    <w:p>
      <w:pPr>
        <w:spacing w:after="0" w:line="62" w:lineRule="exact"/>
        <w:rPr>
          <w:rFonts w:ascii="Arial" w:cs="Arial" w:eastAsia="Arial" w:hAnsi="Arial"/>
          <w:sz w:val="18"/>
          <w:szCs w:val="18"/>
          <w:color w:val="auto"/>
        </w:rPr>
      </w:pPr>
    </w:p>
    <w:p>
      <w:pPr>
        <w:ind w:left="500" w:right="52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control over matters subject to stockholder approval;</w:t>
      </w:r>
    </w:p>
    <w:p>
      <w:pPr>
        <w:spacing w:after="0" w:line="62" w:lineRule="exact"/>
        <w:rPr>
          <w:rFonts w:ascii="Arial" w:cs="Arial" w:eastAsia="Arial" w:hAnsi="Arial"/>
          <w:sz w:val="18"/>
          <w:szCs w:val="18"/>
          <w:color w:val="auto"/>
        </w:rPr>
      </w:pPr>
    </w:p>
    <w:p>
      <w:pPr>
        <w:ind w:left="500" w:right="100" w:hanging="493"/>
        <w:spacing w:after="0" w:line="277"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a substantial number of shares of our common stock by our existing stockholders in the public market could cause our stock price to fall;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Securities litigation could result in substantial damages and may divert management’s time and attention from our business;</w:t>
      </w:r>
    </w:p>
    <w:p>
      <w:pPr>
        <w:spacing w:after="0" w:line="117" w:lineRule="exact"/>
        <w:rPr>
          <w:rFonts w:ascii="Arial" w:cs="Arial" w:eastAsia="Arial" w:hAnsi="Arial"/>
          <w:sz w:val="18"/>
          <w:szCs w:val="18"/>
          <w:color w:val="auto"/>
        </w:rPr>
      </w:pPr>
    </w:p>
    <w:p>
      <w:pPr>
        <w:ind w:left="500" w:right="360" w:hanging="493"/>
        <w:spacing w:after="0" w:line="274" w:lineRule="auto"/>
        <w:tabs>
          <w:tab w:leader="none" w:pos="50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never paid dividends on our capital stock, and because we do not anticipate paying any cash dividends in the foreseeable future, capital appreciation, if any, of our common stock will be your sole source of gain on an investment in our common stock; and</w:t>
      </w:r>
    </w:p>
    <w:p>
      <w:pPr>
        <w:ind w:left="500" w:hanging="49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common stock may be delisted from The Nasdaq Stock Market if we fail to comply with continued listing standards.</w:t>
      </w:r>
    </w:p>
    <w:p>
      <w:pPr>
        <w:spacing w:after="0" w:line="211"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6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believe our product candidates have significant potential to improve the lives of a large number of affected patients and their families who are currently not well-served by available therapies. According to Datamonitor, an independent market research firm, in 2021 approximately 2.9 million people suffered from schizophrenia and 2.2 million suffered from Parkinson’s disease in the United States (“U.S.”), Japan, the United Kingdom, and the four major European Union (“EU”) markets of France, Germany, Italy, and Spain. There is no approved treatment to address negative symptoms in patients with schizophrenia in the U.S., which is a significant driver of the cost burden of that disease. An estimated 69% of treated patients with schizophrenia have predominant/persistent negative symptoms. Negative symptoms also exist in other CNS diseases beyond schizophrenia, the existing treatments for which we believe are poorly addressed in a broad range of indications such as Alzheimer’s disease, Parkinson’s disease and depression.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strategy is to develop and commercialize first-in-class products that address critical unmet medical needs in the CNS therapeutic area. We are pursuing this strategy based on the following principles: selection of differentiated products with novel mechanisms of action that target therapeutic areas of high unmet need and significant disease burden; attention to patient safety and compliance; scientific rigor applied to patient selection and clinical trial conduct; engagement of highly trained clinical trial investigators; incorporation of patient and caregiver insights to drive clinical advancements; and integrity. With the experience and knowledge base of our clinicians and physicians, we have generated substantive data from randomized, double blind, placebo-controlled trials that support the clinical advancement of these products in defined patient populations and in multiple regulatory jurisdictions. In summary, key elements of our strategy are to:</w:t>
      </w:r>
    </w:p>
    <w:p>
      <w:pPr>
        <w:spacing w:after="0" w:line="87" w:lineRule="exact"/>
        <w:rPr>
          <w:sz w:val="20"/>
          <w:szCs w:val="20"/>
          <w:color w:val="auto"/>
        </w:rPr>
      </w:pPr>
    </w:p>
    <w:p>
      <w:pPr>
        <w:ind w:left="1000" w:right="140" w:hanging="493"/>
        <w:spacing w:after="0" w:line="258"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Identify, acquire and develop differentiated products with innovative mechanisms of action based on biological and clinical insights into the unmet needs of patients;</w:t>
      </w:r>
    </w:p>
    <w:p>
      <w:pPr>
        <w:spacing w:after="0" w:line="1" w:lineRule="exact"/>
        <w:rPr>
          <w:rFonts w:ascii="Arial" w:cs="Arial" w:eastAsia="Arial" w:hAnsi="Arial"/>
          <w:sz w:val="18"/>
          <w:szCs w:val="18"/>
          <w:color w:val="auto"/>
        </w:rPr>
      </w:pPr>
    </w:p>
    <w:p>
      <w:pPr>
        <w:ind w:left="1000" w:right="6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Leverage the randomized, double-blind, placebo-controlled data from completed trials to advance the clinical development of our product candidates in multiple regulatory jurisdictions;</w:t>
      </w:r>
    </w:p>
    <w:p>
      <w:pPr>
        <w:ind w:left="1000" w:right="60" w:hanging="493"/>
        <w:spacing w:after="0" w:line="250" w:lineRule="auto"/>
        <w:tabs>
          <w:tab w:leader="none" w:pos="10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Prepare for the commercialization of our lead product, roluperidone, which will potentially be the first product approved to treat negative symptoms in patients with schizophrenia in the U.S. and, in the longer term as a potential treatment for other brain disorders in which negative symptoms represent a significant debilitating, unmet need;</w:t>
      </w:r>
    </w:p>
    <w:p>
      <w:pPr>
        <w:spacing w:after="0" w:line="1" w:lineRule="exact"/>
        <w:rPr>
          <w:rFonts w:ascii="Arial" w:cs="Arial" w:eastAsia="Arial" w:hAnsi="Arial"/>
          <w:sz w:val="18"/>
          <w:szCs w:val="18"/>
          <w:color w:val="auto"/>
        </w:rPr>
      </w:pPr>
    </w:p>
    <w:p>
      <w:pPr>
        <w:ind w:left="1000" w:right="220" w:hanging="493"/>
        <w:spacing w:after="0" w:line="300" w:lineRule="auto"/>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Selectively explore collaborations with leading pharmaceutical companies to maximize the value of our current product candidate portfolio, particularly in connection with pivotal clinical trials and subsequent regulatory review, approval and commercialization; and</w:t>
      </w:r>
    </w:p>
    <w:p>
      <w:pPr>
        <w:ind w:left="1000" w:right="540" w:hanging="493"/>
        <w:spacing w:after="0" w:line="290" w:lineRule="auto"/>
        <w:tabs>
          <w:tab w:leader="none" w:pos="100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Apply our management team’s expertise and current intellectual property portfolio to identify and explore additional indications to investigate with our current portfolio of compounds and to acquire additional product candidates.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Minerva Neurosciences, Inc. was formed in November 2013 from the merger of Cyrenaic Pharmaceuticals, Inc. and Sonkei Pharmaceuticals, Inc. These two predecessor companies had exclusively licensed roluperidone and another compound from Mitsubishi Tanabe Pharma Corporation (“MTPC”). In February 2014 we acquired Mind-NRG Sarl (“Mind-NRG”), which owns exclusive rights to develop and commercialize MIN-301 globally. In addition, in February 2014 we entered into a co-development and license agreement with Janssen, one of the Janssen Pharmaceutical Companies of Johnson &amp; Johnson, in connection with the co-development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 w:name="page6"/>
    <w:bookmarkEnd w:id="5"/>
    <w:p>
      <w:pPr>
        <w:jc w:val="both"/>
        <w:ind w:right="20"/>
        <w:spacing w:after="0" w:line="263" w:lineRule="auto"/>
        <w:rPr>
          <w:sz w:val="20"/>
          <w:szCs w:val="20"/>
          <w:color w:val="auto"/>
        </w:rPr>
      </w:pPr>
      <w:r>
        <w:rPr>
          <w:rFonts w:ascii="Arial" w:cs="Arial" w:eastAsia="Arial" w:hAnsi="Arial"/>
          <w:sz w:val="18"/>
          <w:szCs w:val="18"/>
          <w:color w:val="auto"/>
        </w:rPr>
        <w:t>and commercialization of seltorexant. During 2020, we exercised our right to opt out of the agreement with Janssen. As a result, we were entitled to collect royalties in the mid-single digits on potential future sales of seltorexant worldwide in certain indications, with no further financial obligations to Janssen. In January 2021, we sold our rights to these potential royalties to Royalty Pharma.</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since inception. We expect to incur net losses and negative cash flow from operating activities for the foreseeable future in connection with the clinical development and the potential regulatory approval, infrastructure development and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Clinical-Stage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Roluperidone (MIN-101)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225" w:lineRule="exact"/>
        <w:rPr>
          <w:sz w:val="20"/>
          <w:szCs w:val="20"/>
          <w:color w:val="auto"/>
        </w:rPr>
      </w:pPr>
    </w:p>
    <w:p>
      <w:pPr>
        <w:ind w:right="40"/>
        <w:spacing w:after="0" w:line="218" w:lineRule="exact"/>
        <w:rPr>
          <w:sz w:val="20"/>
          <w:szCs w:val="20"/>
          <w:color w:val="auto"/>
        </w:rPr>
      </w:pPr>
      <w:r>
        <w:rPr>
          <w:rFonts w:ascii="Arial" w:cs="Arial" w:eastAsia="Arial" w:hAnsi="Arial"/>
          <w:sz w:val="17"/>
          <w:szCs w:val="17"/>
          <w:color w:val="auto"/>
        </w:rPr>
        <w:t>Roluperidone is a compound that has been shown to block serotonin, sigma, and α</w:t>
      </w:r>
      <w:r>
        <w:rPr>
          <w:rFonts w:ascii="MS PGothic" w:cs="MS PGothic" w:eastAsia="MS PGothic" w:hAnsi="MS PGothic"/>
          <w:sz w:val="17"/>
          <w:szCs w:val="17"/>
          <w:color w:val="auto"/>
        </w:rPr>
        <w:t>‑</w:t>
      </w:r>
      <w:r>
        <w:rPr>
          <w:rFonts w:ascii="Arial" w:cs="Arial" w:eastAsia="Arial" w:hAnsi="Arial"/>
          <w:sz w:val="17"/>
          <w:szCs w:val="17"/>
          <w:color w:val="auto"/>
        </w:rPr>
        <w:t>adrenergic receptors that are involved in the regulation of mood, cognition, sleep and anxiety. We are developing roluperidone to treat patients with schizophrenia. Roluperidone has been designed to block a specific subtype of serotonin receptor called 5-HT</w:t>
      </w:r>
      <w:r>
        <w:rPr>
          <w:rFonts w:ascii="Arial" w:cs="Arial" w:eastAsia="Arial" w:hAnsi="Arial"/>
          <w:sz w:val="14"/>
          <w:szCs w:val="14"/>
          <w:color w:val="auto"/>
        </w:rPr>
        <w:t>2A</w:t>
      </w:r>
      <w:r>
        <w:rPr>
          <w:rFonts w:ascii="Arial" w:cs="Arial" w:eastAsia="Arial" w:hAnsi="Arial"/>
          <w:sz w:val="17"/>
          <w:szCs w:val="17"/>
          <w:color w:val="auto"/>
        </w:rPr>
        <w:t>. When 5-HT</w:t>
      </w:r>
      <w:r>
        <w:rPr>
          <w:rFonts w:ascii="Arial" w:cs="Arial" w:eastAsia="Arial" w:hAnsi="Arial"/>
          <w:sz w:val="14"/>
          <w:szCs w:val="14"/>
          <w:color w:val="auto"/>
        </w:rPr>
        <w:t>2A</w:t>
      </w:r>
      <w:r>
        <w:rPr>
          <w:rFonts w:ascii="Arial" w:cs="Arial" w:eastAsia="Arial" w:hAnsi="Arial"/>
          <w:sz w:val="17"/>
          <w:szCs w:val="17"/>
          <w:color w:val="auto"/>
        </w:rPr>
        <w:t xml:space="preserve"> is blocked, certain symptoms of schizophrenia, such as hallucinations, delusions, agitation and thought and movement disorders, as well as the side effects associated with antipsychotic treatments, can be minimized. Additionally, blocking 5-HT</w:t>
      </w:r>
      <w:r>
        <w:rPr>
          <w:rFonts w:ascii="Arial" w:cs="Arial" w:eastAsia="Arial" w:hAnsi="Arial"/>
          <w:sz w:val="14"/>
          <w:szCs w:val="14"/>
          <w:color w:val="auto"/>
        </w:rPr>
        <w:t>2A</w:t>
      </w:r>
      <w:r>
        <w:rPr>
          <w:rFonts w:ascii="Arial" w:cs="Arial" w:eastAsia="Arial" w:hAnsi="Arial"/>
          <w:sz w:val="17"/>
          <w:szCs w:val="17"/>
          <w:color w:val="auto"/>
        </w:rPr>
        <w:t xml:space="preserve"> promotes slow wave sleep, a sleep stage often disrupted in patients with schizophrenia. Roluperidone has also been designed to block a specific subtype of sigma receptor called sigma</w:t>
      </w:r>
      <w:r>
        <w:rPr>
          <w:rFonts w:ascii="Arial" w:cs="Arial" w:eastAsia="Arial" w:hAnsi="Arial"/>
          <w:sz w:val="14"/>
          <w:szCs w:val="14"/>
          <w:color w:val="auto"/>
        </w:rPr>
        <w:t>2</w:t>
      </w:r>
      <w:r>
        <w:rPr>
          <w:rFonts w:ascii="Arial" w:cs="Arial" w:eastAsia="Arial" w:hAnsi="Arial"/>
          <w:sz w:val="17"/>
          <w:szCs w:val="17"/>
          <w:color w:val="auto"/>
        </w:rPr>
        <w:t>, which is involved in movement control, psychotic symptom control and learning and memory. Blocking sigma</w:t>
      </w:r>
      <w:r>
        <w:rPr>
          <w:rFonts w:ascii="Arial" w:cs="Arial" w:eastAsia="Arial" w:hAnsi="Arial"/>
          <w:sz w:val="14"/>
          <w:szCs w:val="14"/>
          <w:color w:val="auto"/>
        </w:rPr>
        <w:t>2</w:t>
      </w:r>
      <w:r>
        <w:rPr>
          <w:rFonts w:ascii="Arial" w:cs="Arial" w:eastAsia="Arial" w:hAnsi="Arial"/>
          <w:sz w:val="17"/>
          <w:szCs w:val="17"/>
          <w:color w:val="auto"/>
        </w:rPr>
        <w:t>, along with blocking the α</w:t>
      </w:r>
      <w:r>
        <w:rPr>
          <w:rFonts w:ascii="MS PGothic" w:cs="MS PGothic" w:eastAsia="MS PGothic" w:hAnsi="MS PGothic"/>
          <w:sz w:val="17"/>
          <w:szCs w:val="17"/>
          <w:color w:val="auto"/>
        </w:rPr>
        <w:t>‑</w:t>
      </w:r>
      <w:r>
        <w:rPr>
          <w:rFonts w:ascii="Arial" w:cs="Arial" w:eastAsia="Arial" w:hAnsi="Arial"/>
          <w:sz w:val="17"/>
          <w:szCs w:val="17"/>
          <w:color w:val="auto"/>
        </w:rPr>
        <w:t>adrenergic subtypes α</w:t>
      </w:r>
      <w:r>
        <w:rPr>
          <w:rFonts w:ascii="Arial" w:cs="Arial" w:eastAsia="Arial" w:hAnsi="Arial"/>
          <w:sz w:val="14"/>
          <w:szCs w:val="14"/>
          <w:color w:val="auto"/>
        </w:rPr>
        <w:t>1A</w:t>
      </w:r>
      <w:r>
        <w:rPr>
          <w:rFonts w:ascii="Arial" w:cs="Arial" w:eastAsia="Arial" w:hAnsi="Arial"/>
          <w:sz w:val="17"/>
          <w:szCs w:val="17"/>
          <w:color w:val="auto"/>
        </w:rPr>
        <w:t>, and to a lesser extent α</w:t>
      </w:r>
      <w:r>
        <w:rPr>
          <w:rFonts w:ascii="Arial" w:cs="Arial" w:eastAsia="Arial" w:hAnsi="Arial"/>
          <w:sz w:val="14"/>
          <w:szCs w:val="14"/>
          <w:color w:val="auto"/>
        </w:rPr>
        <w:t>1B</w:t>
      </w:r>
      <w:r>
        <w:rPr>
          <w:rFonts w:ascii="Arial" w:cs="Arial" w:eastAsia="Arial" w:hAnsi="Arial"/>
          <w:sz w:val="17"/>
          <w:szCs w:val="17"/>
          <w:color w:val="auto"/>
        </w:rPr>
        <w:t>, also increases calcium levels in neurons in the brain, which can improve memory. Pre-clinical findings provide evidence of the effect of roluperidone on Brain-Derived Neurotrophic Factor (“BDNF”), which has been associated with neurogenesis, neuroplasticity, neuroprotection, synapse regulation, learning and memory.</w:t>
      </w:r>
    </w:p>
    <w:p>
      <w:pPr>
        <w:spacing w:after="0" w:line="203"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We believe the scientifically supported and innovative mechanisms of action of roluperidone may potentially address the unmet needs of schizophrenic patients, which include treatment of negative symptoms and cognitive impairment, without the side effects of existing therapies. Negative symptoms are lifelong debilitating symptoms and include: asociality, or the lack of motivation to engage in social interactions; anhedonia, or the inability to experience positive emotions; alogia, or failure to engage in normal conversation; avolition, or loss of energy and interest in activities; and blunted affect, or diminished emotional expression. We plan to seek approval of roluperidone initially as a first line treatment of negative symptoms in patients diagnosed with schizophrenia, and we also may study its use to treat all aspects of the disease, including positive symptoms and relapse prevention. We believe that roluperidone, if approved, could treat the majority of patients diagnosed with schizophrenia. An estimated 69% of patients diagnosed with schizophrenia have negative symptoms, with at least 42% of patients diagnosed with schizophrenia having prominent negative symptoms.</w:t>
      </w:r>
    </w:p>
    <w:p>
      <w:pPr>
        <w:spacing w:after="0" w:line="16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Beyond schizophrenia, we believe roluperidone may possess therapeutic utility in brain disorders where negative symptoms are a core feature of the disease associated with a range of poor clinical outcomes. These potential indications include apathy in dementia, for which we have filed an Investigational New Drug (“IND”) application, the majority of schizophrenia spectrum and other psychotic disorders, autism spectrum disorders, Alzheimer’s disease, Parkinson’s disease and depression.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Development of Roluperidone</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212529"/>
        </w:rPr>
        <w:t>We intend to continue development and New Drug Application (“NDA”) activities consistent with the December 2019 draft guidance of the U.S. Food and Drug Administration (“FDA”) titled “Demonstrating Substantial Evidence of Effectiveness for Human Drug and Biological Products.” As stated in this draft guidance document, where the target indication is an unmet need such as negative symptoms in schizophrenia, the FDA is allowed to consider one adequate and well-controlled study and confirmatory evidence as an alternative to two adequate and well-controlled studies to establish effectiveness. We are moving forward with activities we believe are necessary to support the submission of an NDA for this compound.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and Regulatory Updates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C Meeting Request</w:t>
      </w:r>
    </w:p>
    <w:p>
      <w:pPr>
        <w:spacing w:after="0" w:line="22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On November 3, 2021 we announced that the FDA denied our request for a pre-NDA meeting for roluperidone and responded that a Type C guidance meeting would be more appropriate to discuss the evidence for use of roluperidone as monotherapy for the treatment of negative symptoms of schizophrenia. Following the scheduled Type C meeting and, subject to the timing and feedback from the FDA, we continue to prepare for a potential submission of a NDA for roluperidone in the first half of 2022.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Pivotal Bioequivalence Study (MIN-101C015 study)</w:t>
      </w:r>
    </w:p>
    <w:p>
      <w:pPr>
        <w:spacing w:after="0" w:line="22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September 30, 2021, we announced results from a pivotal bioequivalence study comparing the roluperidone formulations used in our late-stage Phase 2b (MIN-101C03 study), Phase 3 trials (MIN-101C07 study), and the planned commercial formulation. The planned commercial formulation was tested under both fasted and fed conditions. The study met key pharmacokinetic (“PK”) objectives, and the data demonstrate bioequivalence in terms of exposure across the various formulations. Subject screening in this study was initiated on April 23, 2021, the completion of the enrollment of 48 healthy volunteers was achieved on June 29, 2021, and the last subject assessment took place on July 26, 2021. Subjects were randomized to the four treatment sequences described above in a 1:1:1:1 ratio. Of the 48 subjects randomized, 45 completed all study periods. Male subjects constituted 69% of the participants, and 75% of the subjects were white. Median age was 36 years, and all had negative SARS-CoV2 status at the beginning of the study and of every study period with the exception of 1 subject who tested positive at the beginning of study Period 4 and was discontinued. The mean body mass index was 28.1±4 kg/m</w:t>
      </w:r>
      <w:r>
        <w:rPr>
          <w:rFonts w:ascii="Arial" w:cs="Arial" w:eastAsia="Arial" w:hAnsi="Arial"/>
          <w:sz w:val="13"/>
          <w:szCs w:val="13"/>
          <w:color w:val="auto"/>
        </w:rPr>
        <w:t>2</w:t>
      </w:r>
      <w:r>
        <w:rPr>
          <w:rFonts w:ascii="Arial" w:cs="Arial" w:eastAsia="Arial" w:hAnsi="Arial"/>
          <w:sz w:val="16"/>
          <w:szCs w:val="16"/>
          <w:color w:val="auto"/>
        </w:rPr>
        <w:t>. The results demonstrated bioequivalence in terms of exposure between the formulations used in the late-stage efficacy and safety trials of roluperidone with the planned commercial formulation and allow administration of the drug with or without food.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Open Label Extension (MIN-101C07 study)</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11, 2021, we announced results from the 40-week Open-Label Extension (“OLE”) of the Company’s Phase 3 trial of roluperidone for the treatment of negative symptoms (“NS”) of schizophrenia. The OLE followed the 12-week double-blind, placebo-controlled portion of this trial. During the 40-week OLE, both investigators and patients were blinded to the roluperidone dose received. The OLE was designed to evaluate the safety of roluperidone after long-term exposure. Efficacy endpoints were also assessed during the OLE period. As such, efficacy data collected during the OLE are not placebo-controlled and therefore their interpretation is limited.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Over the 40-week OLE period, 333 patients participated, of whom 166 patients received the 32 mg dose and 167 patients received the 64 mg dose. A total of 202 of the 333 patients completed the 40-week OLE period.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mean improvement in negative symptoms, as measured by the Negative Symptom Factor Score (“NSFS”), the primary endpoint of the trial, was 6.8 points in the 32 mg arm and 7.5 points in the 64 mg arm. Personal and Social Performance (“PSP”) scale total score (key secondary endpoint) improved by a mean of 12.3 points in the 32 mg arm and 14.5 points in the 64 mg arm, suggesting functional improvement.</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mean improvement in positive symptoms, as measured by the Positive and Negative Syndrome Scale (“PANSS”) positive symptom subscore was 1.9 points in the 32 mg arm and 1.8 points in the 64 mg arm.</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Reduced emotional experience, as measured by a sub-factor of the NSFS that assesses a patient’s motivation to take part in everyday life activities, had a mean improvement of 2.8 points in the 32 mg group and 3.0 points in the 64 mg group.</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relapse rate during the OLE, defined as patients being withdrawn from the trial due to worsening of symptoms of psychosis, was 15 patients out of 166 patients (9%) in the 32 mg arm and 10 patients out of 167 patients (6%) in the 64 mg arm. Over the one-year duration of the study (including both the 12 weeks double-blind phase and the 40 weeks OLE) the relapse rate was 11.7% overall.</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Roluperidone at both doses was safe and well tolerated and treatment-emergent adverse events (“TEAE”) were generally mild to moderate in severity. The most frequently reported TEAE in the overall group of 333 patients that participated in the OLE were headaches in 26 patients (7.8%), followed by worsening of schizophrenia in 18 patients (5.4%) and insomnia in 15 patients (4.5%). No other TEAE was reported by more than 4% of the patients. There was one death during the OLE that occurred after treatment discontinuation (45-year old male) in the 64 mg arm due to treatment-unrelated respiratory failure. Twenty patients (6%) experienced serious adverse events, with the majority of them associated with the disease characteristics, and only 5 were judged by the investigator to be related to roluperidone. In total, 37 patients (11%) did not complete the OLE due to TEAE, with 25 patients (7.5%) due to relapse-related events and the remaining 12 patients due to a variety of other TEAE reported in ≤1% of the patients. Few QT prolongations were observed during the OLE, were generally transient in duration and only one in the 64 mg arm led to discontinuation from the study.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C Meeting (November 10, 2020)</w:t>
      </w:r>
    </w:p>
    <w:p>
      <w:pPr>
        <w:spacing w:after="0" w:line="229"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On November 30, 2020 we received official meeting minutes from our November 10, 2020 Type C meeting with the FDA regarding the development of roluperidone for treatment of negative symptoms of schizophrenia. The objective of this meeting was to obtain FDA input regarding the existing roluperidone data package, which included the completed Phase 2b study (double-blind phase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color w:val="auto"/>
        </w:rPr>
        <w:t>OLE) and 12 weeks double-blind phase of the Phase 3 study, and its readiness to support an NDA submission. The two main topics addressed during the meeting were:</w:t>
      </w:r>
    </w:p>
    <w:p>
      <w:pPr>
        <w:spacing w:after="0" w:line="170" w:lineRule="exact"/>
        <w:rPr>
          <w:sz w:val="20"/>
          <w:szCs w:val="20"/>
          <w:color w:val="auto"/>
        </w:rPr>
      </w:pPr>
    </w:p>
    <w:p>
      <w:pPr>
        <w:ind w:left="1000" w:hanging="493"/>
        <w:spacing w:after="0"/>
        <w:tabs>
          <w:tab w:leader="none" w:pos="100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Readiness for submission of NDA</w:t>
      </w:r>
    </w:p>
    <w:p>
      <w:pPr>
        <w:spacing w:after="0" w:line="22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212529"/>
        </w:rPr>
        <w:t>We requested confirmation from FDA that, based on the totality of evidence, the data from the MIN-101C03 (“Phase 2b”) and MIN-101C07 (“Phase 3”) studies constitute substantial evidence of the effectiveness of the 64 milligrams (“mg”) dose of roluperidone for the treatment of negative symptoms of schizophrenia and would warrant review of an NDA submission.</w:t>
      </w:r>
    </w:p>
    <w:p>
      <w:pPr>
        <w:spacing w:after="0" w:line="184" w:lineRule="exact"/>
        <w:rPr>
          <w:sz w:val="20"/>
          <w:szCs w:val="20"/>
          <w:color w:val="auto"/>
        </w:rPr>
      </w:pPr>
    </w:p>
    <w:p>
      <w:pPr>
        <w:spacing w:after="0" w:line="296" w:lineRule="auto"/>
        <w:rPr>
          <w:sz w:val="20"/>
          <w:szCs w:val="20"/>
          <w:color w:val="auto"/>
        </w:rPr>
      </w:pPr>
      <w:r>
        <w:rPr>
          <w:rFonts w:ascii="Arial" w:cs="Arial" w:eastAsia="Arial" w:hAnsi="Arial"/>
          <w:sz w:val="16"/>
          <w:szCs w:val="16"/>
          <w:color w:val="212529"/>
        </w:rPr>
        <w:t>FDA advised that the Phase 2b study is problematic because it did not use the commercial formulation of roluperidone and was conducted solely outside of the United States. In addition, FDA commented that the Phase 3 study does not appear to be capable of supporting substantial evidence of effectiveness, because neither dose of roluperidone showed a statistically significant separation from placebo at Week 12 in the intent-to-treat (“ITT”) analysis set. FDA cautioned that an NDA submission based on the current data from the Phase 2b and Phase 3 studies would be highly unlikely to be filed and that, at a minimum, there would be substantial review issues due to the lack of two adequate and well-controlled trials to support efficacy claims for this indication.</w:t>
      </w:r>
    </w:p>
    <w:p>
      <w:pPr>
        <w:spacing w:after="0" w:line="16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212529"/>
        </w:rPr>
        <w:t>FDA acknowledged that the data from the Phase 2b and Phase 3 studies appear to show promising signals and encouraged us to continue the development of roluperidone for treatment of negative symptoms of schizophrenia, which FDA confirmed is an unmet need.</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212529"/>
        </w:rPr>
        <w:t xml:space="preserve">We believe FDA’s comments can be addressed based on published regulatory guidance and precedents. We have comparable pharmacokinetic data for the formulations used in Phase 2b and Phase 3 and performed a pivotal bioequivalence study (MIN-101C015 study) in healthy volunteers to bridge the two formulations as well as one new formulation designed in conjunction with our commercial supply partner, Catalent, Inc., to facilitate large scale manufacturing. In addition, we believe the Phase 3 study has shown that U.S. data and ex-U.S. data are comparable, and that many precedents exist where drugs were approved by FDA based solely on ex-U.S. data. We believe that, in the Phase 3 study, results from the modified ITT (“mITT”) analysis set that excludes patients with implausible </w:t>
      </w:r>
      <w:r>
        <w:rPr>
          <w:rFonts w:ascii="Arial" w:cs="Arial" w:eastAsia="Arial" w:hAnsi="Arial"/>
          <w:sz w:val="16"/>
          <w:szCs w:val="16"/>
          <w:color w:val="000000"/>
        </w:rPr>
        <w:t>behavioral and physiological data from one site (17 of a total of 513 patients)</w:t>
      </w:r>
      <w:r>
        <w:rPr>
          <w:rFonts w:ascii="Arial" w:cs="Arial" w:eastAsia="Arial" w:hAnsi="Arial"/>
          <w:sz w:val="16"/>
          <w:szCs w:val="16"/>
          <w:color w:val="212529"/>
        </w:rPr>
        <w:t xml:space="preserve"> address the lack of separation at Week 12.</w:t>
      </w:r>
    </w:p>
    <w:p>
      <w:pPr>
        <w:spacing w:after="0" w:line="164"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212529"/>
        </w:rPr>
        <w:t>FDA’s consideration of both ITT and mITT data analyses from Phase 3 study</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briefing book for the November 10, 2020 Type C meeting, we highlighted that the exclusion of implausible behavioral and physiological data from 17 patients at one site forms the basis of the mITT analysis set as outlined in the Statistical Analysis Plan submitted to FDA before unblinding the study.</w:t>
      </w:r>
    </w:p>
    <w:p>
      <w:pPr>
        <w:spacing w:after="0" w:line="124"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 xml:space="preserve">For the mITT analysis set, the 64 mg dose of roluperidone achieved a nominal statistically significant result (p-value ≤ 0.044) on the primary endpoint, the NSFS of the </w:t>
      </w:r>
      <w:r>
        <w:rPr>
          <w:rFonts w:ascii="Arial" w:cs="Arial" w:eastAsia="Arial" w:hAnsi="Arial"/>
          <w:sz w:val="18"/>
          <w:szCs w:val="18"/>
          <w:color w:val="212529"/>
        </w:rPr>
        <w:t>PANSS</w:t>
      </w:r>
      <w:r>
        <w:rPr>
          <w:rFonts w:ascii="Arial" w:cs="Arial" w:eastAsia="Arial" w:hAnsi="Arial"/>
          <w:sz w:val="18"/>
          <w:szCs w:val="18"/>
          <w:color w:val="auto"/>
        </w:rPr>
        <w:t>. The details of both the ITT and mITT results for the primary NSFS and key secondary endpoint, PSP total score, can be found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125730</wp:posOffset>
            </wp:positionV>
            <wp:extent cx="6412230" cy="213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2134235"/>
                    </a:xfrm>
                    <a:prstGeom prst="rect">
                      <a:avLst/>
                    </a:prstGeom>
                    <a:noFill/>
                  </pic:spPr>
                </pic:pic>
              </a:graphicData>
            </a:graphic>
          </wp:anchor>
        </w:drawing>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Roluperidone Phase 3: ITT and mITT NSFS &amp; PSP total score change from baseline scores and p-values</w:t>
      </w:r>
    </w:p>
    <w:p>
      <w:pPr>
        <w:spacing w:after="0" w:line="23" w:lineRule="exact"/>
        <w:rPr>
          <w:sz w:val="20"/>
          <w:szCs w:val="20"/>
          <w:color w:val="auto"/>
        </w:rPr>
      </w:pPr>
    </w:p>
    <w:tbl>
      <w:tblPr>
        <w:tblLayout w:type="fixed"/>
        <w:tblInd w:w="580" w:type="dxa"/>
        <w:tblCellMar>
          <w:top w:w="0" w:type="dxa"/>
          <w:left w:w="0" w:type="dxa"/>
          <w:bottom w:w="0" w:type="dxa"/>
          <w:right w:w="0" w:type="dxa"/>
        </w:tblCellMar>
      </w:tblPr>
      <w:tr>
        <w:trPr>
          <w:trHeight w:val="205"/>
        </w:trPr>
        <w:tc>
          <w:tcPr>
            <w:tcW w:w="1400" w:type="dxa"/>
            <w:vAlign w:val="bottom"/>
            <w:tcBorders>
              <w:top w:val="single" w:sz="8" w:color="auto"/>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Timepoint</w:t>
            </w:r>
          </w:p>
        </w:tc>
        <w:tc>
          <w:tcPr>
            <w:tcW w:w="126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5"/>
              </w:rPr>
              <w:t>Intent-to-Treat</w:t>
            </w:r>
          </w:p>
        </w:tc>
        <w:tc>
          <w:tcPr>
            <w:tcW w:w="1260" w:type="dxa"/>
            <w:vAlign w:val="bottom"/>
            <w:tcBorders>
              <w:top w:val="single" w:sz="8" w:color="auto"/>
              <w:right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80" w:type="dxa"/>
            <w:vAlign w:val="bottom"/>
            <w:tcBorders>
              <w:top w:val="single" w:sz="8" w:color="auto"/>
            </w:tcBorders>
            <w:gridSpan w:val="3"/>
          </w:tcPr>
          <w:p>
            <w:pPr>
              <w:jc w:val="center"/>
              <w:ind w:right="180"/>
              <w:spacing w:after="0" w:line="205" w:lineRule="exact"/>
              <w:rPr>
                <w:sz w:val="20"/>
                <w:szCs w:val="20"/>
                <w:color w:val="auto"/>
              </w:rPr>
            </w:pPr>
            <w:r>
              <w:rPr>
                <w:rFonts w:ascii="Arial" w:cs="Arial" w:eastAsia="Arial" w:hAnsi="Arial"/>
                <w:sz w:val="18"/>
                <w:szCs w:val="18"/>
                <w:b w:val="1"/>
                <w:bCs w:val="1"/>
                <w:color w:val="auto"/>
                <w:w w:val="94"/>
              </w:rPr>
              <w:t>Modified Intent-to-Treat</w:t>
            </w: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vMerge w:val="continue"/>
          </w:tcPr>
          <w:p>
            <w:pPr>
              <w:spacing w:after="0"/>
              <w:rPr>
                <w:sz w:val="10"/>
                <w:szCs w:val="10"/>
                <w:color w:val="auto"/>
              </w:rPr>
            </w:pPr>
          </w:p>
        </w:tc>
        <w:tc>
          <w:tcPr>
            <w:tcW w:w="126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3400" w:type="dxa"/>
            <w:vAlign w:val="bottom"/>
            <w:gridSpan w:val="4"/>
            <w:vMerge w:val="restart"/>
          </w:tcPr>
          <w:p>
            <w:pPr>
              <w:jc w:val="center"/>
              <w:ind w:left="850"/>
              <w:spacing w:after="0"/>
              <w:rPr>
                <w:sz w:val="20"/>
                <w:szCs w:val="20"/>
                <w:color w:val="auto"/>
              </w:rPr>
            </w:pPr>
            <w:r>
              <w:rPr>
                <w:rFonts w:ascii="Arial" w:cs="Arial" w:eastAsia="Arial" w:hAnsi="Arial"/>
                <w:sz w:val="18"/>
                <w:szCs w:val="18"/>
                <w:b w:val="1"/>
                <w:bCs w:val="1"/>
                <w:color w:val="auto"/>
                <w:w w:val="90"/>
              </w:rPr>
              <w:t>(Excluding patients from 1 site)</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3400" w:type="dxa"/>
            <w:vAlign w:val="bottom"/>
            <w:tcBorders>
              <w:bottom w:val="single" w:sz="8" w:color="auto"/>
            </w:tcBorders>
            <w:gridSpan w:val="4"/>
            <w:vMerge w:val="continue"/>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40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b w:val="1"/>
                <w:bCs w:val="1"/>
                <w:color w:val="auto"/>
              </w:rPr>
              <w:t>Timepoint</w:t>
            </w:r>
          </w:p>
        </w:tc>
        <w:tc>
          <w:tcPr>
            <w:tcW w:w="1260" w:type="dxa"/>
            <w:vAlign w:val="bottom"/>
            <w:tcBorders>
              <w:right w:val="single" w:sz="8" w:color="auto"/>
            </w:tcBorders>
          </w:tcPr>
          <w:p>
            <w:pPr>
              <w:ind w:left="320"/>
              <w:spacing w:after="0" w:line="205" w:lineRule="exact"/>
              <w:rPr>
                <w:sz w:val="20"/>
                <w:szCs w:val="20"/>
                <w:color w:val="auto"/>
              </w:rPr>
            </w:pPr>
            <w:r>
              <w:rPr>
                <w:rFonts w:ascii="Arial" w:cs="Arial" w:eastAsia="Arial" w:hAnsi="Arial"/>
                <w:sz w:val="18"/>
                <w:szCs w:val="18"/>
                <w:b w:val="1"/>
                <w:bCs w:val="1"/>
                <w:color w:val="auto"/>
              </w:rPr>
              <w:t>Placebo</w:t>
            </w:r>
          </w:p>
        </w:tc>
        <w:tc>
          <w:tcPr>
            <w:tcW w:w="180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64 mg Roluperidone</w:t>
            </w: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p-value</w:t>
            </w:r>
          </w:p>
        </w:tc>
        <w:tc>
          <w:tcPr>
            <w:tcW w:w="1120" w:type="dxa"/>
            <w:vAlign w:val="bottom"/>
          </w:tcPr>
          <w:p>
            <w:pPr>
              <w:ind w:left="320"/>
              <w:spacing w:after="0" w:line="205" w:lineRule="exact"/>
              <w:rPr>
                <w:sz w:val="20"/>
                <w:szCs w:val="20"/>
                <w:color w:val="auto"/>
              </w:rPr>
            </w:pPr>
            <w:r>
              <w:rPr>
                <w:rFonts w:ascii="Arial" w:cs="Arial" w:eastAsia="Arial" w:hAnsi="Arial"/>
                <w:sz w:val="18"/>
                <w:szCs w:val="18"/>
                <w:b w:val="1"/>
                <w:bCs w:val="1"/>
                <w:color w:val="auto"/>
              </w:rPr>
              <w:t>Placebo</w:t>
            </w:r>
          </w:p>
        </w:tc>
        <w:tc>
          <w:tcPr>
            <w:tcW w:w="160" w:type="dxa"/>
            <w:vAlign w:val="bottom"/>
            <w:tcBorders>
              <w:right w:val="single" w:sz="8" w:color="auto"/>
            </w:tcBorders>
          </w:tcPr>
          <w:p>
            <w:pPr>
              <w:spacing w:after="0"/>
              <w:rPr>
                <w:sz w:val="17"/>
                <w:szCs w:val="17"/>
                <w:color w:val="auto"/>
              </w:rPr>
            </w:pPr>
          </w:p>
        </w:tc>
        <w:tc>
          <w:tcPr>
            <w:tcW w:w="182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0"/>
              </w:rPr>
              <w:t>64 mg Roluperidone</w:t>
            </w:r>
          </w:p>
        </w:tc>
        <w:tc>
          <w:tcPr>
            <w:tcW w:w="300" w:type="dxa"/>
            <w:vAlign w:val="bottom"/>
          </w:tcPr>
          <w:p>
            <w:pPr>
              <w:spacing w:after="0"/>
              <w:rPr>
                <w:sz w:val="17"/>
                <w:szCs w:val="17"/>
                <w:color w:val="auto"/>
              </w:rPr>
            </w:pPr>
          </w:p>
        </w:tc>
        <w:tc>
          <w:tcPr>
            <w:tcW w:w="980" w:type="dxa"/>
            <w:vAlign w:val="bottom"/>
            <w:vMerge w:val="restart"/>
          </w:tcPr>
          <w:p>
            <w:pPr>
              <w:jc w:val="center"/>
              <w:ind w:right="250"/>
              <w:spacing w:after="0"/>
              <w:rPr>
                <w:sz w:val="20"/>
                <w:szCs w:val="20"/>
                <w:color w:val="auto"/>
              </w:rPr>
            </w:pPr>
            <w:r>
              <w:rPr>
                <w:rFonts w:ascii="Arial" w:cs="Arial" w:eastAsia="Arial" w:hAnsi="Arial"/>
                <w:sz w:val="18"/>
                <w:szCs w:val="18"/>
                <w:b w:val="1"/>
                <w:bCs w:val="1"/>
                <w:color w:val="auto"/>
                <w:w w:val="88"/>
              </w:rPr>
              <w:t>p-value</w:t>
            </w:r>
          </w:p>
        </w:tc>
        <w:tc>
          <w:tcPr>
            <w:tcW w:w="0" w:type="dxa"/>
            <w:vAlign w:val="bottom"/>
          </w:tcPr>
          <w:p>
            <w:pPr>
              <w:spacing w:after="0"/>
              <w:rPr>
                <w:sz w:val="1"/>
                <w:szCs w:val="1"/>
                <w:color w:val="auto"/>
              </w:rPr>
            </w:pPr>
          </w:p>
        </w:tc>
      </w:tr>
      <w:tr>
        <w:trPr>
          <w:trHeight w:val="126"/>
        </w:trPr>
        <w:tc>
          <w:tcPr>
            <w:tcW w:w="140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(N=172)</w:t>
            </w:r>
          </w:p>
        </w:tc>
        <w:tc>
          <w:tcPr>
            <w:tcW w:w="1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(N=171)</w:t>
            </w:r>
          </w:p>
        </w:tc>
        <w:tc>
          <w:tcPr>
            <w:tcW w:w="1260" w:type="dxa"/>
            <w:vAlign w:val="bottom"/>
            <w:tcBorders>
              <w:right w:val="single" w:sz="8" w:color="auto"/>
            </w:tcBorders>
            <w:vMerge w:val="continue"/>
          </w:tcPr>
          <w:p>
            <w:pPr>
              <w:spacing w:after="0"/>
              <w:rPr>
                <w:sz w:val="10"/>
                <w:szCs w:val="10"/>
                <w:color w:val="auto"/>
              </w:rPr>
            </w:pPr>
          </w:p>
        </w:tc>
        <w:tc>
          <w:tcPr>
            <w:tcW w:w="112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97"/>
              </w:rPr>
              <w:t>(N=167)</w:t>
            </w:r>
          </w:p>
        </w:tc>
        <w:tc>
          <w:tcPr>
            <w:tcW w:w="160" w:type="dxa"/>
            <w:vAlign w:val="bottom"/>
            <w:tcBorders>
              <w:right w:val="single" w:sz="8" w:color="auto"/>
            </w:tcBorders>
          </w:tcPr>
          <w:p>
            <w:pPr>
              <w:spacing w:after="0"/>
              <w:rPr>
                <w:sz w:val="10"/>
                <w:szCs w:val="10"/>
                <w:color w:val="auto"/>
              </w:rPr>
            </w:pPr>
          </w:p>
        </w:tc>
        <w:tc>
          <w:tcPr>
            <w:tcW w:w="1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(N=162)</w:t>
            </w:r>
          </w:p>
        </w:tc>
        <w:tc>
          <w:tcPr>
            <w:tcW w:w="3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1800" w:type="dxa"/>
            <w:vAlign w:val="bottom"/>
            <w:tcBorders>
              <w:bottom w:val="single" w:sz="8" w:color="auto"/>
              <w:right w:val="single" w:sz="8" w:color="auto"/>
            </w:tcBorders>
            <w:vMerge w:val="continue"/>
          </w:tcPr>
          <w:p>
            <w:pPr>
              <w:spacing w:after="0"/>
              <w:rPr>
                <w:sz w:val="9"/>
                <w:szCs w:val="9"/>
                <w:color w:val="auto"/>
              </w:rPr>
            </w:pPr>
          </w:p>
        </w:tc>
        <w:tc>
          <w:tcPr>
            <w:tcW w:w="126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1820" w:type="dxa"/>
            <w:vAlign w:val="bottom"/>
            <w:tcBorders>
              <w:bottom w:val="single" w:sz="8" w:color="auto"/>
              <w:right w:val="single" w:sz="8" w:color="auto"/>
            </w:tcBorders>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6460" w:type="dxa"/>
            <w:vAlign w:val="bottom"/>
            <w:tcBorders>
              <w:bottom w:val="single" w:sz="8" w:color="auto"/>
            </w:tcBorders>
            <w:gridSpan w:val="6"/>
          </w:tcPr>
          <w:p>
            <w:pPr>
              <w:jc w:val="center"/>
              <w:ind w:right="1700"/>
              <w:spacing w:after="0"/>
              <w:rPr>
                <w:sz w:val="20"/>
                <w:szCs w:val="20"/>
                <w:color w:val="auto"/>
              </w:rPr>
            </w:pPr>
            <w:r>
              <w:rPr>
                <w:rFonts w:ascii="Arial" w:cs="Arial" w:eastAsia="Arial" w:hAnsi="Arial"/>
                <w:sz w:val="18"/>
                <w:szCs w:val="18"/>
                <w:b w:val="1"/>
                <w:bCs w:val="1"/>
                <w:color w:val="auto"/>
                <w:w w:val="92"/>
              </w:rPr>
              <w:t>Primary Endpoint: Marder Negative Symptom Factor Score</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-1.6 (0.22)</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 (0.22)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95"/>
              </w:rPr>
              <w:t>NS</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-1.6 (0.22)</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-1.9 (0.22)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95"/>
              </w:rPr>
              <w:t>NS</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-2.0 (0.26)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-2.9 (0.26)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0.007</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-2.0 (0.26)</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-3.0 (0.27)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0.005</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-2.9 (0.30)</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-3.8 (0.32)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0.027</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-2.9 (0.31)</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-3.9 (0.32)</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0.021</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12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-3.5 (0.34)</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-4.3 (0.38)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0.064</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1"/>
              </w:rPr>
              <w:t>-3.5 (0.35)</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-4.5 (0.35)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0.044</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8"/>
                <w:szCs w:val="18"/>
                <w:b w:val="1"/>
                <w:bCs w:val="1"/>
                <w:color w:val="auto"/>
                <w:w w:val="89"/>
              </w:rPr>
              <w:t>Key Secondary Endpoint: Personal and Social Performance Total Score</w:t>
            </w: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4</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1.3 (0.56)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3.2 (0.56)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0.005</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1.2 (0.58)</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3.3 (0.59)</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0.004</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8</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2.8 (0.66)</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4.8 (0.66)</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0.019</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2.8 (0.68)</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4.9 (0.68)</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0.014</w:t>
            </w:r>
          </w:p>
        </w:tc>
        <w:tc>
          <w:tcPr>
            <w:tcW w:w="0" w:type="dxa"/>
            <w:vAlign w:val="bottom"/>
          </w:tcPr>
          <w:p>
            <w:pPr>
              <w:spacing w:after="0"/>
              <w:rPr>
                <w:sz w:val="1"/>
                <w:szCs w:val="1"/>
                <w:color w:val="auto"/>
              </w:rPr>
            </w:pPr>
          </w:p>
        </w:tc>
      </w:tr>
      <w:tr>
        <w:trPr>
          <w:trHeight w:val="223"/>
        </w:trPr>
        <w:tc>
          <w:tcPr>
            <w:tcW w:w="14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Week 12</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3.9 (0.73)</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6.1 (0.73)</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i w:val="1"/>
                <w:iCs w:val="1"/>
                <w:color w:val="auto"/>
                <w:w w:val="88"/>
              </w:rPr>
              <w:t>0.021</w:t>
            </w: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3"/>
              </w:rPr>
              <w:t>3.8 (0.75)</w:t>
            </w:r>
          </w:p>
        </w:tc>
        <w:tc>
          <w:tcPr>
            <w:tcW w:w="160" w:type="dxa"/>
            <w:vAlign w:val="bottom"/>
            <w:tcBorders>
              <w:bottom w:val="single" w:sz="8" w:color="auto"/>
              <w:right w:val="single" w:sz="8" w:color="auto"/>
            </w:tcBorders>
          </w:tcPr>
          <w:p>
            <w:pPr>
              <w:spacing w:after="0"/>
              <w:rPr>
                <w:sz w:val="19"/>
                <w:szCs w:val="19"/>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6.2 (0.77)</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i w:val="1"/>
                <w:iCs w:val="1"/>
                <w:color w:val="auto"/>
                <w:w w:val="88"/>
              </w:rPr>
              <w:t>0.017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FDA advised that their consideration of both the mITT and ITT results would be a matter of review and that in principle all sites should be included in the primary analysis set, and FDA cannot determine at this time whether data from the referenced site should be removed without a thorough evaluation. FDA indicated that we should include justification for exclusion of these data in the future NDA package and provide primary endpoint results both with and without these data.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 w:name="page9"/>
    <w:bookmarkEnd w:id="8"/>
    <w:p>
      <w:pPr>
        <w:ind w:right="140"/>
        <w:spacing w:after="0" w:line="263" w:lineRule="auto"/>
        <w:rPr>
          <w:sz w:val="20"/>
          <w:szCs w:val="20"/>
          <w:color w:val="auto"/>
        </w:rPr>
      </w:pPr>
      <w:r>
        <w:rPr>
          <w:rFonts w:ascii="Arial" w:cs="Arial" w:eastAsia="Arial" w:hAnsi="Arial"/>
          <w:sz w:val="18"/>
          <w:szCs w:val="18"/>
          <w:color w:val="212529"/>
        </w:rPr>
        <w:t>In addition to the two main agenda items described above, the use of the PSP total score in the label and the adequacy of the PANSS and PSP instruments and related constructs to assess the efficacy of roluperidone were also discussed with the FDA. We have provided requested literature to support both instruments’ psychometric properties to FDA.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Trial 12 weeks double-blind phase results (MIN-101C07 study)</w:t>
      </w:r>
    </w:p>
    <w:p>
      <w:pPr>
        <w:spacing w:after="0" w:line="229"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On May 29, 2020, we announced that the Phase 3 trial of roluperidone to treat negative symptoms in schizophrenia did not meet its primary (PANSS Marder Negative Symptom Factor Score) and key secondary (Personal and Social Performance Scale Total Score) endpoints.</w:t>
      </w:r>
    </w:p>
    <w:p>
      <w:pPr>
        <w:spacing w:after="0" w:line="146"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Patients admitted into the trial had a documented diagnosis of schizophrenia for at least one year and been symptomatically stable for at least six months with moderate to severe negative symptoms (&gt;20 on the PANSS negative symptom subscore) and stable positive symptoms. Patients without moderate to severe symptoms of excitement/hyperactivity, suspiciousness/persecution, hostility, uncooperativeness, or poor impulse control were recruited. We believe these eligibility criteria represent the real-world patient population who may benefit when the drug is used in clinical practice. In addition, patients treated with psychotropic agents needed to undergo a wash-out period of a few days before receiving study drug. These parameters were applied in screening the population enrolled in the Phase 2b trial.</w:t>
      </w:r>
    </w:p>
    <w:p>
      <w:pPr>
        <w:spacing w:after="0" w:line="178"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In total, 515 patients were enrolled into the trial, and 513 patients received treatment and were included in the ITT and safety populations. The trial was conducted in the United States, Europe and Israel. There were 172 patients who received placebo, 170 patients who received roluperidone 32 mg, and 171 patients who received roluperidone 64 mg. Demographic and baseline disease characteristics were comparable across all treatment arms.</w:t>
      </w:r>
    </w:p>
    <w:p>
      <w:pPr>
        <w:spacing w:after="0" w:line="14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results for both roluperidone doses versus placebo across both the primary and the key secondary endpoints to Week 12 were corrected for multiplicity using the truncated Hochberg procedure.</w:t>
      </w:r>
    </w:p>
    <w:p>
      <w:pPr>
        <w:spacing w:after="0" w:line="170"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primary objective of the trial was to evaluate the change from baseline to Week 12 of NSFS with 32 mg and 64 mg doses of roluperidone compared to placebo in patients diagnosed with schizophrenia presenting with moderate to severe negative symptoms. Neither the 32 mg nor 64 mg dose of roluperidone showed a statistically significant separation from placebo at Week 12 (32 mg: p ≤0.256, effect size [ES]=0.1; 64 mg: p ≤0.064, ES=0.2).</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Furthermore, the 64 mg dose showed a nominal statistically significant separation from placebo on the key secondary endpoint, the change from baseline at Week 12 in PSP (32 mg: p ≤0.542, ES=0.1; 64 mg: nominal p ≤0.021, ES=0.3).</w:t>
      </w:r>
    </w:p>
    <w:p>
      <w:pPr>
        <w:spacing w:after="0" w:line="17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Although limited inferences can be drawn from these data, unadjusted statistically significant separations from placebo were observed in NSFS at Week 4 for both doses (32 mg: nominal p ≤0.036, ES=0.2; 64 mg: nominal p ≤0.007, ES=0.3), and at Week 8 for the 64 mg dose (nominal p ≤0.027, ES=0.3), and the 64 mg dose was statistically significantly different from placebo as measured by change in PSP at all other assessment timepoints (Week 4, nominal p ≤0.005, ES=0.3; Week 8: nominal p ≤0.019, ES=0.3).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Overall, subgroup analyses by region (United States and rest of the world) and by age groups were similar.</w:t>
      </w:r>
    </w:p>
    <w:p>
      <w:pPr>
        <w:spacing w:after="0" w:line="225" w:lineRule="exact"/>
        <w:rPr>
          <w:sz w:val="20"/>
          <w:szCs w:val="20"/>
          <w:color w:val="auto"/>
        </w:rPr>
      </w:pPr>
    </w:p>
    <w:p>
      <w:pPr>
        <w:ind w:right="20"/>
        <w:spacing w:after="0" w:line="220" w:lineRule="exact"/>
        <w:rPr>
          <w:sz w:val="20"/>
          <w:szCs w:val="20"/>
          <w:color w:val="auto"/>
        </w:rPr>
      </w:pPr>
      <w:r>
        <w:rPr>
          <w:rFonts w:ascii="Arial" w:cs="Arial" w:eastAsia="Arial" w:hAnsi="Arial"/>
          <w:sz w:val="18"/>
          <w:szCs w:val="18"/>
          <w:color w:val="auto"/>
        </w:rPr>
        <w:t>Roluperidone was generally well tolerated, and the incidences of patients who reported treatment</w:t>
      </w:r>
      <w:r>
        <w:rPr>
          <w:rFonts w:ascii="MS PGothic" w:cs="MS PGothic" w:eastAsia="MS PGothic" w:hAnsi="MS PGothic"/>
          <w:sz w:val="18"/>
          <w:szCs w:val="18"/>
          <w:color w:val="auto"/>
        </w:rPr>
        <w:t>‑</w:t>
      </w:r>
      <w:r>
        <w:rPr>
          <w:rFonts w:ascii="Arial" w:cs="Arial" w:eastAsia="Arial" w:hAnsi="Arial"/>
          <w:sz w:val="18"/>
          <w:szCs w:val="18"/>
          <w:color w:val="auto"/>
        </w:rPr>
        <w:t>emergent adverse events over the duration of 12 weeks of treatment were 37% for the 64 mg group, 42% for the 32 mg group, and 33% for placebo. Only 42 patients discontinued from the study due to adverse events, 16 (9%) in 64 mg arm, 18 (10%) in 32 mg arm, and 8 (5%) in placebo arm. Two treatment-unrelated deaths were reported in the 32 mg treatment arm.</w:t>
      </w:r>
    </w:p>
    <w:p>
      <w:pPr>
        <w:spacing w:after="0" w:line="20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believe the results obtained in the Phase 3 study expand upon the outcome of the Phase 2b study that showed improvements in the primary endpoint and in multiple secondary endpoints. We believe the Phase 3 study’s inability to achieve Hochberg adjusted statistically significant improvement at Week 12 on its primary and key secondary endpoint may be primarily due to a larger than expected placebo effect. Results obtained with the 64 mg dose included an early onset of effect and functional improvement as measured by PSP and suggest that roluperidone merits continued investigation for the treatment of negative symptoms in patients with schizophrenia.</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Patient evaluation in the OLE phase of the Phase 3 trial of roluperidone was achieved on February 15, 2021, with a total of 202 patients (61%) completing this phase. More details of the OLE can be found above in the “Open Label Extension (MIN-101C07 study)” above.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Chemistry, Manufacturing and Controls program</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chemistry, manufacturing and controls (“CMC”) scale-up program for roluperidone is ongoing to ensure consistency between the drug batches used during Phase 3 testing and those that will be available for potential marketing and commercialization and subsequent regulatory submission and review of an NDA for roluperidone. The CMC program requires validation of all aspects of the manufacturing processes required to result in a drug product that consistently meets approved quality standards.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September 2019 we entered into a long-term commercial supply agreement for roluperidone with Catalent, Inc. (“Catalent”), a leading global provider of advanced delivery technologies, development, and manufacturing solutions for drugs, biologics, gene therapies, and consumer health products. Under the terms of the agreement, Catalent will manufacture and package the finished dose form of roluperidone at its facility in Schorndorf, Germany. To date, Catalent has worked with us to enable the transfer from pilot to commercial-scale production. This has included analytical methods transfer and validation, process optimization, stability studies, and registration batch manufacturing, as well as packaging studies and the assessment of the influence of formulation factors on the product’s critical quality attributes as required by Quality by Design process.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Drug-Drug Interaction Studies</w:t>
      </w:r>
    </w:p>
    <w:p>
      <w:pPr>
        <w:spacing w:after="0" w:line="229"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We completed certain pharmacology trials that include a Drug-Drug Interaction study, which comprise a standard part of the NDA. We have studied interactions separately with molecules inhibiting two subtypes of the cytochrome P450 (CYP2D6 and CYP3A4). The data from this study show minimal to no interaction with the strong CYP3A4 inhibitor, and some interaction (&lt; 1.6-fold increase in exposure) with the moderate CYP2D6 inhibitor.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Dose Escalation Study with formulation employed in Phase 3 clinical trial</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completed a prospective, double-blind, placebo-controlled, randomized single-escalating dose study in healthy subjects to evaluate the investigational drug roluperidone as monotherapy administered at nine ascending doses (16, 32, 64, 96, 128, 160, 192, 224 and 256 mg). The highest dose tested is 4 multiples of the highest dose (64 mg) used in the Phase 3 trial.</w:t>
      </w:r>
    </w:p>
    <w:p>
      <w:pPr>
        <w:spacing w:after="0" w:line="18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trial included a total of 90 subjects. 72 received 9 different doses of roluperidone, and 18 received placebo. All subjects who were dosed completed the study as planned except for one male subject who received placebo and subsequently withdrew his consent.</w:t>
      </w:r>
    </w:p>
    <w:p>
      <w:pPr>
        <w:spacing w:after="0" w:line="17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believe the findings from the trial suggest an expanded therapeutic window and a significantly improved safety margin for roluperidone. Furthermore, we believe these data suggest the potential for future testing of roluperidone in schizophrenic patients with an exacerbation of psychosis at higher doses than those used in the Phase 3 trial.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Brain-Derived Neurotrophic Factor (“BDNF”) Findings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completed non-clinical studies that provide evidence of the effect of roluperidone on Brain-Derived Neurotrophic Factor (“BDNF”) and on Glial Cell-Derived Neurotrophic Factor (“GDNF”). BDNF is the most widely distributed member of neurotrophins in the brain and has been associated with neurogenesis, neuroplasticity, neuroprotection, synaptic regulation and learning and memory. Its involvement in schizophrenia has also been described. GDNF is another neurotrophin known to promote the survival of different types of brain cells and has been shown to be essential for the maintenance and survival of dopamine neurons.</w:t>
      </w:r>
    </w:p>
    <w:p>
      <w:pPr>
        <w:spacing w:after="0" w:line="188"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Data from this study were presented at the 2019 Congress of the Schizophrenia International Research Society on April 11, 2019. These findings demonstrate that administration of roluperidone significantly increased BDNF release by astrocytes and hippocampal neurons obtained from the cerebral cortex of newborn rats, as well as the release of GDNF in cultured astrocytes. Furthermore, data showed that roluperidone enhanced BDNF gene expression at drug concentrations comparable to those observed in humans at tested doses. Based on these results, we believe that the effect of roluperidone on BDNF and GDNF may indicate its potential for disease modification and improved neuroplasticity, in addition to its observed effects on the serotoninergic 5-HT</w:t>
      </w:r>
      <w:r>
        <w:rPr>
          <w:rFonts w:ascii="Arial" w:cs="Arial" w:eastAsia="Arial" w:hAnsi="Arial"/>
          <w:sz w:val="14"/>
          <w:szCs w:val="14"/>
          <w:color w:val="auto"/>
        </w:rPr>
        <w:t>2A</w:t>
      </w:r>
      <w:r>
        <w:rPr>
          <w:rFonts w:ascii="Arial" w:cs="Arial" w:eastAsia="Arial" w:hAnsi="Arial"/>
          <w:sz w:val="17"/>
          <w:szCs w:val="17"/>
          <w:color w:val="auto"/>
        </w:rPr>
        <w:t>, sigma</w:t>
      </w:r>
      <w:r>
        <w:rPr>
          <w:rFonts w:ascii="Arial" w:cs="Arial" w:eastAsia="Arial" w:hAnsi="Arial"/>
          <w:sz w:val="14"/>
          <w:szCs w:val="14"/>
          <w:color w:val="auto"/>
        </w:rPr>
        <w:t>2</w:t>
      </w:r>
      <w:r>
        <w:rPr>
          <w:rFonts w:ascii="Arial" w:cs="Arial" w:eastAsia="Arial" w:hAnsi="Arial"/>
          <w:sz w:val="17"/>
          <w:szCs w:val="17"/>
          <w:color w:val="auto"/>
        </w:rPr>
        <w:t>, and α</w:t>
      </w:r>
      <w:r>
        <w:rPr>
          <w:rFonts w:ascii="Arial" w:cs="Arial" w:eastAsia="Arial" w:hAnsi="Arial"/>
          <w:sz w:val="14"/>
          <w:szCs w:val="14"/>
          <w:color w:val="auto"/>
        </w:rPr>
        <w:t>1A</w:t>
      </w:r>
      <w:r>
        <w:rPr>
          <w:rFonts w:ascii="Arial" w:cs="Arial" w:eastAsia="Arial" w:hAnsi="Arial"/>
          <w:sz w:val="17"/>
          <w:szCs w:val="17"/>
          <w:color w:val="auto"/>
        </w:rPr>
        <w:t>- and α</w:t>
      </w:r>
      <w:r>
        <w:rPr>
          <w:rFonts w:ascii="Arial" w:cs="Arial" w:eastAsia="Arial" w:hAnsi="Arial"/>
          <w:sz w:val="14"/>
          <w:szCs w:val="14"/>
          <w:color w:val="auto"/>
        </w:rPr>
        <w:t>1B</w:t>
      </w:r>
      <w:r>
        <w:rPr>
          <w:rFonts w:ascii="Arial" w:cs="Arial" w:eastAsia="Arial" w:hAnsi="Arial"/>
          <w:sz w:val="17"/>
          <w:szCs w:val="17"/>
          <w:color w:val="auto"/>
        </w:rPr>
        <w:t>- adrenergic neurotransmitter pathways.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Roluperidone License Agreement with MTPC</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entered into a license agreement with MTPC dated as of August 30, 2007, as amended (“Roluperidone License Agreement”). Under the terms of the Roluperidone License Agreement, we acquired an exclusive license to the lead compound known as CYR-101 (subsequently renamed MIN-101 and roluperidone), and other compounds with a similar structure and intended purpose and other data included within the valid claims of certain patents licensed to us under the Roluperidone License Agreement. The license is for world-wide rights other than certain countries in Asia, including China, Japan, India and South Korea. We will pay MTPC a tiered royalty for net sales of product by us or any of our affiliates or sublicensees containing the licensed compound at a range of percentages of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10" w:name="page11"/>
    <w:bookmarkEnd w:id="10"/>
    <w:p>
      <w:pPr>
        <w:jc w:val="both"/>
        <w:ind w:right="220"/>
        <w:spacing w:after="0" w:line="263" w:lineRule="auto"/>
        <w:rPr>
          <w:sz w:val="20"/>
          <w:szCs w:val="20"/>
          <w:color w:val="auto"/>
        </w:rPr>
      </w:pPr>
      <w:r>
        <w:rPr>
          <w:rFonts w:ascii="Arial" w:cs="Arial" w:eastAsia="Arial" w:hAnsi="Arial"/>
          <w:sz w:val="18"/>
          <w:szCs w:val="18"/>
          <w:color w:val="auto"/>
        </w:rPr>
        <w:t>high single digits to the low teens depending on net sales of products under the Roluperidone License Agreement. We were also required to make certain milestone payments upon the achievement of certain development and commercial milestones, potentially up to $57.5 million for roluperidone and up to $59.5 million for additional products.</w:t>
      </w:r>
    </w:p>
    <w:p>
      <w:pPr>
        <w:spacing w:after="0" w:line="18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In January 2014 we renegotiated the structure of the license for roluperidone such that we are required to make milestone payments upon the achievement of one development milestone totaling $0.5 million and certain commercial milestones, which could total up to $47.5 million, in the aggregate, as well as the tiered royalty payments described above. In addition, in the event that we sell the rights to the license, MTPC will be entitled to a percentage of milestone payments in the low teens and a percentage of royalties received by us in the low double digits. This license agreement expires upon the expiration of our obligation to pay royalties, upon which we will have a fully paid-up, non-exclusive, perpetual, irrevocable license. Our obligation to pay royalties continues, on a country-by-country basis, until the 12 year anniversary from the launch of the product in each country in our territory.</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Seltorexant (MIN-202)</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Seltorexant is an innovative selective orexin 2 receptor antagonist that we co-developed with Janssen for the treatment of insomnia and MDD. Insomnia is the repeated difficulty with sleep initiation, maintenance or quality that occurs despite adequate time and opportunity for sleep, resulting in daytime impairment. Insomnia can be the primary condition for patients or a secondary symptom of, and contributor to, another medical or psychiatric condition, such as MDD or schizophrenia.</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the Phase 3 program by Jansen and regulatory approvals.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October 2019 we announced top-line results from a Phase 2b clinical trial in which flexibly dosed seltorexant (20 mg or 40 mg) was compared to flexibly dosed quetiapine XR (150 mg or 300 mg) for adjunctive treatment of patients with MDD. There were 102 patients enrolled, each with MDD not responding adequately to SSRIs and SNRIs. The primary endpoint was all cause discontinuation of therapy over 6 months. Mood improvement, measured using the MADRS, and safety and tolerability were evaluated. The primary intent of this exploratory trial was to generate data to assist with the planning of Phase 3 studies; it was not powered to detect statistical significance. Quetiapine XR was used as a comparator, because it is the only medication approved for the adjunctive treatment of MDD in both the U.S. and Europe.</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May 2019 we announced positive top-line results from a Phase 2b trial of seltorexant as adjunctive therapy to antidepressants in adult patients with MDD who have responded inadequately to antidepressant therapy, including selective serotonin reuptake inhibitors (“SSRIs”) and/or serotonin-norepinephrine reuptake inhibitors (“SNRIs”). We believe these results represent the first clinical observation in a large, late-stage study that a selective orexin molecule can achieve a positive effect as an adjunctive treatment in patients with MDD who have an inadequate response to SSRIs and SNRIs. We believe these findings, if confirmed in Phase 3 studies, will suggest a novel approach to treating MDD with an improved safety profile compared to existing therapies. Approximately 60%-70% of patients diagnosed and treated with first-line therapies, including SSRIs and/or SNRIs, do not experience adequate treatment response, and seltorexant potentially represents a unique opportunity to improve treatment response rates safely in most of these patients.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MIN-301</w:t>
      </w:r>
    </w:p>
    <w:p>
      <w:pPr>
        <w:spacing w:after="0" w:line="22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We have exclusive rights to develop and commercialize MIN-301, a soluble recombinant form of the Neuregulin-1b1 (“NRG-1b1”), protein, for the treatment of Parkinson’s disease and potentially for other neurodegenerative disorders. We believe MIN-301 has the potential to slow the onset of, and restore the brain tissue damage caused by, the disease. MIN-301 is produced by recombinant technology, which is a type of process that modifies the genetics of a biological organism to cause it to produce a particular product. MIN-301 is a peptide that contains the extracellular domain of the human neureglin-1 beta 1 protein and is produced using an Escherichia coli organism that is genetically engineered to express this peptide. Once administrated, this peptide binds to a particular receptor, ErbB4, which produces certain biological effects. For instance, binding to ErbB4 modulates the levels of certain neurotransmitters such as Gamma-Aminobutyric Acid (“GABA”) and glutamate in the brain, which are often unbalanced in individuals with Parkinson’s disease. Further, ErbB4 promotes oxygenation and metabolism of neurons and it is involved in the control of brain inflammation, which may indicate that MIN-301 could reverse the damage caused by Parkinson’s disease.</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Current treatments for Parkinson’s disease improve the symptoms of patients, but none have been proven to delay the onset of the disease, slow or prevent the progression of the disease or reverse its effects. Due to MIN-301’s novel mechanism of action that targets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1" w:name="page12"/>
    <w:bookmarkEnd w:id="11"/>
    <w:p>
      <w:pPr>
        <w:ind w:right="540"/>
        <w:spacing w:after="0" w:line="277" w:lineRule="auto"/>
        <w:rPr>
          <w:sz w:val="20"/>
          <w:szCs w:val="20"/>
          <w:color w:val="auto"/>
        </w:rPr>
      </w:pPr>
      <w:r>
        <w:rPr>
          <w:rFonts w:ascii="Arial" w:cs="Arial" w:eastAsia="Arial" w:hAnsi="Arial"/>
          <w:sz w:val="18"/>
          <w:szCs w:val="18"/>
          <w:color w:val="auto"/>
        </w:rPr>
        <w:t>neurological deficits, we believe MIN-301 has the potential to address these unmet needs of patients and, if approved, may be used as an early-stage monotherapy as well as a complementary therapy to existing treatments.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Non-clinical Development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Results from a non-human primate study showed that treatment with an analog of MIN-301 resulted in improvements in a range of symptoms associated with a Parkinson’s disease model in primates. The results confirmed the beneficial effects of MIN-301 in non-primate pre-clinical models. We believe these data provide support for advancing MIN-301 into clinical trials for the treatment of Parkinson’s disease in humans.</w:t>
      </w:r>
    </w:p>
    <w:p>
      <w:pPr>
        <w:spacing w:after="0" w:line="184"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Optimization of the bioanalytical method was accomplished during 2020 following the completion of a rat pharmacokinetic study. The new bioanalytical method facilitates the detection of MIN-301 concentrations at very low levels which we believe may enable further non-clinical testing of this compound.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MIN-301 In-process Research and Development Asset</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2021 we focused our resources on moving forward our lead drug candidate roluperidone and deferred the future development of MIN-301 until additional resources become available. As a result of our limited resources and development deferral combined with the overall market conditions, we have recognized a non-cash charge of $15.2 million as of December 31, 2021 related to the impairment of the intangible asset for MIN-301. We had previously recognized in-process research and development for MIN-301 in conjunction with the acquisition of MIN-301 during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 Competition in the Pharmaceutical Market for the Treatment of Schizophrenia</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Current drug therapies for the treatment of schizophrenia mainly target the positive symptoms of the disease. When patients present positive symptoms and require treatment, they are typically given either conventional “first-generation” antipsychotic medication, such as GlaxoSmithKline’s Thorazine Sanofi-Aventis’ Largactil (chlorpromazine) and Janssen’s Haldol (haloperidol), or second-generation “atypical antipsychotics,” such as Novartis’ Clozaril (clozapine), Janssen’s Risperdal (risperidone), AstraZeneca’s Seroquel (quetiapine), Eli Lilly’s Zyprexa (olanzapine) and Bristol-Myers Squibb’s Abilify (aripiprazole).</w:t>
      </w:r>
    </w:p>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Both types of existing therapies have limited ability to improve negative symptoms and cognitive symptoms. In addition, existing therapies have extensive side effects such as weight gain, metabolic syndrome, sedation, nausea, movement disorders, restlessness, insomnia, impairment of cognitive skills, and prolactin increase. Since schizophrenia has a wide range of symptoms, multiple therapeutics are often prescribed in an attempt to address all aspects of the disease, compounding these side effects.</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Given the focus of currently approved drug therapies for positive symptoms and their side effect profiles, we believe these therapies are unlikely to be directly competitive with roluperidone, which is intended to target primarily negative symptoms. However, new drug therapies in addition to roluperidone are being developed to address the limitations of current therapies. Several new pharmacological approaches have been investigated. One targets a neurotransmitter called glutamate and the other targets a neurotransmitter called nicotine. Glutamate is the most predominant neurotransmitter system in maintaining the brain in an active state and is involved in maintaining accurate vigilance, attention and contributing to some cognitive skills. Nicotine is among the most predominant neurotransmitter system involved in learning and some other cognitive skills.</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Specific compounds under late-stage development that include negative symptoms as a target include Acadia Pharmaceuticals’ pimavanserin, a selective serotonin 5HT</w:t>
      </w:r>
      <w:r>
        <w:rPr>
          <w:rFonts w:ascii="Arial" w:cs="Arial" w:eastAsia="Arial" w:hAnsi="Arial"/>
          <w:sz w:val="14"/>
          <w:szCs w:val="14"/>
          <w:color w:val="auto"/>
        </w:rPr>
        <w:t>2A</w:t>
      </w:r>
      <w:r>
        <w:rPr>
          <w:rFonts w:ascii="Arial" w:cs="Arial" w:eastAsia="Arial" w:hAnsi="Arial"/>
          <w:sz w:val="17"/>
          <w:szCs w:val="17"/>
          <w:color w:val="auto"/>
        </w:rPr>
        <w:t xml:space="preserve"> inverse agonist (“SSIA”) that is approved for the treatment of hallucinations and delusions associated with Parkinson’s disease psychosis. A Phase 3 trial to evaluate the efficacy and safety of pimavanserin as adjunctive treatment for the negative symptoms of schizophrenia was initiated in August 2020. In January 2019, Lundbeck indicated they would begin proof-of-concept studies for Lu AF11167, a PDE-10 inhibitor for the treatment of persistent negative symptoms in schizophrenia. In August 2020, Lundbeck announced they were discontinuing the trial based on the results of a futility interim analysis, which concluded that the trial was unlikely to achieve statistical significance on its primary endpoint, mean change from baseline to week 12 on the Brief Negative Symptom Scale (BNSS).</w:t>
      </w:r>
    </w:p>
    <w:p>
      <w:pPr>
        <w:spacing w:after="0" w:line="17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Other products in clinical development, as a monotherapy or as an adjunctive treatment, whose targets include negative symptoms, (although not necessarily defined as a primary outcome of their clinical trials) are Roche’s RO6889450/RG-7906, Neurocrine’s NBI-1065844 (formerly Takeda’s TAK-831), SyneuRx’s NaBen, Avanir Pharmaceuticals’ AVP-786, and Karuna Therapeutics’ KarXT. In addition, a number of academic groups are conducting studies with existing compounds for the treatment of negative symptoms of schizophrenia.</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MIN-301: Competition in the Pharmaceutical Market for the Treatment of Parkinson’s Disease</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Current treatments for Parkinson’s disease are intended to improve the symptoms of patients. The cornerstone of Parkinson’s therapy is levodopa, as it is the most effective therapy for reducing symptoms of Parkinson’s disease. However, levodopa may cause unpleasant systemic side effects, such as dyskinesias, and is often used with dopaminergics to manage these side effects. While initially effective, symptoms become increasingly difficult to control over time, and patients experience a pattern of motor complications that include motor fluctuations, dyskinesias, off-period dystonia, freezing and falls. Accordingly, there are advantages to deferring their use to later stages of the disease, or using them with other therapies to reduce the side effects of motor fluctuations and dyskinesia that 50% of levodopa patients experience.</w:t>
      </w:r>
    </w:p>
    <w:p>
      <w:pPr>
        <w:spacing w:after="0" w:line="17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Unlike currently available therapies, MIN-301, if approved, is intended to delay the onset of the disease, slow or prevent the progression of the disease or reverse its effects. Since MIN-301 is expected to target Parkinson’s disease, rather than merely its symptoms, and current therapies are not fully effective at improving the symptoms of Parkinson’s disease without side effects, we believe that levodopa and other currently available generic products may not be directly competitive with MIN-301. While there are other drug therapies in development that will target the disease, such as gene and stem cell therapy and A2A receptor agonists, the majority of products in development for disease modifying treatments of Parkinson’s disease are still in early-stage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strive to protect the proprietary products and technologies that we believe are important to our business, including seeking and maintaining patent protection intended to cover the composition of our product candidates, their methods of use, related technology and other inventions that are important to our business. We also rely on trade secrets and careful monitoring of our proprietary information to protect aspects of our business that are not amenable to, or that we do not consider appropriate for, patent protection.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patent portfolios for our product candidates, which we own or are exclusively licensed to us, are summarized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Compound</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Minerva owns numerous granted patents and patent applications worldwide that provide strong protection for roluperidone. These include patents and applications directed to pharmaceutical compositions comprising roluperidone and methods of using roluperidone.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Compositions</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own four granted U.S. patents, U.S. Patent Nos. 9,458,130, 9,730,920, 10,258,614 and 10,799,493, and patents in Australia, Chile, Colombia, Europe, Israel, Mexico, and Ukraine, as well as pending applications in the U.S., Australia, Brazil, Canada, Chile, Eurasia, Europe, Israel, New Zealand, Peru, Ukraine, and South Africa that cover a novel formulation comprising roluperidone. This novel formulation provides improved therapeutic response and minimizes the potential for transient QTc increases – and thus safety issues - when compared to previous formulations. Because of this improved safety profile, it is this formulation of roluperidone that is being used in Phase 3 clinical trials, and it is this formulation that we expect will be the basis for approval in the US and EU. The granted U.S. patents, as well as any other U.S. or foreign patents that may grant from these applications, will expire no earlier than November 30, 2035. These patents are listable in the FDA's Orange Book and would, we believe, bar generic competition during their terms. In addition to the patent terms referenced above, a patent term extension of up to 5 years may also be available.</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also own pending applications in the U.S., Australia, Brazil, Canada, Chile, Colombia, Europe, Israel, Mexico, New Zealand, Peru, Russia, Ukraine, and South Africa that cover gastro-resistant, controlled release dosage formulations of roluperidone. The terms of any future granted patents in this patent family would expire no earlier than June 21, 2038.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Methods of Use</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own U.S. Patent No. 9,732,059, three granted patents in Russia, a single patent in Canada, and a single patent in a number of European territories (Austria, Belgium, Denmark, Finland, France, Germany, Greece, Ireland, Italy, Luxembourg, Netherlands, Norway, Poland, Portugal, Spain, Sweden, Switzerland, Turkey, United Kingdom, Anguilla, Bermuda, Cayman Islands, Gibraltar, Jersey, Turks &amp; Caicos Islands, and British Virgin Islands), as well as pending applications in United States, Brazil, Canada, Europe, and Russia across two patent families that are directed to methods of use of roluperidone to treat negative and other symptoms of schizophrenia, sleep disorders, depression, and other sigma-2 disorders or conditions. U.S. Patent No. 9,732,059 covers the use of roluperidone to treat one or more negative symptoms of schizophrenia and will not expire until 2033. This patent is listable in the FDA's Orange Book and would, we believe, bar generic competition during its term. A patent term extension of up to 5 years may also</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3" w:name="page14"/>
    <w:bookmarkEnd w:id="13"/>
    <w:p>
      <w:pPr>
        <w:ind w:right="300"/>
        <w:spacing w:after="0" w:line="277" w:lineRule="auto"/>
        <w:rPr>
          <w:sz w:val="20"/>
          <w:szCs w:val="20"/>
          <w:color w:val="auto"/>
        </w:rPr>
      </w:pPr>
      <w:r>
        <w:rPr>
          <w:rFonts w:ascii="Arial" w:cs="Arial" w:eastAsia="Arial" w:hAnsi="Arial"/>
          <w:sz w:val="18"/>
          <w:szCs w:val="18"/>
          <w:color w:val="auto"/>
        </w:rPr>
        <w:t>be available. The foreign patents, as well as any future U.S. or foreign patents granting in these families, are scheduled to expire no earlier than July 20, 2031.</w:t>
      </w:r>
    </w:p>
    <w:p>
      <w:pPr>
        <w:spacing w:after="0" w:line="17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also own U.S. and EP patent applications directed to the use of roluperidone to treat negative symptoms in non-schizophrenic patients. Any patents granting from these applications would expire no earlier than May 23, 2037.</w:t>
      </w:r>
    </w:p>
    <w:p>
      <w:pPr>
        <w:spacing w:after="0" w:line="17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we own a U.S. patent and pending applications in the U.S., Australia, Brazil, Canada, Chile, Europe, Israel, Mexico, New Zealand, Russia, Ukraine, United Kingdom, and South Africa directed to the use of roluperidone to treat negative symptoms, various disorders (including autism disorders, amblyopia, personality disorders, traumatic brain injury), as well as increasing neuroplasticity and promoting neuroprotection in subjects in need thereof. The U.S. Patent and any future U.S. or foreign patents granting from these applications would expire no earlier than August 21, 2039.</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own a patent family that is directed to the use of MIN-301 for treating neurologic and psychiatric diseases, including Parkinson’s disease. This patent family includes patents granted in the U.S., Australia, Brazil, Canada, Europe (Austria, Belgium, Denmark, France, Germany, Greece, Ireland, Italy, Netherlands, Norway, Portugal, Spain, Sweden, Switzerland, Turkey and United Kingdom), Japan, Mexico and Russia. Applications are also pending in the United States and Brazil. Any existing and future granted patents in this family will expire no earlier than November 17, 2028. A patent term extension of up to five years may be available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Sigma Ligands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own U.S. and PCT applications directed to sigma ligand compounds and their potential use in treating a variety of diseases and disorders, including pain disorders, CNS disorders (e.g., Parkinson’s disease and Alzheimer’s disease), viruses, and cancer. Any patents granting from the U.S. application, or any national phase applications that may be filed based upon the PCT application, would expire no earlier than August 12, 2041. A patent term extension of up to five years may be available in the United States.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and Marketing Exclusivity</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to patent protection, our product candidates may also be eligible for data and marketing exclusivity protection in the U.S., EU and certain other countries. If this protection is available, no competitor may use the data in our marketing application to obtain marketing approval of a generic product during the exclusivity period.</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small molecules, such as roluperidone, the data and marketing exclusivity period is generally five years in the U.S. and ten years in the EU, measured from the FDA and EU approval dates, respectively. If MIN-301 is approved as a biologic product, it may be eligible for a data and marketing exclusivity period of twelve years in the U.S. and ten years in the EU. The data and marketing exclusivity periods in the U.S. may be extended by 6 months of pediatric exclusivity if a qualifying pediatric study is performed or in the EU by 12 months if approval for a new indication is obtained during the initial 8 year data exclusivity period and there are no existing therapies for that indication, or there are existing therapies for that indication, but there is a significant clinical benefit to using the drug for which the extra market protection is sought.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manufacturing of our product candidates for pre-clinical and clinical testing, as well as for commercial manufacturing if our product candidates receive marketing approval. Our product candidates are manufactured in reliable and reproducible synthetic processes from readily available starting materials. The chemistry does not require unusual equipment in the manufacturing process. We expect to continue to develop product candidates that can be produced cost-effectively at contract manufacturing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22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Except for most of Asia, we have global commercialization rights for roluperidone. We also own worldwide rights for MIN-301. We believe that it will be possible for us to access European and, in the case of roluperidone and MIN-301, other priority markets including the United States, Asia, and Latin America, through a focused, specialized sales force where the population dynamics would prove efficient. We may enter into sales, distribution or other marketing arrangements with third parties for priority markets or limited to certain territories for any of our drug candidates that obtain marketing approval.</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either alone or through collaborations with third parties, in the United States, EU and Latin America to sell our product candidates. We believe that such an organization will be able to target the community of physicians who are the key specialists in treating the patient populations for which our product candidates are being developed. Additionally, we plan to engage fully with all key constituencies involved in treatment decisions, including payors, patients and others.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 and Marketing Authorization in the European Union</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Pursuant to the EU Clinical Trials Directive 2001/20/EC a clinical trial application (“CTA”), had to be submitted to the competent national regulatory authority and to independent ethics committees in each member state in which we intended to conduct clinical trials. In 2014, a new Clinical Trials Regulation 536/2014, replacing the current Directive, was adopted. The new Regulation is directly applicable in all EU Member States (without national implementation) and entered into application on 31 January 2022. The new Regulation seeks to simplify and streamline the approval of clinical trials in the European Union. Pursuant to the Regulation, the sponsor shall submit a single application for approval of a clinical trial via the EMA's Clinical Trials Information System (“CTIS”), which will cover all regulatory and ethics assessments from the member states concerned. Any submissions made from January 31, 2023 onwards must be made through CTIS and all trials authorized pursuant to the Directive that are still ongoing on January 31, 2025 must be made through CTIS. Once the CTA is approved in accordance with a member state's requirements, clinical trial development may proceed. Approval and monitoring of clinical trials in the European Union is, as it was under the Directive, the responsibility of individual member states, but compared to the position prior to the applicability of the Clinical Trials Regulation there is likely to be more collaboration, information-sharing, and decision-making between member states.</w:t>
      </w:r>
    </w:p>
    <w:p>
      <w:pPr>
        <w:spacing w:after="0" w:line="18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There are strict requirements in relation to the labeling and packaging of our product candidates, the verification of compliance with the provisions on good clinical and manufacturing practice and the notification of adverse events and serious adverse reactions. Any substantial changes to the trial protocol or other information submitted with the clinical trial applications must be notified to or approved by the relevant competent authorities and ethics committees. In all cases, the clinical trials must be conducted in accordance with good clinical practices and other applicable regulatory requirements and medicines used in clinical trials must be manufactured in accordance with good manufacturing practices. A clinical trial may only be undertaken subject to certain conditions. The relevant ethics committee must give its opinion, before a clinical trial commences, on any issue requested.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Under European Union regulatory systems, a company may not market a medicinal product without a marketing authorization for such product.</w:t>
      </w:r>
    </w:p>
    <w:p>
      <w:pPr>
        <w:spacing w:after="0" w:line="2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There are four procedures for submitting a Marketing Authorization Application (“MAA”), in the EU: (i) the national procedure, (ii) the mutual recognition procedure (“MRP”); (iii) the decentralized (“DCP”) and (iv) the centralized procedure (“CP”). The submission strategy for a given product will depend on the nature of the product, the target indication(s), the history of the product, and the marketing plan. The centralized procedure is compulsory for certain medicinal products which are produced by biotechnology processes, advanced therapy medicinal products and for those which are designated as orphan medicinal products. Besides the products falling under the mandatory scope, the centralized procedure is also optional for medicinal products that constitute a significant therapeutic, scientific or technical innovation i.e. new active substances or other medicinal products that constitute a significant therapeutic, scientific or technical innovation that contain an active substance not authorized in the European Union before May 20, 2004 or for which a centralized procedure would be in the interest of patients. The vast majority of new, innovative medicines are authorized under the centralized procedure.</w:t>
      </w:r>
    </w:p>
    <w:p>
      <w:pPr>
        <w:spacing w:after="0" w:line="16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centralized procedure leads to approval of the product in all 27 EU Member States and in Norway, Iceland and Liechtenstein, collectively referred to herein as the EEA. Submission of one MAA thus leads to one assessment process and one authorization that allows access to the market of the entire EEA. The process of the centralized procedure is triggered when the applicant submits an MAA to the EMA. The letter of intent also initiates the assignment of the Rapporteur and Co-Rapporteur, who are the two appointed members of the Committee for Human Medicinal Products (“CHMP”), representing two EU Member States. Under the centralized procedure, the maximum timeframe for the evaluation of an MAA by the EMA is 210 days. This excludes so-called clock stops, during which additional written or oral information is to be provided by the applicant in response to questions asked by the CHMP. At the end of the review period, the CHMP provides an opinion to the European Commission. If this is opinion favorable, the Commission may then adopt a decision to grant a marketing authorization. In exceptional cases, the CHMP might perform an accelerated review of an MAA in no more than 150 days (excluding clock stops). This is usually when the product is of major interest from the point of view of public health and, in particular, from the viewpoint of therapeutic innovation.</w:t>
      </w:r>
    </w:p>
    <w:p>
      <w:pPr>
        <w:spacing w:after="0" w:line="18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When using the MRP or DCP, the applicant must select which and how many EU Member States in which to seek approval. In the case of an MRP, the applicant must initially receive national approval in one EU Member State. This will be the so-called reference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member state (“RMS”), for the MRP. Then, the applicant seeks approval for the product in other EU Member States, the so-called concerned member states (“CMS”), in a second step: the mutual recognition process. For the DCP, the applicant will approach all chosen member states at the same time. To do so, the applicant will identify the RMS that will assess the submitted MAA and provide the other selected member states with the conclusions and results of the assessment.</w:t>
      </w:r>
    </w:p>
    <w:p>
      <w:pPr>
        <w:spacing w:after="0" w:line="18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European Union medicines rules expressly permit the EU Member States to adopt national legislation prohibiting or restricting the sale, supply or use of any medicinal product containing, consisting of or derived from a specific type of human or animal cell, such as embryonic stem cells. While the products we have in development do not make use of embryonic stem cells, it is possible that the national laws in certain EU Member States may prohibit or restrict us from commercializing our products, even if they have been granted an EU marketing authorization.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 innovator company enjoys a period of “data exclusivity” during which their pre-clinical and clinical trials data may not be referenced in the regulatory filings of another company (typically a generic company) for the same drug substance.</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Data exclusivity in the EEA is 8 years from the date of first authorization in the EEA with an additional period of 2 years of “market exclusivity.” This is the period of time during which a generic company may not market an equivalent generic version of the originator’s pharmaceutical product. An additional 1 year may be obtained where the innovator company is granted a marketing authorization within the above 8-year period for a significant new indication for the relevant medicinal product.</w:t>
      </w:r>
    </w:p>
    <w:p>
      <w:pPr>
        <w:spacing w:after="0" w:line="18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Pediatric Regulation provides that an application for a new marketing authorization must include the results of all trials performed and details of all information collected in compliance with an agreed pediatric investigation plan (“PIP”), unless a deferral or waiver applies on the basis that pediatric use is not relevant. The requirement can be deferred by agreement.</w:t>
      </w:r>
    </w:p>
    <w:p>
      <w:pPr>
        <w:spacing w:after="0" w:line="18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When the application for marketing authorization is made, the competent authority responsible for granting a marketing authorization must verify whether the application complies with the relevant requirements, including compliance with the agreed PIP. Assuming it does, the marketing authorization may be granted and the relevant results are included in the summary of product characteristics (“SmPC”), for the product, along with a statement indicating compliance with the agreed PIP. If the applicant has an SPC where such SPC relates to the medicinal product for children for which data has been submitted according to a PIP, a six month extension of such SPC is available. It is not necessary for the product actually to be indicated for use in the pediatric population (for example, if the results show that that would not be appropriate).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Approval Process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United States, pharmaceutical products are subject to extensive regulation by the FDA. The Federal Food, Drug, and Cosmetic Act (“FDCA”), and other federal and state statutes and regulations, govern, among other things, the research, development, testing, manufacture, packaging, storage, recordkeeping, approval, labeling, advertising, promotion and marketing, distribution, post-approval monitoring and reporting, sampling, and import and export of pharmaceutical products. MIN-301, a peptide, may be regulated as a biologic and additionally subject to the Public Health Service Act. Failure to comply with applicable U.S. requirements may subject a company to a variety of administrative or judicial sanctions, such as FDA refusal to allow pending Investigational New Drug Applications (“INDs”), and approve NDAs, withdrawal of a marketing approval, imposition of clinical holds or termination of clinical trials, or issuance of Warning or Untitled Letters, product recalls, product seizures, refusal to allow imports or exports total or partial suspension of production or distribution, debarment, injunctions, fines, refusal of government contracts, exclusion from participation in federal and state healthcare programs, restitution, disgorgement, civil penalties and criminal prosecution, including criminal fines and imprisonment.</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FDA approval is required before any new unapproved drug or dosage form, including a new use of a previously approved drug, can be marketed in the United States. Pharmaceutical product development in the United States typically involves, among other things, pre-clinical laboratory and animal tests, the submission to the FDA of an IND, which must become effective before clinical testing may commence, and adequate and well-controlled clinical trials to establish the safety and effectiveness of the drug for each indication for which FDA approval is sought. Satisfaction of FDA pre-market approval requirements typically takes many years and significant financial investment, and the actual time and cost required may vary substantially based upon the type, complexity and novelty of the product or disease indicated for treatment.</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Pre-clinical tests include laboratory evaluation of product chemistry, pharmacology, stability,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any available clinical data or literature, and a proposed clinical trial protocol, among other items. Certain pre-clinical tests, such as animal tests of reproductive toxicity and carcinogenicity, may be conducted after the IND is submitted. A 30-day waiting</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6" w:name="page17"/>
    <w:bookmarkEnd w:id="16"/>
    <w:p>
      <w:pPr>
        <w:ind w:right="60"/>
        <w:spacing w:after="0" w:line="263" w:lineRule="auto"/>
        <w:rPr>
          <w:sz w:val="20"/>
          <w:szCs w:val="20"/>
          <w:color w:val="auto"/>
        </w:rPr>
      </w:pPr>
      <w:r>
        <w:rPr>
          <w:rFonts w:ascii="Arial" w:cs="Arial" w:eastAsia="Arial" w:hAnsi="Arial"/>
          <w:sz w:val="18"/>
          <w:szCs w:val="18"/>
          <w:color w:val="auto"/>
        </w:rPr>
        <w:t>period after the submission of each IND is required prior to the commencement of clinical testing in humans. If the FDA has not placed a clinical hold on the IND within this 30-day period, the clinical trial proposed in the IND may begin. Should FDA place a clinical hold on the IND, the IND sponsor and the FDA must resolve any outstanding concerns before the clinical trial may begin.</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Clinical trials involve the administration of the investigational new drug to human subjects under the supervision of a qualified investigator. Clinical trials must be conducted in compliance with federal regulations, good clinical practices (“GCP”), which include the ethical principles that all research subjects provide their informed consent in writing for their participation in any clinical trial, and that all trials be approved and monitored on an ongoing basis by an institutional review board (“IRB”). Clinical trials must also be conducted under protocols detailing the objectives of the trial, trial procedures, the parameters to be used in monitoring safety and the effectiveness criteria to be evaluated, and a statistical analysis plan. Each protocol involving testing in U.S. subjects and subsequent protocol amendments must be submitted to the FDA as part of the IND. The study protocol and informed consent information for subjects in clinical trials, along with all amendments, must also be submitted to an IRB for approval.</w:t>
      </w:r>
    </w:p>
    <w:p>
      <w:pPr>
        <w:spacing w:after="0" w:line="1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subjects with the target disease or condition, the drug is tested to assess safety, metabolism, pharmacokinetics, pharmacological actions, side effects associated with increasing doses and, if possible, early evidence of effectiveness. Phase 2 usually involves trials in a limited subject population with the target disease or condition to evaluate the effectiveness of the drug for a particular indication or indications, dosage tolerance and optimum dosage, and identify possible adverse effects and safety risks. If a compound demonstrates evidence of effectiveness and an acceptable safety profile in Phase 2 evaluations, generally two adequate and well-controlled Phase 3 trials are undertaken to obtain additional information about clinical efficacy and safety in a larger number of subjects, typically at geographically dispersed clinical trial sites, to establish the overall benefit-risk relationship of the drug and to provide adequate information for the labeling of the drug. In some cases, the FDA may condition approval on the sponsor’s agreement to conduct additional clinical trials to further assess the drug’s safety and effectiveness after approval. Such post-approval trials are typically referred to as Phase 4 trials. Progress reports detailing the results of the clinical trials must be submitted at least annually to the FDA and more frequently if serious adverse events occur. Information about certain clinical trials, including a description of the study and study results must also be submitted within specific timeframes to the National Institutes of Health (“NIH”), for public dissemination on their clinicaltrials.gov website.</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manufacture of investigational drugs for the conduct of human clinical trials is subject to the Current Good Manufacturing Practices (“cGMPs”). Investigational drugs and active pharmaceutical ingredients imported into the United States are also subject to regulation by FDA relating to their labeling and distribution. Further, the export of investigational drug products outside of the United States is subject to regulatory requirements of the receiving country as well as United States export requirements.</w:t>
      </w:r>
    </w:p>
    <w:p>
      <w:pPr>
        <w:spacing w:after="0" w:line="18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FDA may suspend or terminate a clinical trial, or impose other sanctions, at any time on various grounds, including a finding that the research subjects are being exposed to an unacceptable health risk or if it believes that the clinical trials are not being conducted in accordance with FDA requirements. Similarly, an IRB can suspend or terminate approval of a clinical trial at its institution if the clinical trial is not being conducted in accordance with the IRB’s requirements or if the drug has been associated with unexpected serious harm to subjects, or may impose other conditions on the conduct of the research. Additionally, some clinical trials are overseen by an independent group of qualified experts organized by the clinical trial sponsor, known as a data safety monitoring board or committee. This group regularly reviews accumulated data and advises the study sponsor regarding the continuing safety of trial subjects, potential trial subjects, and the continuing validity and scientific merit of the clinical trial. Sponsors may also suspend or terminate a clinical trial based on safety concerns, a lack of evidence of drug efficacy, evolving business objectives and/or competitive climate.</w:t>
      </w:r>
    </w:p>
    <w:p>
      <w:pPr>
        <w:spacing w:after="0" w:line="16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and proposed labeling, among other things. Under federal law, the submission of most marketing applications is subject to a substantial application user fee, and the sponsor of an approved application is also subject to annual program fees.</w:t>
      </w:r>
    </w:p>
    <w:p>
      <w:pPr>
        <w:spacing w:after="0" w:line="188"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addition, under the Pediatric Research Equity Act (“PREA”), a marketing application or supplement to a marketing application for a new active ingredient, indication, dosage form, dosage regimen or route of administration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6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FDA also may require submission of a risk evaluation and mitigation strategy (“REMS”), either during the application process or after the approval of the drug to mitigate any identified or suspected serious risks, and to identify any new risks that were not apparent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ind w:right="100"/>
        <w:spacing w:after="0" w:line="277" w:lineRule="auto"/>
        <w:rPr>
          <w:sz w:val="20"/>
          <w:szCs w:val="20"/>
          <w:color w:val="auto"/>
        </w:rPr>
      </w:pPr>
      <w:r>
        <w:rPr>
          <w:rFonts w:ascii="Arial" w:cs="Arial" w:eastAsia="Arial" w:hAnsi="Arial"/>
          <w:sz w:val="18"/>
          <w:szCs w:val="18"/>
          <w:color w:val="auto"/>
        </w:rPr>
        <w:t>in clinical investigations. The REMS plan could include medication guides, physician communication plans, assessment plans, and elements to assure safe use, such as restricted distribution methods, patient registries or other risk minimization tools.</w:t>
      </w:r>
    </w:p>
    <w:p>
      <w:pPr>
        <w:spacing w:after="0" w:line="17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FDA has 60 days from its receipt of an NDA to determine whether the application will be accepted for filing based on the agency’s threshold determination that it is sufficiently complete to permit substantive review. Once the submission is accepted for filing, the FDA begins an in-depth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Under the Prescription Drug User Fee Act the FDA has agreed to certain performance goals in the review of NDAs. The FDA has a goal of reviewing ninety percent of applications for non-priority drug products within 10 months of the FDA’s acceptance of the full application for filing. The review process may be extended by the FDA under certain circumstances.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Under the FDCA and FDA guidance, before approving a drug for which no active ingredient (including any ester or salt of the active ingredients) has previously been approved by the FDA or a first-of-a-kind, first-in-class biologic, FDA must either refer that drug to an external advisory committee or provide in an action letter, a summary of the reasons why FDA did not refer the drug to an advisory committee. The external advisory committee review may also be required for other drugs because of certain other issues, including clinical trial design, safety and effectiveness, and public health questions. An advisory committee is a panel of independent experts, including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w:t>
      </w:r>
    </w:p>
    <w:p>
      <w:pPr>
        <w:spacing w:after="0" w:line="17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Additionally, the FDA will inspect the facility or the facilities at which the drug is manufactured. The FDA will not approve the product unless the facility, and all of its subcontractors and contract manufacturers, demonstrate compliance with cGMPs, and provide adequate assurance that they can consistently produce the product within required specifications, and the NDA contains data that provides substantial evidence that the drug is safe and effective for the indication sought in the proposed labeling. Additionally, the FDA will typically inspect one or more clinical trial sites to assure compliance with GCPs before approving a marketing application. After the FDA evaluates the marketing application and the manufacturing facilities, it may issue an approval letter, or a complete response letter. A complete response letter generally outlines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those deficiencies have been addressed to the FDA’s satisfaction in a resubmission of the NDA, the FDA may issue an approval letter.</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An approval letter authorizes commercial marketing of the drug with specific prescribing information for specific indications. As a condition of NDA approval, the FDA may require substantial post-approval testing and surveillance to monitor the drug’s safety or efficacy and may impose other conditions, including labeling restrictions, limitations on the approved indications, contraindications, warnings or precautions, such as black boxed warnings, distribution restrictions or other risk-management mechanisms under a REMS which can materially affect the potential market and profitability of the drug. The FDA may prevent or limit further marketing of a product based on the results of post-marketing trials or surveillance programs. Further, if there are any modifications to the drug, including changes in indications, labeling, manufacturing processes or facilities, or new safety issues arise, a new or supplemental NDA or a post-implementation notification or other report may be required or requested depending on the change, which may require additional data or additional pre-clinical studies and clinical trials. Once granted, product approvals may be withdrawn if compliance with regulatory standards is not maintained or problems are identified following initial marketing.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and drug shortages. After approval, most changes to the approved product, such as adding new indications, manufacturing changes or other labeling claims, are subject to further testing requirements and prior FDA review and approval.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drug manufacturers and other entities involved in the manufacture and distribution of approved drugs are subject to periodic announced and unannounced inspections by the FDA and these state agencies for compliance with cGMP and other regulatory requirements. Changes to the manufacturing process are strictly regulated and may require prior FDA approval or notification before being implemented. FDA regulations also require investigation and correction of any deviations from cGMP and impose reporting and documentation requirements upon the sponsor and any third-party manufacturers that the sponsor may decide to use.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8" w:name="page19"/>
    <w:bookmarkEnd w:id="18"/>
    <w:p>
      <w:pPr>
        <w:ind w:right="660"/>
        <w:spacing w:after="0" w:line="277" w:lineRule="auto"/>
        <w:rPr>
          <w:sz w:val="20"/>
          <w:szCs w:val="20"/>
          <w:color w:val="auto"/>
        </w:rPr>
      </w:pPr>
      <w:r>
        <w:rPr>
          <w:rFonts w:ascii="Arial" w:cs="Arial" w:eastAsia="Arial" w:hAnsi="Arial"/>
          <w:sz w:val="18"/>
          <w:szCs w:val="18"/>
          <w:color w:val="auto"/>
        </w:rPr>
        <w:t>Once an approval is granted, the FDA may withdraw the approval if compliance with regulatory requirements and standards is not maintained or if problems occur after the product reaches the market.</w:t>
      </w:r>
    </w:p>
    <w:p>
      <w:pPr>
        <w:spacing w:after="0" w:line="17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trials or clinical trials to assess new safety risks; or imposition of distribution or other restrictions under a REMS program. Other potential consequences include, among other things:</w:t>
      </w:r>
    </w:p>
    <w:p>
      <w:pPr>
        <w:spacing w:after="0" w:line="2"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Untitled Letters, Warning Letters or holds on post-approval clinical trials;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refusal of the FDA to approve pending NDAs or supplements to approved NDAs, or suspension or revocation of product license approvals;</w:t>
      </w:r>
    </w:p>
    <w:p>
      <w:pPr>
        <w:spacing w:after="0" w:line="32" w:lineRule="exact"/>
        <w:rPr>
          <w:rFonts w:ascii="Arial" w:cs="Arial" w:eastAsia="Arial" w:hAnsi="Arial"/>
          <w:sz w:val="16"/>
          <w:szCs w:val="16"/>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administrative civil or criminal penalties, including fines and imprisonment.</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Although physicians, in the practice of medicine, may prescribe approved drugs for unapproved indications if in their professional medical judgment they believe it to be appropriate, pharmaceutical companies may only market and promote their drug products for the FDA approved indications and in accordance with the provisions of the approved label. The FDA and other agencies actively enforce the laws prohibiting the marketing and promotion of off-label uses, and a company that is found to have improperly marketed or promoted off-label uses may be subject to significant liability, including, among others, criminal and civil penalties under the FDCA and False Claims Act, exclusion from participation in federal healthcare programs, and mandatory compliance programs.</w:t>
      </w:r>
    </w:p>
    <w:p>
      <w:pPr>
        <w:spacing w:after="0" w:line="1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Moreover, the Drug Quality and Security Act imposes obligations on manufacturers of pharmaceutical products, among others, related to product and tracking and tracing.</w:t>
      </w:r>
    </w:p>
    <w:p>
      <w:pPr>
        <w:spacing w:after="0" w:line="17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In the European Union, holders of a marketing authorization must establish and maintain a pharmacovigilance system and appoint an individual qualified person for pharmacovigilance (“QPPV”), who is responsible for oversight of that system. Key obligations include expedited reporting of suspected serious adverse reactions and submission of periodic safety update reports (“PSURs”).</w:t>
      </w:r>
    </w:p>
    <w:p>
      <w:pPr>
        <w:spacing w:after="0" w:line="18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All new marketing authorization applications in the European Union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 All advertising and promotional activities for the product must be consistent with the approved summary of product characteristics, and therefore all off-label promotion is prohibited. Direct-to-consumer advertising of prescription only medicines is also prohibited in the European Union. Although general requirements for advertising and promotion of medicinal products are established under EU directives, the details are governed by regulations in each EU Member State and can differ from one country to another.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and State Fraud and Abuse, Data Privacy and Security and Transparency Laws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to FDA restrictions on marketing and promotion of pharmaceutical products, other federal and state healthcare laws restrict business practices in the biopharmaceutical industry. These laws include, without limitation, state and federal anti-kickback and false claims laws, data privacy and security laws, as well as transparency laws regarding payments or other items of value provided to healthcare providers.</w:t>
      </w:r>
    </w:p>
    <w:p>
      <w:pPr>
        <w:spacing w:after="0" w:line="16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federal Anti-Kickback Statute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 of the purchase, lease, or order of any good, facility, item or service for which payment may be made, in whole or in part, under a federal healthcare program, such as the Medicare and Medicaid programs. There are a number of statutory exceptions and regulatory safe harbors protecting some common activities from prosecution, but the exceptions and safe harbors are drawn narrowly and require strict compliance in order to offer protection. Additionally, the intent standard under the federal Anti-Kickback Statute was amended by the Patient Protection and Affordable Care Act, as amended by the Health Care and Education Reconciliation Act of 2010 (collectively, “ACA”), to a stricter standard such that a person or entity does not need to have actual knowledge of the statute or specific intent to violate it in order to have committed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9" w:name="page20"/>
    <w:bookmarkEnd w:id="19"/>
    <w:p>
      <w:pPr>
        <w:ind w:right="660"/>
        <w:spacing w:after="0" w:line="277" w:lineRule="auto"/>
        <w:rPr>
          <w:sz w:val="20"/>
          <w:szCs w:val="20"/>
          <w:color w:val="auto"/>
        </w:rPr>
      </w:pPr>
      <w:r>
        <w:rPr>
          <w:rFonts w:ascii="Arial" w:cs="Arial" w:eastAsia="Arial" w:hAnsi="Arial"/>
          <w:sz w:val="18"/>
          <w:szCs w:val="18"/>
          <w:color w:val="auto"/>
        </w:rPr>
        <w:t>violation. Further, the Affordable Care Act codified case law that a claim including items or services resulting from a violation of the federal Anti-Kickback Statute constitutes a false or fraudulent claim for purposes of the civil False Claims Act.</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federal false claims laws, including the civil False Claims Act, which can be enforced through civil whistleblower or qui tam actions, impose civil and criminal penalties on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 Further, 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Moreover, 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spacing w:after="0" w:line="18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17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Most states also have statutes or regulations similar to the fraud and abuse laws described above, including certain state laws which apply to items and services reimbursed under Medicaid and other state programs, or, in several states, apply regardless of the payor. We may also be subject to state laws governing the privacy and security of health information in certain circumstances, many of which differ from each other in significant ways and often are not preempted by the HIPAA, thus complicating compliance efforts. In addition, we may be subject to reporting requirements under state transparency laws, as well as state laws that require pharmaceutical companies to comply with the industry’s voluntary compliance guidelines and the applicable compliance guidance promulgated by the federal government that otherwise restricts certain payments that may be made to healthcare providers and entities.</w:t>
      </w:r>
    </w:p>
    <w:p>
      <w:pPr>
        <w:spacing w:after="0" w:line="19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our operations are found to be in violation of any of the health regulatory laws described above or any other laws that apply to us, we may be subject to penalties, including potentially significant criminal and civil and/or administrative penalties, damages, fines, disgorgement, individual imprisonment, exclusion from participation in government healthcare programs, contractual damages, reputational harm, administrative burdens,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which could adversely affect our ability to operate our business and our results of operations. To the extent that any of our products are sold in a foreign country, we may be subject to similar foreign laws.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Coverage and Reimbursement</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commercial success of our product candidates and our ability to commercialize any approved product candidates successfully will depend in part on the extent to which governmental authorities, private health insurers and other third-party payors provide coverage for and establish adequate reimbursement levels for our product candidates, once approved.</w:t>
      </w:r>
    </w:p>
    <w:p>
      <w:pPr>
        <w:spacing w:after="0" w:line="18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Government health administration authorities, private health insurers and other third-party payors generally decide which drugs they will pay for and establish reimbursement levels for healthcare. In particular, in the United States, private health insurers and other third-party payors often provide reimbursement for products and services based on the level at which the government (through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0" w:name="page21"/>
    <w:bookmarkEnd w:id="20"/>
    <w:p>
      <w:pPr>
        <w:spacing w:after="0" w:line="253" w:lineRule="auto"/>
        <w:rPr>
          <w:sz w:val="20"/>
          <w:szCs w:val="20"/>
          <w:color w:val="auto"/>
        </w:rPr>
      </w:pPr>
      <w:r>
        <w:rPr>
          <w:rFonts w:ascii="Arial" w:cs="Arial" w:eastAsia="Arial" w:hAnsi="Arial"/>
          <w:sz w:val="18"/>
          <w:szCs w:val="18"/>
          <w:color w:val="auto"/>
        </w:rPr>
        <w:t>Medicare or Medicaid programs) provides reimbursement for such treatments. Sales of our product candidates will therefore depend substantially, both domestically and abroad, on the extent to which the costs of our product candidates will be covered by third-party payors. The market for our product candidates will depend significantly on access to third-party payors’ formularies without prior authorization, step therapy, or other limitations such as approved lists of treatments for which third-party payors provide coverage and reimbursement. Also, third-party payors are developing increasingly sophisticated methods of controlling healthcare costs. Coverage and reimbursement for therapeutic products can differ significantly from payor to payor. A third-party payors’ decision to provide coverage for a medical product or service does not imply that an adequate reimbursement rate will be approved.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with no assurance that adequate coverage and reimbursement will be obtained.</w:t>
      </w:r>
    </w:p>
    <w:p>
      <w:pPr>
        <w:spacing w:after="0" w:line="19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United States, the European Union and other potentially significant markets for our product candidates, government authorities and other third-party payors are developing increasingly sophisticated methods of controlling healthcare costs and are increasingly imposing additional requirements and restrictions on coverage.</w:t>
      </w:r>
    </w:p>
    <w:p>
      <w:pPr>
        <w:spacing w:after="0" w:line="18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Further, the increased emphasis on managed healthcare in the United States and on country and regional pricing and reimbursement controls in the European Union will put additional pressure on product pricing, reimbursement and utilization, which may adversely affect our future product sales and results of operations. These pressures can arise from rules and practices of managed care organizations, competition within therapeutic classes, availability of generic equivalents or biosimilars, judicial decisions and governmental laws related to Medicare, Medicaid and healthcare reform, pharmaceutical coverage and reimbursement policies and pricing in general. The cost containment measures that healthcare payors and providers are instituting and the effect of any healthcare reform implemented in the future could significantly reduce our revenues from the sale of any approved product candidates. We cannot provide any assurances that we will be able to obtain and maintain governmental or private third-party coverage or adequate reimbursement for our product candidates in whole or in part.</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 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U.S. Department of Health and Human Services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Healthcare Reform</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United States and some foreign jurisdictions are considering enacting or have enacted a number of additional legislative and regulatory proposals designed to change the healthcare system in ways that could affect our ability to sell our products profitably.</w:t>
      </w:r>
    </w:p>
    <w:p>
      <w:pPr>
        <w:spacing w:after="0" w:line="17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United States, the pharmaceutical industry has been a particular focus of these efforts and has been significantly affected by major legislative initiatives, including the ACA, which substantially changed healthcare financing and delivery by both governmental and private insurers, and significantly impacted the pharmaceutical industry. The ACA contains provisions that may potentially reduce the profitability of products, including, for example, increased rebates for products sold to Medicaid programs, extension of Medicaid rebates to Medicaid managed care plans, mandatory discounts for certain Medicare Part D beneficiaries and annual fees based on pharmaceutical companies’ share of sales to federal health care programs. There have been executive, judicial and congressional challenges to the ACA, as well as to repeal or replace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such challenges and the healthcare reform measures of the Biden administration will impact the ACA and our business.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1" w:name="page22"/>
    <w:bookmarkEnd w:id="21"/>
    <w:p>
      <w:pPr>
        <w:spacing w:after="0" w:line="286" w:lineRule="auto"/>
        <w:rPr>
          <w:sz w:val="20"/>
          <w:szCs w:val="20"/>
          <w:color w:val="auto"/>
        </w:rPr>
      </w:pPr>
      <w:r>
        <w:rPr>
          <w:rFonts w:ascii="Arial" w:cs="Arial" w:eastAsia="Arial" w:hAnsi="Arial"/>
          <w:sz w:val="17"/>
          <w:szCs w:val="17"/>
          <w:color w:val="auto"/>
        </w:rPr>
        <w:t>Further, Congress is considering additional health reform measures. It is also possible that additional governmental action is taken in response to the COVID-19 pandemic. We expect that healthcare reform measures that may be adopted in the future may result in more rigorous coverage criteria and lower reimbursement, and in additional downward pressure on the price that may be charged for any of our product candidates, if approved.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Foreign Corrupt Practices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December 31, 2021, we had 9 full-time employees. In addition, we are or have engaged with a number of consultants and companies, including Pharma Partnering in Research &amp; Strategy SAS (“PPRS”), that provide expertise in the key functions involved with the development of our products. None of our employees is subject to a collective bargaining agreement and we consider our relationship with our employees to be good.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Talent Acquisition and Development</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believe the skills and experience of our employees are an essential driver of our business and important to our future prospects. We face intense competition for qualified individuals from numerous pharmaceutical and biotechnology companies, universities, governmental entities and other research institutions, and we believe that our future success will depend in part on our continued ability to attract and retain highly skilled employees. To attract qualified applicants and retain our employees, we offer our employees what we believe to be competitive salaries, comprehensive benefit packages, equity compensation awards, and discretionary bonuses based on a combination of seniority, individual performance and corporate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file reports with the Securities and Exchange Commission (“SEC”), including annual reports on Form 10-K, quarterly reports on Form 10-Q, current reports on Form 8-K any other filings required by the SEC. We make available on our website (www.minervaneurosciences.com) our annual report on Form 10-K, quarterly reports on Form 10-Q, current reports on Form 8-K, and all amendments to those reports as soon as reasonably practicable after such material is electronically filed with or furnished to the SEC. These materials are available free of charge on or through our website via the Investor Relations page at www.minervaneurosciences.com. References to our website address in this report are intended to be inactive textual references only, and none of the information contained on our website is part of this report or incorporated in this report by reference.</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SEC maintains an Internet site (http://www.sec.gov) that contains reports, proxy and information statements, and other information regarding issuers that file electronically with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2" w:name="page23"/>
    <w:bookmarkEnd w:id="22"/>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This Annual Report on Form 10-K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the progress and timing of our clinical programs, the safety and efficacy of our product candidates, risks associated with regulatory filings, risks associated with determinations made by regulatory agencies,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70"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We are a clinical development-stage biopharmaceutical company. In November 2013, we merged with Sonkei Pharmaceuticals, Inc. (“Sonkei”), and, in February 2014, we acquired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As an early-stage company, we have limited experience and have not yet demonstrated an ability to successfully overcome many of the risks and uncertainties frequently encountered by companies in new and rapidly evolving fields, particularly the biopharmaceutical area. We have no products approved for commercial sale and have not generated any revenue from product sales to date, and we continue to incur significant research and development and other expenses related to our ongoing operations. Our recent collaborative revenue was due to the recognition of deferred revenue as a result of opting out of an agreement and is not a recurring source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2021, we had an accumulated deficit of $334.7 million.</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expect to continue to incur significant losses for the foreseeable future, and we expect these losses to increase as we continue our research and development of, and seek regulatory approvals for, our product candidates. If any of our product candidates fail in clinical trials or do not gain regulatory approval, or if any of our product candidates, if approved, fail to achieve market acceptance, we may never generate revenue or become profitable. Even if we achieve profitability in the future, we may not be able to sustain profitability in subsequent periods.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stockholders’ equity and working capital.</w:t>
      </w:r>
    </w:p>
    <w:p>
      <w:pPr>
        <w:spacing w:after="0" w:line="177"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46"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Our operations and the historic operations of Sonkei and Mind-NRG have consumed substantial amounts of cash since inception. As of December 31, 2021, we had cash, cash equivalents, and restricted cash of $60.9 million. We believe that our existing cash, cash equivalents, and restricted cash will be sufficient to meet our cash commitments for at least the next 12 months after the date that the year-end condensed financial statements are issued. 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Our future funding requirements, both short and long-term, will depend on many factors, including:</w:t>
      </w:r>
    </w:p>
    <w:p>
      <w:pPr>
        <w:spacing w:after="0" w:line="23" w:lineRule="exact"/>
        <w:rPr>
          <w:sz w:val="20"/>
          <w:szCs w:val="20"/>
          <w:color w:val="auto"/>
        </w:rPr>
      </w:pPr>
    </w:p>
    <w:p>
      <w:pPr>
        <w:ind w:left="1000" w:right="520" w:hanging="493"/>
        <w:spacing w:after="0" w:line="250"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and future product candidates we may develop;</w:t>
      </w:r>
    </w:p>
    <w:p>
      <w:pPr>
        <w:ind w:left="1000" w:right="600" w:hanging="493"/>
        <w:spacing w:after="0" w:line="281" w:lineRule="auto"/>
        <w:tabs>
          <w:tab w:leader="none" w:pos="10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outcome, timing and cost of seeking and obtaining regulatory approvals from the EMA, FDA, and comparable foreign regulatory authorities, including the potential for such authorities to require that we perform more studies than those that we currently expect;</w:t>
      </w:r>
    </w:p>
    <w:p>
      <w:pPr>
        <w:spacing w:after="0" w:line="1" w:lineRule="exact"/>
        <w:rPr>
          <w:rFonts w:ascii="Arial" w:cs="Arial" w:eastAsia="Arial" w:hAnsi="Arial"/>
          <w:sz w:val="16"/>
          <w:szCs w:val="16"/>
          <w:color w:val="auto"/>
        </w:rPr>
      </w:pPr>
    </w:p>
    <w:p>
      <w:pPr>
        <w:ind w:left="1000" w:right="280" w:hanging="493"/>
        <w:spacing w:after="0" w:line="255"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1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23" w:name="page24"/>
    <w:bookmarkEnd w:id="23"/>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acceptance of any approved product candidates;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of acquiring, licensing or investing in additional businesses, products, product candidates and technologies; and</w:t>
      </w:r>
    </w:p>
    <w:p>
      <w:pPr>
        <w:spacing w:after="0" w:line="9" w:lineRule="exact"/>
        <w:rPr>
          <w:rFonts w:ascii="Arial" w:cs="Arial" w:eastAsia="Arial" w:hAnsi="Arial"/>
          <w:sz w:val="18"/>
          <w:szCs w:val="18"/>
          <w:color w:val="auto"/>
        </w:rPr>
      </w:pPr>
    </w:p>
    <w:p>
      <w:pPr>
        <w:ind w:left="1000" w:right="20" w:hanging="493"/>
        <w:spacing w:after="0" w:line="260"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8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When we need to secure additional financing, such additional fundraising efforts may divert our management from our day-to-day activities, which may adversely affect our ability to develop and commercialize our product candidates. In addition, we cannot guarantee that future financing will be available in sufficient amounts or on terms acceptable to us, if at all. If we raise additional equity financing, our stockholders may experience significant dilution of their ownership interests, and the per-share value of our common stock could decline. If we engage in debt financing, we may be required to accept terms that restrict our ability to incur additional indebtedness and force us to maintain specified liquidity or other ratios. Further, the evolving and volatile global economic climate and global financial market conditions could limit our ability to raise funding and otherwise adversely impact our business or those of our collaborators and providers. If we are unable to raise additional capital in sufficient amounts or on terms acceptable to us we may have to significantly delay, scale back or discontinue the development or commercialization of one or more of our product candidates. Any of these events could significantly harm our business, financial condition and prospects.</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are subject to risks and uncertainties as a result of the ongoing COVID-19 pandemic, and could be subject to risks from further health pandemics or epidemics, as well as uncertainty regarding returning to work and re-openings.</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business could be adversely affected by the effects of health pandemics or epidemics, including the ongoing COVID-19 pandemic, which continues to have a negative impact on the local, regional, national and global scale. In response to the pandemic, a number of jurisdictions in which we or our service providers operate implemented shelter-in-place or similar type restrictions, which limited on-site activity to certain service providers. To support the health and well-being of our employees, partners and communities , we implemented work-from-home policies for our employees, which continue to be in effect. While global vaccination efforts are underway and certain jurisdictions, including Massachusetts, where our headquarters are located, have reopened businesses and governmental agencies, there remain limitations on the physical operations of businesses and prohibitions on certain non-essential gatherings, and we are unable to accurately predict the full impact that COVID-19 will have due to numerous uncertainties, including the duration of the outbreak, the result of vaccination efforts, resurgence of the virus including any new variants, actions that may be taken by governmental authorities, the impact on our business including our clinical programs and timelines, and the impact to the business of our service providers and partners. The magnitude of the negative effects of COVID-19 will depend, in part, on the length and severity of the restrictions and other limitations on our ability to conduct our business in the ordinary course, and our ability to respond with minimal disruptions to the evolving restrictions, reopenings, and any future curtailment. These and similar, and perhaps more severe, disruptions in our operations in response to the ongoing COVID-19 pandemic and any future health pandemics or epidemics could negatively impact our business, operating results and financial condition.</w:t>
      </w:r>
    </w:p>
    <w:p>
      <w:pPr>
        <w:spacing w:after="0" w:line="17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our clinical trials may be affected by the COVID-19 pandemic. We may face difficulties enrolling or retaining patients in future clinical trials if patients are affected by the COVID-19 virus or are unable to travel to the clinical trial sites or obtain study medication. Our clinical trials may further be delayed due to prioritization of hospital resources toward the COVID-19 pandemic, and some patients may not be able to comply with clinical trial protocols if quarantines impede patient movement or interrupt healthcare services. Similarly, our ability to recruit and retain principal investigators and site staff who, as healthcare providers, may have heightened exposure to the COVID-19 virus, could be delayed or disrupted, which would adversely impact our clinical trial operations. As a result, we could experience delays in the completion of our trials, which could result in a material adverse impact on our clinical trial plans and timelines.</w:t>
      </w:r>
    </w:p>
    <w:p>
      <w:pPr>
        <w:spacing w:after="0" w:line="19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Furthermore, the COVID-19 pandemic has caused a broad negative impact globally on capital markets and economies worldwide, which could have a negative impact on us economically. While the potential economic impact brought by, and the duration of, the COVID-19 pandemic, may be difficult to assess or predict, it is currently resulting in significant disruption of global financial markets. This disruption, if sustained or recurrent, could have a material adverse effect on our operating results, our ability to raise capital needed to develop and commercialize products and our overall financial condition. In addition, a recession or market correction resulting from the spread of the coronavirus could materially affect the value of our common stock.</w:t>
      </w:r>
    </w:p>
    <w:p>
      <w:pPr>
        <w:spacing w:after="0" w:line="16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extent of the impact of the COVID-19 pandemic on our business is uncertain and difficult to predict, as the pandemic continues to rapidly evolve. The ultimate impact of the COVID-19 pandemic or a similar health pandemic or epidemic is highly uncertain and subject to change. We do not yet know the extent of potential delays or impacts on our business, our clinical trials, healthcare systems or the global economy as a whole. These effects could have a material impact on our operations, and we will continue to monitor the COVID-19 pandemic closely.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Changes in estimates regarding fair value of intangible assets may result in an adverse impact on our results of operations.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test goodwill and in-process research and development for impairment annually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 carryforwards may be limited.</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ability to use our federal and state NOL carryforwards to offset potential future taxable income is dependent upon our generation of future taxable income before the expiration dates of the NOL carryforwards, and we cannot predict with certainty when, or whether, we will generate sufficient taxable income to use all of our NOL carryforwards. As of December 31, 2021, we had approximately $70.5 million of federal NOL carryforwards and approximately $66.3 million of state NOL carryforwards. Our federal NOL carryforwards will begin to expire in 2030, if not utilized. Under the Tax Cuts and Jobs Act enacted in 2017 (the “Tax Act”), as modified by the Coronavirus Aid, Relief, and Economic Security Act enacted in 2020 (“CARES Act”), federal NOL carryforwards generated in taxable years beginning after December 31, 2017 may be carried forward indefinitely, but the deductibility of such NOL carryforwards in taxable years beginning after December 31, 2020 is limited to 80% of taxable income. Many states have similar laws. Accordingly, our federal and state NOL carryforwards could expire unused and be unavailable to offset future income tax liabilities.</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addition, under Sections 382 and 383 of the Internal Revenue Code of 1986, as amended (the “Code”), federal NOL carryforwards may become subject to an annual limitation in the event of certain cumulative changes in our ownership. An “ownership change” pursuant to Section 382 of the Code generally occurs if one or more stockholders or groups of stockholders who own at least 5% of the company’s stock increase their ownership by more than 50 percentage points over their lowest ownership percentage within a rolling three-year period. If substantial changes in ownership have occurred, there could be annual limitations on the amount of NOL carryforwards that can be realized in future periods. It is possible that some or all of our existing or future NOL carryforwards could be limited by the provisions of Section 382 of the Tax Code as a result of future changes in ownership, including as a result of subsequent sales of securities by us or our stockholders. Further, state NOL carryforwards may be similarly limited. Any such disallowances may result in greater tax liabilities than we would incur in the absence of such a limitation and any increased liabilities could adversely affect our business, results of operations, financial condition and cash flow.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tax laws or tax rulings could materially affect our financial position, results of operations, and cash flows.</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the Tax Act made broad and complex changes to the U.S. tax code, including changes to U.S. federal tax rates, additional limitations on the deductibility of interest, both positive and negative changes to the utilization of future NOL carryforwards, allowing for the expensing of certain capital expenditures, and putting into effect the migration from a “worldwide” system of taxation to a territorial system. The issuance of additional regulatory or accounting guidance related to the Tax Act could materially affect our tax obligations and effective tax rate. In addition, many countries in Europe, as well as a number of other countries and organizations (including the Organization for Economic Cooperation and Development and the European Commission), have recently proposed, recommended, or (in the case of countries) enacted or otherwise become subject to changes to existing tax laws or new tax laws that could significantly increase our tax obligations in the countries where we do business or require us to change the manner in which we operate our business. Recently, in the United States, Congress and the Biden administration proposed legislation (which has not yet been enacted) to make various tax law changes, including to increase U.S. taxation of international business operations and impose a global minimum tax. These proposals, recommendations and enactments include changes to the existing framework in respect of income taxes, as well as new types of non-income taxes (such as taxes based on a percentage of revenue or taxes applicable to digital services) which could apply to our business. These types of changes to the taxation of our activities could increase our worldwide effective tax rate, increase the amount of taxes imposed on our business, and harm our financial position. Such changes may also apply retroactively to our historical operations and result in taxes greater than the amounts estimated and recorded in our financial statements.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cannot give any assurance that any of our product candidates will receive regulatory approval in a timely manner or at all, which is necessary before they can be commercialized.</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regulatory approval process is expensive and the time required to obtain approval from the European Commission (on the basis of the positive opinion of the Committee of Medicinal Products for Human Use of the EMA, commonly referred to as EMA approval), FDA or other regulatory authorities in other jurisdictions to sell any product is uncertain and may take years.</w:t>
      </w:r>
    </w:p>
    <w:p>
      <w:pPr>
        <w:spacing w:after="0" w:line="18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Whether regulatory approval will be granted is unpredictable and depends upon numerous factors, including the substantial discretion of the regulatory authorities. Moreover, the filing of a marketing application, including a New Drug Application (“NDA”), or Biologics License Application (“BLA”), requires a payment of a significant user fee upon submission. The filing of marketing applications for our product candidates may be delayed due to our lack of financial resources to pay such user fee.</w:t>
      </w:r>
    </w:p>
    <w:p>
      <w:pPr>
        <w:spacing w:after="0" w:line="18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If, following submission, our application is not accepted for substantive review or approved, the EMA, FDA or other comparable foreign regulatory authorities may require that we conduct additional clinical or pre-clinical trials, provide additional data, manufacture additional validation batches or develop additional analytical tests methods before they will reconsider our application. The FDA has previously indicated to us that a roluperidone NDA submission based on Phase 2b and Phase 3 studies would be highly unlikely to be filed and that, at a minimum, there would be substantial review issues due to the lack of two adequate and well-controlled trials to support efficacy claims. While we believe we have addressed certain of the FDA’s concerns, there can be no assurance that FDA will accept our NDA filing, and even if filed, would grant approval. If the EMA, FDA or other comparable foreign regulatory authorities requires additional studies or data, we would incur increased costs and delays in the marketing approval process, which may require us to expend more resources than we have available. In addition, the EMA, FDA or other comparable foreign regulatory authorities may not consider any additional required trials, data or information that we perform or provide to be sufficient, or we may decide, or be required, to abandon the program.</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Moreover, policies, regulations, or the type and amount of pre-clinical and clinical data necessary to gain approval may change during the course of a product candidate’s clinical development and may vary among jurisdictions. It is possible that none of our existing product candidates or any of our future product candidates will ever obtain regulatory approval, even if we expend substantial time and resources seeking such approval.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3"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EMA, FDA or other regulatory authorities may disagree with the design or implementation of our clinical trials.</w:t>
      </w:r>
    </w:p>
    <w:p>
      <w:pPr>
        <w:spacing w:after="0" w:line="9" w:lineRule="exact"/>
        <w:rPr>
          <w:rFonts w:ascii="Arial" w:cs="Arial" w:eastAsia="Arial" w:hAnsi="Arial"/>
          <w:sz w:val="18"/>
          <w:szCs w:val="18"/>
          <w:color w:val="auto"/>
        </w:rPr>
      </w:pPr>
    </w:p>
    <w:p>
      <w:pPr>
        <w:ind w:left="1000" w:right="34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EMA, FDA or other regulatory authorities that a product candidate is safe and effective for its proposed indication.</w:t>
      </w:r>
    </w:p>
    <w:p>
      <w:pPr>
        <w:ind w:left="1000" w:right="24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EMA, FDA or other regulatory authorities for approval.</w:t>
      </w: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any safety risks.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EMA, FDA or other regulatory authorities may disagree with our interpretation of data from pre-clinical studies or clinical trials.</w:t>
      </w:r>
    </w:p>
    <w:p>
      <w:pPr>
        <w:spacing w:after="0" w:line="20" w:lineRule="exact"/>
        <w:rPr>
          <w:rFonts w:ascii="Arial" w:cs="Arial" w:eastAsia="Arial" w:hAnsi="Arial"/>
          <w:sz w:val="17"/>
          <w:szCs w:val="17"/>
          <w:color w:val="auto"/>
        </w:rPr>
      </w:pPr>
    </w:p>
    <w:p>
      <w:pPr>
        <w:ind w:left="1000" w:right="32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an NDA or other submission or to obtain regulatory approval in the United States or elsewhere.</w:t>
      </w:r>
    </w:p>
    <w:p>
      <w:pPr>
        <w:ind w:left="1000" w:hanging="493"/>
        <w:spacing w:after="0" w:line="25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EMA, FDA or other regulatory authorities may fail to approve the manufacturing processes or facilities of third-party manufacturers with which we contract for clinical and commercial supplies.</w:t>
      </w:r>
    </w:p>
    <w:p>
      <w:pPr>
        <w:ind w:left="1000" w:right="300" w:hanging="493"/>
        <w:spacing w:after="0" w:line="260"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approval policies or regulations of the EMA, FDA or other regulatory authorities may significantly change in a manner rendering our clinical data insufficient for approval.</w:t>
      </w:r>
    </w:p>
    <w:p>
      <w:pPr>
        <w:spacing w:after="0" w:line="1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Even if we obtain approval for a particular product, regulatory authorities may approve that product for fewer or more limited indications, including more limited patient populations, than we request, may require that contraindications, warnings, or precautions be included in the product labeling, including a black box warning, may grant approval contingent on the performance of costly post-marketing clinical trials or other post-market requirements, including risk evaluation and mitigation strategies (“REMS”), or may approve a product candidate with a label that does not include the labeling claims necessary or desirable for the successful commercialization of that product. Any of the foregoing could materially harm the commercial prospects for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results of pre-clinical studies and early clinical trials of our product candidates may not be predictive of the results of later-stage clinical trials.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Interpretation of results from early, usually smaller, trials that suggest positive trends in some subjects, require caution.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6" w:name="page27"/>
    <w:bookmarkEnd w:id="26"/>
    <w:p>
      <w:pPr>
        <w:ind w:right="20"/>
        <w:spacing w:after="0" w:line="272" w:lineRule="auto"/>
        <w:rPr>
          <w:sz w:val="20"/>
          <w:szCs w:val="20"/>
          <w:color w:val="auto"/>
        </w:rPr>
      </w:pPr>
      <w:r>
        <w:rPr>
          <w:rFonts w:ascii="Arial" w:cs="Arial" w:eastAsia="Arial" w:hAnsi="Arial"/>
          <w:sz w:val="17"/>
          <w:szCs w:val="17"/>
          <w:color w:val="auto"/>
        </w:rPr>
        <w:t>Results from later stages of clinical trials enrolling more subjects may fail to show the desired safety and efficacy results or otherwise fail to be consistent with the results of earlier trials of the same product candidate. For example, our Phase 3 trial of roluperidone for the treatment of negative symptoms of schizophrenia failed to meet its primary endpoint despite our Phase 2b trial of the same design achieving statistical significance on the same endpoint. Inconsistencies such as this may occur for a variety of reasons, including differences in trial design, trial endpoints (or lack of trial endpoints in exploratory studies), subject population, number of subjects, subject selection criteria, trial duration, drug dosage and formulation or due to the lack of statistical power in the earlier trials. A number of companies in the pharmaceutical and biotechnology industries have suffered significant setbacks in advanced clinical trials due to lack of efficacy or unacceptable safety profiles, notwithstanding promising results in earlier trials.</w:t>
      </w:r>
    </w:p>
    <w:p>
      <w:pPr>
        <w:spacing w:after="0" w:line="17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results of clinical trials conducted at sites outside the United States may not be accepted by the FDA and the results of clinical trials conducted at sites in the United States may not be accepted by international regulatory authorities.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plan to conduct our clinical trials outside the United States. Although the FDA may accept data from clinical trials conducted outside the United States, acceptance of this data would be subject to certain conditions imposed by the FDA. For example, the clinical trial must be well-designed and conducted and performed by qualified investigators in accordance with ethical safeguards such as institutional review board (“IRB”), or ethics committee approval and informed consent. The study population must also adequately represent the applicable United States population, and the data must be applicable to the American population and medical practice in ways that the FDA deems clinically meaningful. In addition, while clinical trials conducted outside of the United States are subject to the applicable local laws, FDA acceptance of the data from such trials will be dependent upon its determination that the trials were conducted consistent with all applicable United States laws and regulations. There can be no assurance the FDA will accept data from trials conducted outside of the United States as adequate support of a marketing application, and it is not unusual for the FDA to require some Phase 3 clinical trial data to be generated in the United States. If the FDA does not accept the data from our international clinical trials, it would likely result in the need for additional trials in the United States, which would be costly and time-consuming and could delay or permanently halt the development of one or more of our product candidates.</w:t>
      </w:r>
    </w:p>
    <w:p>
      <w:pPr>
        <w:spacing w:after="0" w:line="18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experience delays in clinical testing, we will be delayed in commercializing our product candidates, our costs may increase and our business may be harmed.</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do not know whether our clinical trials will be completed on schedule, or at all. Our product development costs will increase if we experience delays in clinical testing. Significant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harm our business, results of operations and prospects.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commencement and completion of clinical development can be delayed or halted for a number of reasons, including:</w:t>
      </w:r>
    </w:p>
    <w:p>
      <w:pPr>
        <w:spacing w:after="0" w:line="23" w:lineRule="exact"/>
        <w:rPr>
          <w:sz w:val="20"/>
          <w:szCs w:val="20"/>
          <w:color w:val="auto"/>
        </w:rPr>
      </w:pPr>
    </w:p>
    <w:p>
      <w:pPr>
        <w:ind w:left="1000" w:right="58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regulatory approval to commence a clinical trial or complying with conditions imposed by a regulatory authority regarding the scope or term of a clinical trial;</w:t>
      </w:r>
    </w:p>
    <w:p>
      <w:pPr>
        <w:ind w:left="1000" w:right="4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reaching or failure to reach agreement on acceptable terms with prospective clinical research organizations, or CROs, and trial sites, which can be subject to extensive negotiation and may vary significantly among different CROs and trial sites;</w:t>
      </w:r>
    </w:p>
    <w:p>
      <w:pPr>
        <w:ind w:left="1000" w:right="74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deviations from the trial protocol by clinical trial sites and investigators, or failing to conduct the trial in accordance with regulatory requirements;</w:t>
      </w: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of our third parties, such as CROs, to satisfy their contractual duties or meet expected deadlines;</w:t>
      </w:r>
    </w:p>
    <w:p>
      <w:pPr>
        <w:spacing w:after="0" w:line="9" w:lineRule="exact"/>
        <w:rPr>
          <w:rFonts w:ascii="Arial" w:cs="Arial" w:eastAsia="Arial" w:hAnsi="Arial"/>
          <w:sz w:val="18"/>
          <w:szCs w:val="18"/>
          <w:color w:val="auto"/>
        </w:rPr>
      </w:pPr>
    </w:p>
    <w:p>
      <w:pPr>
        <w:ind w:left="1000" w:right="140" w:hanging="493"/>
        <w:spacing w:after="0" w:line="281" w:lineRule="auto"/>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insufficient or inadequate supply or quantity of product material for use in trials due to delays in the importation and manufacture of clinical supply, including delays in the testing, validation, and delivery of the clinical supply of the investigational drug to the clinical trial sites;</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identification and auditing of central or other laboratories and the transfer and validation of assays or tests to be used;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having subjects complete participation in a trial or return for post-treatment follow-up;</w:t>
      </w:r>
    </w:p>
    <w:p>
      <w:pPr>
        <w:spacing w:after="0" w:line="9" w:lineRule="exact"/>
        <w:rPr>
          <w:rFonts w:ascii="Arial" w:cs="Arial" w:eastAsia="Arial" w:hAnsi="Arial"/>
          <w:sz w:val="18"/>
          <w:szCs w:val="18"/>
          <w:color w:val="auto"/>
        </w:rPr>
      </w:pPr>
    </w:p>
    <w:p>
      <w:pPr>
        <w:ind w:left="1000" w:right="2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obtaining IRB or ethics committee approval to conduct a trial at a prospective site, or complying with conditions imposed by IRBs or ethics committees;</w:t>
      </w:r>
    </w:p>
    <w:p>
      <w:pPr>
        <w:ind w:left="1000" w:right="4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challenges recruiting and enrolling subjects to participate in clinical trials for a variety of reasons, including competition from other programs for the treatment of similar conditions;</w:t>
      </w: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9" w:lineRule="exact"/>
        <w:rPr>
          <w:rFonts w:ascii="Arial" w:cs="Arial" w:eastAsia="Arial" w:hAnsi="Arial"/>
          <w:sz w:val="18"/>
          <w:szCs w:val="18"/>
          <w:color w:val="auto"/>
        </w:rPr>
      </w:pPr>
    </w:p>
    <w:p>
      <w:pPr>
        <w:ind w:left="1000" w:right="140" w:hanging="493"/>
        <w:spacing w:after="0" w:line="250"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retaining subjects who have initiated a clinical trial but may be prone to withdraw due to side effects from the therapy, lack of efficacy or personal issues, which are common among schizophrenia and MDD subjects who we require for our clinical trials of our product candidate roluperidone;</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lack of adequate funding; and</w:t>
      </w:r>
    </w:p>
    <w:p>
      <w:pPr>
        <w:spacing w:after="0" w:line="9" w:lineRule="exact"/>
        <w:rPr>
          <w:rFonts w:ascii="Arial" w:cs="Arial" w:eastAsia="Arial" w:hAnsi="Arial"/>
          <w:sz w:val="18"/>
          <w:szCs w:val="18"/>
          <w:color w:val="auto"/>
        </w:rPr>
      </w:pPr>
    </w:p>
    <w:p>
      <w:pPr>
        <w:ind w:left="1000" w:right="360" w:hanging="493"/>
        <w:spacing w:after="0" w:line="260" w:lineRule="auto"/>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clinical holds or termination imposed regulatory authorities, including national regulatory authorities in the European Union, the FDA or IRBs or ethics committees.</w:t>
      </w:r>
    </w:p>
    <w:p>
      <w:pPr>
        <w:spacing w:after="0" w:line="18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Clinical trials may also be delayed as a result of ambiguous or negative interim results. In addition, clinical trials may be suspended or terminated by us, an IRB or ethics committee overseeing the clinical trial at a trial site (with respect to that site), the European Union national regulatory authorities or the FDA due to a number of factors, including:</w:t>
      </w:r>
    </w:p>
    <w:p>
      <w:pPr>
        <w:spacing w:after="0" w:line="3"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the trial protocols and applicable laws;</w:t>
      </w:r>
    </w:p>
    <w:p>
      <w:pPr>
        <w:spacing w:after="0" w:line="9" w:lineRule="exact"/>
        <w:rPr>
          <w:rFonts w:ascii="Arial" w:cs="Arial" w:eastAsia="Arial" w:hAnsi="Arial"/>
          <w:sz w:val="18"/>
          <w:szCs w:val="18"/>
          <w:color w:val="auto"/>
        </w:rPr>
      </w:pPr>
    </w:p>
    <w:p>
      <w:pPr>
        <w:ind w:left="1000" w:right="720" w:hanging="493"/>
        <w:spacing w:after="0" w:line="250"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observations during inspection of the clinical trial operations or trial sites by the EMA, FDA or other comparable foreign regulatory authorities that ultimately result in the imposition of a clinical hold;</w:t>
      </w: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unforeseen safety issues; or</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1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Failure to conduct a clinical trial in accordance with regulatory requirements, the trial protocols and applicable laws may also result in the inability to use the data from such trial to support product approval. Additionally, changes in regulatory requirements and guidance may occur, and we may need to amend clinical trial protocols to reflect these changes. Amendments may require us to resubmit our clinical trial protocols to the EMA, FDA, IRBs or ethics committees for reexamination, which may impact the costs, timing and successful completion of a clinical trial. Many of the factors that cause, or lead to, a delay in the commencement or completion of a clinical trial may also ultimately lead to the denial of regulatory approval of the associated product candidate. If we experience delays in completion of, or if we terminate any of our clinical trials, our ability to obtain regulatory approval for our product candidates may be materially harmed, and our commercial prospects and ability to generate product revenues will be diminished.</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have no experience in advancing product candidates beyond Phase 3, which makes it difficult to assess our ability to develop and commercialize our product candidates.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no experience in progressing clinical trials past Phase 3, obtaining regulatory marketing approvals or commercializing product candidates. We merged with Sonkei and acquired Mind-NRG and have limited operating history since the respective merger and acquisition. We may encounter unforeseen expenses, difficulties, complications, delays and other known or unknown factors in pursuing our business objectives. 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enroll subjects in clinical trials, we will be unable to complete these trials on a timely basis or at all.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timely completion of clinical trials largely depends on subject enrollment. Many factors affect subject enrollment, including:</w:t>
      </w:r>
    </w:p>
    <w:p>
      <w:pPr>
        <w:spacing w:after="0" w:line="23"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and nature of the subject population;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location of clinical sites we enroll;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 other companies for clinical sites or subjects;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eligibility and exclusion criteria for the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inability to obtain and maintain subject consents;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 that enrolled subjects will drop out before completion; and</w:t>
      </w:r>
    </w:p>
    <w:p>
      <w:pPr>
        <w:spacing w:after="0" w:line="9" w:lineRule="exact"/>
        <w:rPr>
          <w:rFonts w:ascii="Arial" w:cs="Arial" w:eastAsia="Arial" w:hAnsi="Arial"/>
          <w:sz w:val="18"/>
          <w:szCs w:val="18"/>
          <w:color w:val="auto"/>
        </w:rPr>
      </w:pPr>
    </w:p>
    <w:p>
      <w:pPr>
        <w:ind w:left="1000" w:right="260" w:hanging="493"/>
        <w:spacing w:after="0" w:line="260"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clinicians’ and subjects’ perceptions as to the potential advantages or disadvantages of the drug being studied in relation to other available therapies, including any new drugs that may be approved for the indications we are investigating.</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rely on CROs and clinical trial sites to ensure the proper and timely conduct of our clinical trials in Europe and, we expect, eventually in the United States and, while we have agreements governing their committed activities, we have limited influence over their actual performance. We may also experience difficulties enrolling subjects for our clinical trials relating to roluperidone due to the mental health of the subjects that we will need to enroll, related diagnoses and drop-out rates.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clinical trials may fail to demonstrate adequately the safety and efficacy of our product candidates, which could prevent or delay regulatory approval and commercialization, and also increase costs.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Before obtaining regulatory approvals for the commercial sale of our product candidates, we must demonstrate through lengthy, complex and expensive pre-clinical testing and clinical trials that our product candidates are both safe and effective for use in each target indication, and failures can occur at any stage of testing. Clinical trials often fail to demonstrate safety and statistically significant efficacy of the product candidate studied for the target indication in later stages of clinical development. For example, 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28" w:name="page29"/>
    <w:bookmarkEnd w:id="28"/>
    <w:p>
      <w:pPr>
        <w:spacing w:after="0" w:line="272" w:lineRule="auto"/>
        <w:rPr>
          <w:sz w:val="20"/>
          <w:szCs w:val="20"/>
          <w:color w:val="auto"/>
        </w:rPr>
      </w:pPr>
      <w:r>
        <w:rPr>
          <w:rFonts w:ascii="Arial" w:cs="Arial" w:eastAsia="Arial" w:hAnsi="Arial"/>
          <w:sz w:val="17"/>
          <w:szCs w:val="17"/>
          <w:color w:val="auto"/>
        </w:rPr>
        <w:t>Phase 2b trial in MDD with respect to a drug that we were previously developing, MIN-117, failed to achieve its primary endpoint, and we decided to discontinue development of MIN-117 for MDD. Regulatory authorities may find that our studies do not support, in combination with other studies, approval of our product candidates for the target indication. In addition, our product candidates may be associated with undesirable side effects or have characteristics that are unexpected, which may result in abandoning their development or regulatory authorities restricting or denying marketing approval. For instance, prior clinical studies indicated that roluperidone and MIN-117 may cause adverse events, including, but not limited to, dizziness, vital sign changes, central nervous system events, cardiac events, including prolongation of the QT/QTc interval, and gastrointestinal events. Most product candidates that commence clinical trials are never approved by the applicable regulatory authorities.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case of our product candidate roluperidone, we are seeking to develop a treatment for schizophrenia, which adds a layer of complexity to our clinical trials and may delay regulatory approval. The cause and pathophysiology of schizophrenia are not fully understood, and our results will rely on subjective feedback from patients, caregivers and healthcare providers, which is inherently difficult to evaluate, can be influenced by factors outside of our control and can vary widely from day to day for a particular subject, and from subject to subject and site to site within a clinical study. The placebo effect may also have a more significant impact on our clinical trials.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our product candidates are not shown to be both safe and effective in clinical trials, we will not be able to obtain regulatory approval or commercialize our product candidates.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0"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Because we have limited financial and management resources, we focus on a limited number of research programs and product candidates. For instance, at the present time we are prioritizing the clinical trials and development of the most advanced of our product candidates, roluperidone. As a result, we may forego or delay pursuit of opportunities with other product candidates, including MIN-301,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arrangements in cases in which it would have been more advantageous for us to retain sole development and commercialization rights.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Even if we complete the necessary clinical trials, we cannot predict when or if we will obtain marketing approval to commercialize a product candidate or the approval may be for a narrower indication than we expect.</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cannot commercialize a product candidate until the appropriate regulatory authorities have reviewed and approved the product candidate. Even if our product candidates demonstrate safety and efficacy in clinical trials, the regulatory agencies may not complete their review processes in a timely manner, or we may not be able to obtain marketing approval from the relevant regulatory agencies. Additional delays may result if the EMA, FDA, an FDA Advisory Committee, or other regulatory authority recommends non-approval or restrictions on approval. In addition, we may experience delays or rejections based upon additional government regulation from future legislation or administrative action, or changes in regulatory agency policy during the period of product development, clinical trials and the review process.</w:t>
      </w:r>
    </w:p>
    <w:p>
      <w:pPr>
        <w:spacing w:after="0" w:line="19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Even if our product candidates receive regulatory approval, they may still face future development and regulatory difficulties, including ongoing regulatory obligations and continued regulatory review. Additionally, our product candidates, if approved, could be subject to labeling and other restrictions and market withdrawal and we may be subject to administrative sanctions or penalties if we fail to comply with regulatory requirements or experience unanticipated problems with our products.</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Even if we obtain regulatory approval for a product candidate, product candidates may be approved for fewer or more limited indications, including more limited subject populations, than we request, and regulatory authorities may require that contraindications, warnings, or precautions be included in the product labeling, including a black box warning, may grant approval contingent on the performance of costly post-marketing clinical trials or other post-market requirements, such as REMS, may require post-marketing surveillance, or may approve a product candidate with a label that does not include the labeling claims necessary or desirable for the successful commercialization of that product candidate. For instance, in 2007, the FDA requested that makers of all antidepressant medications update existing black box warnings about increased risk of suicidal thoughts and behavior in young adults, ages 18 to 24, during initial treatment. If approved for marketing, our drugs may be required to carry warnings similar to this and other class-wide warnings.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9" w:name="page30"/>
    <w:bookmarkEnd w:id="29"/>
    <w:p>
      <w:pPr>
        <w:ind w:right="80"/>
        <w:spacing w:after="0" w:line="296" w:lineRule="auto"/>
        <w:rPr>
          <w:sz w:val="20"/>
          <w:szCs w:val="20"/>
          <w:color w:val="auto"/>
        </w:rPr>
      </w:pPr>
      <w:r>
        <w:rPr>
          <w:rFonts w:ascii="Arial" w:cs="Arial" w:eastAsia="Arial" w:hAnsi="Arial"/>
          <w:sz w:val="16"/>
          <w:szCs w:val="16"/>
          <w:color w:val="auto"/>
        </w:rPr>
        <w:t>Any approved products would further be subject to ongoing requirements imposed by the EMA, FDA, and other comparable foreign regulatory authorities governing the manufacture, quality control, further development, labeling, packaging, storage, distribution, safety surveillance, import, export, advertising, promotion, marketing, recordkeeping and reporting of safety and other post-market information. If there are any modifications to the drug, including changes in indications, labeling, manufacturing processes or facilities, or if new safety issues arise, a new or supplemental NDA, post-implementation notification or other reporting may be required or requested, which may require additional data or additional pre-clinical studies and clinical trials.</w:t>
      </w:r>
    </w:p>
    <w:p>
      <w:pPr>
        <w:spacing w:after="0" w:line="161"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The EMA, FDA and other comparable foreign regulatory authorities will continue to closely monitor the safety profile of any product even after approval. If the EMA, FDA or other comparable foreign regulatory authorities become aware of new adverse safety information after approval of any of our product candidates, a number of potentially significant negative consequences could result, including:</w:t>
      </w:r>
    </w:p>
    <w:p>
      <w:pPr>
        <w:spacing w:after="0" w:line="3"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suspend marketing of, or withdraw or recall, such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or otherwise restrict the product’s indicated use, label, or marketing;</w:t>
      </w:r>
    </w:p>
    <w:p>
      <w:pPr>
        <w:spacing w:after="0" w:line="9" w:lineRule="exact"/>
        <w:rPr>
          <w:rFonts w:ascii="Arial" w:cs="Arial" w:eastAsia="Arial" w:hAnsi="Arial"/>
          <w:sz w:val="18"/>
          <w:szCs w:val="18"/>
          <w:color w:val="auto"/>
        </w:rPr>
      </w:pPr>
    </w:p>
    <w:p>
      <w:pPr>
        <w:ind w:left="1000" w:right="420" w:hanging="493"/>
        <w:spacing w:after="0" w:line="250"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EMA, FDA or other comparable foreign regulatory bodies may issue safety alerts, Dear Healthcare Provider letters, press releases or other communications containing warnings about such product;</w:t>
      </w:r>
    </w:p>
    <w:p>
      <w:pPr>
        <w:ind w:left="1000" w:right="60" w:hanging="493"/>
        <w:spacing w:after="0" w:line="281"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a REMS or the EMA or a comparable foreign regulatory authority may require the establishment or modification of a similar strategy that may, for instance, require us to issue a medication guide outlining the risks of such side effects for distribution to subjects or restrict distribution of our products and impose burdensome implementation requirements on us;</w:t>
      </w:r>
    </w:p>
    <w:p>
      <w:pPr>
        <w:spacing w:after="0" w:line="1"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that we conduct post-marketing studies or surveillance;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In addition, manufacturers of drug products and their facilities, including contracted facilities, are subject to continual review and periodic inspections by national regulatory authorities in the European Union, the FDA and other regulatory authorities for compliance with current Good Manufacturing Practices (“cGMP”), regulations and standards. The European Union cGMP guidelines are as set forth in Commission Directive 2003/94/EC of October 8, 2003. If we or a regulatory agency or authority discover previously unknown problems with a product, such as adverse events of unanticipated severity or frequency, the product’s stability (changes in levels of impurities or dissolution profile) or problems with the facility where the product is manufactured, we may be subject to reporting obligations, additional testing and additional sampling, and a regulatory agency or authority may impose restrictions on that product, the manufacturing facility, our suppliers, or us, including requiring recall or withdrawal of the product from the market or suspension of manufacturing. If we, our product candidates, the manufacturing facilities for our product candidates, our CROs, or other persons or entities working on our behalf fail to comply with applicable regulatory requirements either before or after marketing approval, a regulatory agency may, depending on the stage of product development and approval:</w:t>
      </w:r>
    </w:p>
    <w:p>
      <w:pPr>
        <w:spacing w:after="0" w:line="8"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adverse inspectional findings;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Warning Letters or Untitled Letters;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mandate modifications to promotional materials or require us to provide corrective information to healthcare practitioners;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amend and update labels or package inserts;</w:t>
      </w:r>
    </w:p>
    <w:p>
      <w:pPr>
        <w:spacing w:after="0" w:line="9" w:lineRule="exact"/>
        <w:rPr>
          <w:rFonts w:ascii="Arial" w:cs="Arial" w:eastAsia="Arial" w:hAnsi="Arial"/>
          <w:sz w:val="18"/>
          <w:szCs w:val="18"/>
          <w:color w:val="auto"/>
        </w:rPr>
      </w:pPr>
    </w:p>
    <w:p>
      <w:pPr>
        <w:ind w:left="1000" w:right="32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 us to enter into a consent decree, which can include imposition of various fines, reimbursements for inspection costs, required due dates for specific actions and penalties for noncompliance;</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or monetary fines or imprisonment;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terminate any ongoing clinical studies;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bar us from submitting or assisting in the submission of new regulatory applications;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applications filed by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9" w:lineRule="exact"/>
        <w:rPr>
          <w:rFonts w:ascii="Arial" w:cs="Arial" w:eastAsia="Arial" w:hAnsi="Arial"/>
          <w:sz w:val="18"/>
          <w:szCs w:val="18"/>
          <w:color w:val="auto"/>
        </w:rPr>
      </w:pPr>
    </w:p>
    <w:p>
      <w:pPr>
        <w:ind w:left="1000" w:right="80" w:hanging="493"/>
        <w:spacing w:after="0" w:line="250"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suspend or impose restrictions on operations, including restrictions on marketing or manufacturing of the product, or the imposition of costly new manufacturing requirements or use of alternative suppliers; or</w:t>
      </w: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seize or detain products, refuse to permit the import or export of products, or require us to initiate a product recall.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our products and generate revenue.</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 the United States, including, but not limited to, their advertising and promotion, will further be heavily scrutinized by the FDA, the United States Department of Justice, the United States Department of Health and Human Services’ Office of Inspector General, state attorneys general, members of Congress and the public. Violations of applicable law, including advertising, marketing and promotion of our products for unapproved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(or off-label) uses, are subject to enforcement letters, inquiries and investigations, and civil, criminal and/or administrative sanctions by regulatory agencies. Additionally, comparable foreign regulatory authorities will heavily scrutinize advertising and promotion of any product candidate that obtains approval outside of the United States. In this regard, advertising and promotion of medicines in the European Union is governed by Directive 2001/83 EC, as amended, and any such activities which we may undertake in the European Union will have to be in strict compliance with the same. Any advertising of a prescription medicinal product to the public and any promotion of a medicinal product that does not have marketing authorization or is not promoted in accordance with that marketing authorization is prohibited. Advertisements and promotions of medicinal products are monitored nationally in the European Union, and each country will have its own additional advertising laws and industry governing bodies, whose obligations may go further than those set out in Directive 2001/83. Any violations and sanctions will similarly be decided and administered by the relevant country’s national authority. Furthermore, in the United Kingdom the code of practice of the Association of the British Pharmaceutical Industry (the lead United Kingdom trade association) is considerably stricter than applicable legislative requirements.</w:t>
      </w:r>
    </w:p>
    <w:p>
      <w:pPr>
        <w:spacing w:after="0" w:line="18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the United States, engaging in the impermissible promotion of products for off-label uses can also subject the entity engaging in such conduct to false claims litigation under federal and state statutes, which can lead to civil, criminal and/or administrative penalties, damages, monetary fines, disgorgement, exclusion from participation in Medicare, Medicaid and other federal healthcare programs, curtailment or restructuring of its operations and agreements that materially restrict the manner in which it promotes or distributes drug products. Accordingly, we are subject to the federal civil False Claims Act, which prohibits persons and entities from knowingly filing, or causing to be filed, a false claim, or the knowing use of false statements, to obtain payment from the federal government. Certain suits filed under the civil False Claims Act, known as “qui tam” actions, can be brought by any individual on behalf of the government and such individuals, commonly known as “whistleblowers,” may share in certain amounts paid by the entity to the government in fines or settlement. When an entity is determined to have violated the civil False Claims Act, it may be required to pay up to three times the actual damages sustained by the government, plus civil penalties for each separate false claim. Various states have also enacted laws modeled after the federal civil False Claims Act. We are also subject to the federal criminal False Claims Act, which imposes criminal fines or imprisonment against individuals or entities who make or present a claim to the government knowing such claim to be false, fictitious, or fraudulent. Additionally, we may be subject to civil monetary penalties that may be imposed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7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False Claims Act lawsuits against pharmaceutical companies have increased significantly in volume and breadth, leading to substantial civil and criminal settlements regarding certain sales practices, including promoting off-label drug uses. This growth in litigation has increased the risk that a pharmaceutical company will have to defend a false claims action, pay settlement fines or restitution, agree to comply with burdensome reporting and compliance obligations, and/or be excluded from Medicare, Medicaid and other federal and state healthcare programs. If we do not lawfully promote our products, we may become subject to such litigation, which may have a material adverse effect on our business, financial condition and results of operations.</w:t>
      </w:r>
    </w:p>
    <w:p>
      <w:pPr>
        <w:spacing w:after="0" w:line="161"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While no definition of “off-label use” exists at the European Union level, promotion of a medicinal product for a purpose that has not been approved is strictly prohibited pursuant to Directive 2001/83/EC. Such promotion may also give rise to criminal prosecution in European Union Member States, and national healthcare supervisory authorities may impose administrative fines or take other actions. Engaging in such promotions in the European Union could also lead to product liability claims, in accordance with EU product liability regime under Directive 85/374.</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EMA’s, FDA’s, and other applicable government agencies’ policies may change and additional government regulations may be enacted that could prevent, limit or delay regulatory approval and marketing authorization, and the sale and promotion of our product candidates. If we are slow or unable to adapt to changes in existing requirements or the adoption of new requirements or policies, or if we are not able to maintain regulatory compliance, we may lose any marketing approval that we may have obtained, and be subject to civil, criminal and administrative enforcement, which would adversely affect our business, prospects and ability to achieve or sustain profitability.</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regulatory pathway for our product candidate, MIN-301, has not yet been determined. Depending on the pathway, we may be subject to different regulatory requirements.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MIN-301 is a peptide, and, as a peptide, may be subject to the Public Health Service Act (“PHSA”), and the Food, Drug, and Cosmetic Act (“FDCA”). We have yet to meet with the FDA regarding the approval pathway for this product candidate. Based on the definition of a biologic in the PHSA, we believe that MIN-301 meets the definition of a biologic and, thus, we will need to submit a BLA, for product approval. Moreover, based on an FDA intercenter agreement, we believe that MIN-301 will be regulated by the FDA’s Center for Drug Evaluation and Research. However, we intend to discuss jurisdiction with the FDA to determine the appropriate regulatory pathway and corresponding requirements. Depending on the pathway, we may be subject to different regulatory</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1" w:name="page32"/>
    <w:bookmarkEnd w:id="31"/>
    <w:p>
      <w:pPr>
        <w:ind w:right="160"/>
        <w:spacing w:after="0" w:line="277" w:lineRule="auto"/>
        <w:rPr>
          <w:sz w:val="20"/>
          <w:szCs w:val="20"/>
          <w:color w:val="auto"/>
        </w:rPr>
      </w:pPr>
      <w:r>
        <w:rPr>
          <w:rFonts w:ascii="Arial" w:cs="Arial" w:eastAsia="Arial" w:hAnsi="Arial"/>
          <w:sz w:val="18"/>
          <w:szCs w:val="18"/>
          <w:color w:val="auto"/>
        </w:rPr>
        <w:t>requirements, including different regulatory and testing requirements, shorter or longer periods of market exclusivity, and different approval processes for generic drug and biosimilar competitors.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or our collaborators develop are smaller than we believe, our revenue may be adversely affected and our business may suffer.</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product candidates are intended for the treatment of schizophrenia, MDD, and Parkinson’s disease. Our projections of both the number of people who have these disorders or diseases, as well as the subsets of people who have the potential to benefit from treatment with our product candidates and who will pursue such treatment, are based on our beliefs and estimates that may prove to be inaccurate. For instance, with respect to schizophrenia and MDD, our estimates are based on the number of patients that suffer from schizophrenia and MDD, but these disorders are difficult to accurately diagnose and high rates of patients may not seek or continue treatment. Our estimates and beliefs are also based on the potential market of other drugs in development for schizophrenia and MDD, which may prove to be inaccurate and our advantages over such drugs may not be, or may not be perceived to be, as significant as we believe they are. If our estimates prove to be inaccurate, even if our products are approved, we may not be able to successfully commercialize them. In addition, the cause and pathophysiology of schizophrenia and MDD are not fully understood, and additional scientific understanding and future drug or non-drug therapies may make our product candidates obsolete.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product candidates are developed through pre-clinical to late stage clinical trials towards approval and commercialization, it is common that various aspects of the development program, such as manufacturing methods and formulation, are altered in an effort to optimize processes and results. Such changes carry the risk that they will not achieve these intended objectives. Any of these changes could cause our product candidates to perform differently and affect the results of planned clinical trials or future clinical trials to be conducted with the altered materials. Such changes may also require additional testing, EMA or FDA notification or EMA or FDA approval. This could delay completion of clinical trials, require the conduct of bridging clinical trials or the repetition of one or more clinical trials, increase clinical trial costs, delay approval of our product candidates and/or jeopardize our ability to commence product sales and generate revenue.</w:t>
      </w:r>
    </w:p>
    <w:p>
      <w:pPr>
        <w:spacing w:after="0" w:line="1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failure to obtain regulatory approval in additional international jurisdictions would prevent us from marketing our product candidates outside the European Union and the United States.</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We plan to seek regulatory approval to commercialize our product candidates in the European Union and the United States. We also expect to seek regulatory approval in additional foreign countries. To market and sell our products in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EMA or FDA approval. The regulatory approval process outside the European Union and United States generally includes risks substantially similar to those associated with obtaining EMA or FDA approval. In addition, in many countries outside the United States, we must secure product price and reimbursement approvals before regulatory authorities will approve the product for sale in that country or within a short time after receiving such marketing approval.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do not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especially because some foreign jurisdictions require prior approval of a treatment by the domestic regulatory agency. Our failure to obtain approval of any of our product candidates by regulatory authorities in another country may significantly diminish the commercial prospects of that product candidate and our business prospects could decline.</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substantial competition, which may result in others discovering, developing or commercializing products before or more successfully than us.</w:t>
      </w:r>
    </w:p>
    <w:p>
      <w:pPr>
        <w:spacing w:after="0" w:line="26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biopharmaceutical industry is intensely competitive and subject to rapid and significant technological change. We face competition with respect to our current product candidates and will face competition with respect to any future product candidates from major pharmaceutical companies, specialty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ind w:right="100"/>
        <w:spacing w:after="0" w:line="259" w:lineRule="auto"/>
        <w:rPr>
          <w:sz w:val="20"/>
          <w:szCs w:val="20"/>
          <w:color w:val="auto"/>
        </w:rPr>
      </w:pPr>
      <w:r>
        <w:rPr>
          <w:rFonts w:ascii="Arial" w:cs="Arial" w:eastAsia="Arial" w:hAnsi="Arial"/>
          <w:sz w:val="18"/>
          <w:szCs w:val="18"/>
          <w:color w:val="auto"/>
        </w:rPr>
        <w:t>Our competitors may obtain regulatory approval of their products more rapidly than us or may obtain patent protection or other intellectual property rights that limit our ability to develop or commercialize our product candidates. Our competitors may also develop drugs that are more effective, more convenient, more widely used, less costly and/or have a better safety profile than our products, and competitors may also be more successful than us in manufacturing and marketing their products.</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Our competitors will also compete with us in recruiting and retaining qualified scientific, management and commercial personnel, establishing clinical trial sites and subject registration for clinical trials, as well as in acquiring technologies complementary to, or necessary for, our programs.</w:t>
      </w:r>
    </w:p>
    <w:p>
      <w:pPr>
        <w:spacing w:after="0" w:line="14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There are numerous currently approved therapies for treating the same diseases or indications for which our product candidates may be useful and many of these currently approved therapies act through mechanisms similar to our product candidates. Many of these approved drugs are well-established therapies or products and are widely accepted by physicians, patients and third-party payors. Some of these drugs are branded and subject to patent protection and regulatory exclusivity, while others are available on a generic basis. Insurers and other third-party payors may encourage the use of generic products or specific branded products. Moreover, it is difficult to predict the effect that introduction of biosimilars into the market will have on sales of the reference biologic product, which will depend on the FDA’s standards for interchangeability, the structure of government and commercial managed care formularies, and state laws on substitution of biosimilars. We expect that if our product candidates are approved, they will be priced at a significant premium over competitive generics and biosimilars. This may make it difficult for us to differentiate our products from currently approved therapies, which may adversely impact our business strategy. In addition, any new product that competes with an approved product must demonstrate compelling advantages in efficacy, convenience, tolerability, and safety in order to overcome price competition and to be commercially successful. If we are not able to compete effectively against our current and future competitors, our business will not grow and our financial condition and operations will suffer. Moreover, many companies are developing new therapeutics, and we cannot predict what the standard of care will be as our product candidates progress through clinical development.</w:t>
      </w:r>
    </w:p>
    <w:p>
      <w:pPr>
        <w:spacing w:after="0" w:line="18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Even if any of our drug candidates receives marketing approval, it may fail to achieve the degree of market acceptance by physicians, patients, third-party payors and others in the medical community necessary for commercial success.</w:t>
      </w:r>
    </w:p>
    <w:p>
      <w:pPr>
        <w:spacing w:after="0" w:line="170" w:lineRule="exact"/>
        <w:rPr>
          <w:sz w:val="20"/>
          <w:szCs w:val="20"/>
          <w:color w:val="auto"/>
        </w:rPr>
      </w:pPr>
    </w:p>
    <w:p>
      <w:pPr>
        <w:jc w:val="both"/>
        <w:ind w:right="60"/>
        <w:spacing w:after="0" w:line="268" w:lineRule="auto"/>
        <w:rPr>
          <w:sz w:val="20"/>
          <w:szCs w:val="20"/>
          <w:color w:val="auto"/>
        </w:rPr>
      </w:pPr>
      <w:r>
        <w:rPr>
          <w:rFonts w:ascii="Arial" w:cs="Arial" w:eastAsia="Arial" w:hAnsi="Arial"/>
          <w:sz w:val="17"/>
          <w:szCs w:val="17"/>
          <w:color w:val="auto"/>
        </w:rPr>
        <w:t>If any of our drug candidates receives marketing approval, it may nonetheless fail to gain sufficient market acceptance by physicians, patients, third-party payors and others in the medical community necessary for commercial success. If our drug candidates do not achieve an adequate level of acceptance, we may not generate significant revenue from drug sales and we may not become profitable. Our commercial success also depends on coverage and adequate reimbursement of our products by third-party payors, including government payors, which may be difficult or time-consuming to obtain, may be limited in scope or may not be obtained in all jurisdictions in which we may seek to market our products. The degree of market acceptance of our drug candidates, if approved for commercial sale, will depend on a number of factors, including:</w:t>
      </w:r>
    </w:p>
    <w:p>
      <w:pPr>
        <w:spacing w:after="0" w:line="1"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efficacy and perceived and potential advantages compared to alternative treatments, including any similar generics and biosimilars;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market introduction relative to alternative treatment;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offer our drugs for sale at competitive prices relative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strength of our marketing and distribution support;</w:t>
      </w:r>
    </w:p>
    <w:p>
      <w:pPr>
        <w:spacing w:after="0" w:line="9" w:lineRule="exact"/>
        <w:rPr>
          <w:rFonts w:ascii="Arial" w:cs="Arial" w:eastAsia="Arial" w:hAnsi="Arial"/>
          <w:sz w:val="18"/>
          <w:szCs w:val="18"/>
          <w:color w:val="auto"/>
        </w:rPr>
      </w:pPr>
    </w:p>
    <w:p>
      <w:pPr>
        <w:ind w:left="1000" w:right="40" w:hanging="493"/>
        <w:spacing w:after="0" w:line="250"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for our products or the willingness of patients to pay out-of-pocket in the absence of coverage and adequate reimbursement by third-party payors;</w:t>
      </w: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publicity relating to the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restrictions on the use of our drugs together with other medications.</w:t>
      </w:r>
    </w:p>
    <w:p>
      <w:pPr>
        <w:spacing w:after="0" w:line="21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Our focus on CNS disorders, in particular, exposes us to an increased risk that serious side effects and disease events, including suicide, will occur during patient use of our products, even if such side effects and disease events are unrelated to the use of our products. Most approved CNS medicines carry boxed warnings for clinically significant adverse events, and our products may categorically need to carry such warnings as well.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3" w:name="page34"/>
    <w:bookmarkEnd w:id="33"/>
    <w:p>
      <w:pPr>
        <w:ind w:right="320"/>
        <w:spacing w:after="0" w:line="263" w:lineRule="auto"/>
        <w:rPr>
          <w:sz w:val="20"/>
          <w:szCs w:val="20"/>
          <w:color w:val="auto"/>
        </w:rPr>
      </w:pPr>
      <w:r>
        <w:rPr>
          <w:rFonts w:ascii="Arial" w:cs="Arial" w:eastAsia="Arial" w:hAnsi="Arial"/>
          <w:sz w:val="18"/>
          <w:szCs w:val="18"/>
          <w:b w:val="1"/>
          <w:bCs w:val="1"/>
          <w:i w:val="1"/>
          <w:iCs w:val="1"/>
          <w:color w:val="auto"/>
        </w:rPr>
        <w:t>We currently have a limited marketing and sales organization. If we are unable to establish greater marketing and sales capabilities or enter into agreements with third parties to market and sell our product candidates, we may not be able to effectively market and sell our product candidates, if approved, or generate product revenues.</w:t>
      </w:r>
    </w:p>
    <w:p>
      <w:pPr>
        <w:spacing w:after="0" w:line="184"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We currently have a limited marketing or sales organization for the marketing, sales and distribution of pharmaceutical products. In order to commercialize any product candidates, we must build our marketing, sales, distribution, managerial and other non-technical capabilities or make arrangements with third parties to perform these services. We may not be successful in doing so on commercially reasonable terms or at all.</w:t>
      </w:r>
    </w:p>
    <w:p>
      <w:pPr>
        <w:spacing w:after="0" w:line="16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If our product candidates receive regulatory approval, we intend to establish our sales and marketing organization with technical expertise and supporting distribution capabilities to commercialize our product candidates, which will be expensive and time consuming and may require substantial investments prior to any product candidate being granted regulatory approval. In selling, marketing and distributing our products ourselves, we face a number of additional risks, including:</w:t>
      </w:r>
    </w:p>
    <w:p>
      <w:pPr>
        <w:spacing w:after="0" w:line="2" w:lineRule="exact"/>
        <w:rPr>
          <w:sz w:val="20"/>
          <w:szCs w:val="20"/>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9" w:lineRule="exact"/>
        <w:rPr>
          <w:rFonts w:ascii="Arial" w:cs="Arial" w:eastAsia="Arial" w:hAnsi="Arial"/>
          <w:sz w:val="18"/>
          <w:szCs w:val="18"/>
          <w:color w:val="auto"/>
        </w:rPr>
      </w:pPr>
    </w:p>
    <w:p>
      <w:pPr>
        <w:ind w:left="1000" w:right="560" w:hanging="493"/>
        <w:spacing w:after="0" w:line="25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adequate numbers of physicians on the clinical benefits of our products to achieve market acceptance;</w:t>
      </w:r>
    </w:p>
    <w:p>
      <w:pPr>
        <w:ind w:left="1000" w:right="200" w:hanging="493"/>
        <w:spacing w:after="0" w:line="250"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associated with training sales personnel on legal compliance matters and monitoring their actions;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liability for sales personnel failing to comply with the applicable legal requirements;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Any failure or delay in the development of our internal sales, marketing and distribution capabilities would adversely impact the commercialization of these products.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may choose to collaborate with third parties that have direct sales forces and established distribution systems, either to augment our own sales force and distribution systems or in lieu of our own sales force and distribution systems.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If we are unable to enter into such arrangements on acceptable terms or at all, we may not be able to successfully commercialize any of our product candidates that receive regulatory approval. Depending on the nature of the third party relationship, we may have little control over such third parties, and any of these third parties may fail to devote the necessary resources and attention to sell, market and distribute our products effectively.</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If we are not successful in commercializing our product candidates, either on our own or through collaborations with one or more third parties, our future product revenue will suffer and we may incur significant additional losses.</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Even if we commercialize any of our product candidates, these products may become subject to unfavorable pricing regulations, third-party reimbursement practices or healthcare reform initiatives, which could harm our business.</w:t>
      </w:r>
    </w:p>
    <w:p>
      <w:pPr>
        <w:spacing w:after="0" w:line="17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laws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In many countries, the pricing review period begins after marketing or product licensing approval is granted. Some countries require approval of the sale price of a drug before it can be marketed or soon thereafter. Additionally,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which could negatively impact the revenues we generate from the sale of the product in that particular country. Adverse pricing limitations may hinder our ability to recoup our investment in one or more product candidates even if our product candidates obtain marketing approval.</w:t>
      </w:r>
    </w:p>
    <w:p>
      <w:pPr>
        <w:spacing w:after="0" w:line="178"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the European Union, the pricing and reimbursement of prescription drugs is controlled by each member state.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in the current economic climate in Europe. There is very limited harmonization on member state pricing and reimbursement practices in the European Union.</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pricing used by various European Union member states and parallel distribution, or arbitrage between low-priced and high-priced member states, can further reduce prices. In particular, Germany, Portugal and Spain have all introduced a number of short-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4" w:name="page35"/>
    <w:bookmarkEnd w:id="34"/>
    <w:p>
      <w:pPr>
        <w:ind w:right="240"/>
        <w:spacing w:after="0" w:line="277" w:lineRule="auto"/>
        <w:rPr>
          <w:sz w:val="20"/>
          <w:szCs w:val="20"/>
          <w:color w:val="auto"/>
        </w:rPr>
      </w:pPr>
      <w:r>
        <w:rPr>
          <w:rFonts w:ascii="Arial" w:cs="Arial" w:eastAsia="Arial" w:hAnsi="Arial"/>
          <w:sz w:val="18"/>
          <w:szCs w:val="18"/>
          <w:color w:val="auto"/>
        </w:rPr>
        <w:t>term measures to lower healthcare spending, including mandatory discounts, clawbacks and price referencing rules, which could have a material adverse effect on our business.</w:t>
      </w:r>
    </w:p>
    <w:p>
      <w:pPr>
        <w:spacing w:after="0" w:line="1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ability to commercialize any products successfully will depend in part on the extent to which coverage and adequate reimbursement for these products and related treatments will be available from government health administration authorities and other third-party payors, such as private health insurers and health maintenance organizations. Government authorities and other third-party payors determine which medications they will cover and establish reimbursement levels.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their prescription drugs.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drug products when more established or lower cost therapeutic alternatives are already available or subsequently become available.</w:t>
      </w:r>
    </w:p>
    <w:p>
      <w:pPr>
        <w:spacing w:after="0" w:line="1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Government authorities and other third-party payors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In addition, in the United States, federal programs impose penalties on drug manufacturers in the form of mandatory additional rebates and/or discounts if commercial prices increase at a rate greater than the Consumer Price Index-Urban, and these rebates and/or discounts, which can be substantial, may impact our ability to raise commercial prices. Further, in the United States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Additionally, no uniform policy requirement for coverage and reimbursement for drug products exists among third-party payors in the United States. Therefore, coverage and reimbursement for drug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cannot be sure that coverage and reimbursement will be available for any product that we commercialize and, if reimbursement is available, what the level of reimbursement will be.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187"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There may be significant delays in obtaining coverage and reimbursement for newly approved drugs, and coverage may be more limited than the purposes for which the drug is approved by the EMA, FDA or comparable foreign regulatory authorities. Moreover, eligibility for coverage and reimbursement does not imply that a drug will be paid for in all cases or at a rate that covers our costs, including research, development, manufacture, sale and distribution.</w:t>
      </w:r>
    </w:p>
    <w:p>
      <w:pPr>
        <w:spacing w:after="0" w:line="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Prices paid for a drug also vary depending on the class of trade. Prices charged to government customers and certain customers that receive federal funds are subject to price controls, and private institutions may obtain discounts through group purchasing organizations or use formularies to leverage discounts.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8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Additionally, there has been increasing legislative and enforcement interest in the United States with respect to specialty drug pricing practices. Specifically, there have been several recent U.S. Presidential executive orders, Congressional inquiries and proposed federal and proposed and enacted state legislation designed to, among other things, bring more transparency to drug pricing, review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spacing w:after="0" w:line="270" w:lineRule="auto"/>
        <w:rPr>
          <w:sz w:val="20"/>
          <w:szCs w:val="20"/>
          <w:color w:val="auto"/>
        </w:rPr>
      </w:pPr>
      <w:r>
        <w:rPr>
          <w:rFonts w:ascii="Arial" w:cs="Arial" w:eastAsia="Arial" w:hAnsi="Arial"/>
          <w:sz w:val="17"/>
          <w:szCs w:val="17"/>
          <w:color w:val="auto"/>
        </w:rPr>
        <w:t>relationship between pricing and manufacturer patient programs, and reform government program reimbursement methodologies for drugs. For example, in July 2021, the Biden administration released an executive order, “Promoting Competition in the American Economy,” with multiple provisions aimed at prescription drugs. In response to Biden’s executive order, on September 9, 2021, the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No legislation or administrative actions have been finalized to implement these principles. It is unclear whether these or similar policy initiatives will be implemented in the future. At the state level, legislatures are passing increasing amounts of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marketing approval of our product candidates, restrict or regulate post-approval activities and affect our ability to profitably sell any product candidate for which we obtain marketing approval.</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For example, in March 2010, the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Thus, the ACA will remain in effect in its current form. It is possible that the ACA will be subject to judicial or Congressional challenges in the future. It is unclear how any such challenges and the healthcare reform measures of the Biden administration will impact the ACA and our business.</w:t>
      </w:r>
    </w:p>
    <w:p>
      <w:pPr>
        <w:spacing w:after="0" w:line="16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Further, Congress is considering additional health reform measures. It is also possible that additional governmental action is taken in response to the COVID-19 pandemic.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 if any.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In some countries, particularly in the European Union, the pricing of prescription pharmaceuticals is subject to governmental control. In these countries, pricing negotiations with governmental authorities can take considerable time after the receipt of marketing approval for a drug. To obtain coverage and reimbursement or pricing approval in some countries, we may be required to conduct a health technology assessment that compares the cost-effectiveness of our drug candidate to other available therapies. There can be no assurance that our products will be considered cost-effective, that an adequate level of reimbursement will be available or that a foreign country’s reimbursement policies will not adversely affect our ability to sell our products profitably.</w:t>
      </w:r>
    </w:p>
    <w:p>
      <w:pPr>
        <w:spacing w:after="0" w:line="17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reimbursement of our drugs is unavailable or limited in scope or amount, or if pricing is set at unsatisfactory levels, our business could be materially harmed.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are subject to foreign currency and exchange rate risks.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plan to continue to conduct our clinical trials in Europe, we are exposed to currency fluctuations and exchange rate risks. The costs of our CROs may be incurred in Euros and we may pay them in Euros, however, we expect to keep the substantial portion of our cash, cash equivalents, marketable securities and private placement transactions, in United States Dollars. Therefore, fluctuations in foreign currencies, especially the Euro, could significantly impact our costs of conducting clinical trials. In addition, we may have to seek additional funding earlier than expected, which may not be available on acceptable terms or at all. Changes in the applicable currency exchange rates might negatively affect the profitability and business prospects of the third parties conducting our future clinical trials. This might cause such third parties to demand higher fees or discontinue their operations. These situations could in turn increase our costs or delays our clinical development, which could have a material adverse effect on our business, financial condition and results of operations.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We own one Swiss subsidiary, expect to engage in significant cross-border activities, and we will be subject to risks related to international operations, including:</w:t>
      </w:r>
    </w:p>
    <w:p>
      <w:pPr>
        <w:spacing w:after="0" w:line="1" w:lineRule="exact"/>
        <w:rPr>
          <w:sz w:val="20"/>
          <w:szCs w:val="20"/>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certain countries;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9" w:lineRule="exact"/>
        <w:rPr>
          <w:rFonts w:ascii="Arial" w:cs="Arial" w:eastAsia="Arial" w:hAnsi="Arial"/>
          <w:sz w:val="18"/>
          <w:szCs w:val="18"/>
          <w:color w:val="auto"/>
        </w:rPr>
      </w:pPr>
    </w:p>
    <w:p>
      <w:pPr>
        <w:ind w:left="1000" w:right="800" w:hanging="493"/>
        <w:spacing w:after="0" w:line="25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weakness, including inflation, political instability in particular foreign economies and markets, or public health issues or pandemics, such as the coronavirus;</w:t>
      </w: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compliance with tax laws of various jurisdictions, including with respect to intercompany transfer pricing arrangements and taxable nexus;</w:t>
      </w:r>
    </w:p>
    <w:p>
      <w:pPr>
        <w:spacing w:after="0" w:line="32" w:lineRule="exact"/>
        <w:rPr>
          <w:rFonts w:ascii="Arial" w:cs="Arial" w:eastAsia="Arial" w:hAnsi="Arial"/>
          <w:sz w:val="16"/>
          <w:szCs w:val="16"/>
          <w:color w:val="auto"/>
        </w:rPr>
      </w:pPr>
    </w:p>
    <w:p>
      <w:pPr>
        <w:ind w:left="1000" w:right="420" w:hanging="493"/>
        <w:spacing w:after="0" w:line="25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data; and</w:t>
      </w:r>
    </w:p>
    <w:p>
      <w:pPr>
        <w:spacing w:after="0" w:line="9" w:lineRule="exact"/>
        <w:rPr>
          <w:rFonts w:ascii="Arial" w:cs="Arial" w:eastAsia="Arial" w:hAnsi="Arial"/>
          <w:sz w:val="18"/>
          <w:szCs w:val="18"/>
          <w:color w:val="auto"/>
        </w:rPr>
      </w:pPr>
    </w:p>
    <w:p>
      <w:pPr>
        <w:ind w:left="1000" w:right="40" w:hanging="493"/>
        <w:spacing w:after="0" w:line="260" w:lineRule="auto"/>
        <w:tabs>
          <w:tab w:leader="none" w:pos="10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pandemics, earthquakes, typhoons, floods and fires.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If any of these issues were to occur, our business could be materially harmed.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attracting and retaining highly qualified personnel, we may not be able to successfully implement our business strategy.</w:t>
      </w:r>
    </w:p>
    <w:p>
      <w:pPr>
        <w:spacing w:after="0" w:line="24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compete in the highly competitive biotechnology and pharmaceuticals industries depends upon our ability to attract and retain highly qualified managerial, scientific and medical personnel. We are highly dependent on our management, scientific and medical personnel, especially Dr. Remy Luthringer, whose services are critical to the successful implementation of our product candidate development and regulatory strategies. We do not maintain “key man” insurance policies on the lives of these individuals or the lives of any of our other employees. In order to induce valuable employees to continue their employment with us, we have provided stock options that vest over time. The value to employees of stock options that vest over time is significantly affected by movements in our stock price that are beyond our control, and may at any time be insufficient to counteract more lucrative offers from other companies.</w:t>
      </w:r>
    </w:p>
    <w:p>
      <w:pPr>
        <w:spacing w:after="0" w:line="1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Despite our efforts to retain valuable employees, members of our management, scientific and development teams may terminate their employment with us on short notice. Pursuant to their employment arrangements, each of our executive officers may voluntarily terminate their employment at any time by providing as little as thirty days advance notice. Our employment arrangements, other than those with our executive officers, provide for at-will employment, which means that any of our employees (other than our executive officers) could leave our employment at any time, with or without notice. The loss of the services of any of our executive officers or other key employees and our inability to find suitable replacements could potentially harm our business, financial condition and prospects. Our success also depends on our ability to continue to attract, retain and motivate highly skilled junior, mid-level, and senior managers as well as junior, mid-level, and senior scientific and medical personnel.</w:t>
      </w:r>
    </w:p>
    <w:p>
      <w:pPr>
        <w:spacing w:after="0" w:line="177" w:lineRule="exact"/>
        <w:rPr>
          <w:sz w:val="20"/>
          <w:szCs w:val="20"/>
          <w:color w:val="auto"/>
        </w:rPr>
      </w:pPr>
    </w:p>
    <w:p>
      <w:pPr>
        <w:jc w:val="both"/>
        <w:ind w:right="180"/>
        <w:spacing w:after="0" w:line="287" w:lineRule="auto"/>
        <w:rPr>
          <w:sz w:val="20"/>
          <w:szCs w:val="20"/>
          <w:color w:val="auto"/>
        </w:rPr>
      </w:pPr>
      <w:r>
        <w:rPr>
          <w:rFonts w:ascii="Arial" w:cs="Arial" w:eastAsia="Arial" w:hAnsi="Arial"/>
          <w:sz w:val="16"/>
          <w:szCs w:val="16"/>
          <w:color w:val="auto"/>
        </w:rPr>
        <w:t>We may not be able to attract or retain qualified management and scientific personnel in the future due to the intense competition for a limited number of qualified personnel among biopharmaceutical, biotechnology, pharmaceutical and other businesses. Many of the other pharmaceutical companies that we compete against for qualified personnel have greater financial and other resources, different risk profiles and a longer history in the industry than we do.</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They also may provide more diverse opportunities and better chances for career advancement. Some of these characteristics may be more appealing to high quality candidates than what we have to offer. If we are unable to continue to attract and retain high quality personnel, the rate and success at which we can develop and commercialize product candidates will be limited.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jc w:val="both"/>
        <w:ind w:right="440"/>
        <w:spacing w:after="0" w:line="255" w:lineRule="auto"/>
        <w:rPr>
          <w:sz w:val="20"/>
          <w:szCs w:val="20"/>
          <w:color w:val="auto"/>
        </w:rPr>
      </w:pPr>
      <w:r>
        <w:rPr>
          <w:rFonts w:ascii="Arial" w:cs="Arial" w:eastAsia="Arial" w:hAnsi="Arial"/>
          <w:sz w:val="18"/>
          <w:szCs w:val="18"/>
          <w:color w:val="auto"/>
        </w:rPr>
        <w:t>As of December 31, 2021, we had 9 full-time employees. As our development and commercialization plans and strategies develop, we expect to need additional managerial, operational, sales, marketing, financial and other resources. Future growth would impose significant added responsibilities on members of management, including:</w:t>
      </w:r>
    </w:p>
    <w:p>
      <w:pPr>
        <w:spacing w:after="0" w:line="3" w:lineRule="exact"/>
        <w:rPr>
          <w:sz w:val="20"/>
          <w:szCs w:val="20"/>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managing our clinical trials effectively;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7" w:name="page38"/>
    <w:bookmarkEnd w:id="37"/>
    <w:p>
      <w:pPr>
        <w:ind w:left="1000" w:right="40" w:hanging="493"/>
        <w:spacing w:after="0" w:line="258"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while complying with our contractual obligations to licensors, licensees, collaborators, contractors and other third parties;</w:t>
      </w:r>
    </w:p>
    <w:p>
      <w:pPr>
        <w:spacing w:after="0" w:line="1"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finance systems; and</w:t>
      </w:r>
    </w:p>
    <w:p>
      <w:pPr>
        <w:spacing w:after="0" w:line="9" w:lineRule="exact"/>
        <w:rPr>
          <w:rFonts w:ascii="Arial" w:cs="Arial" w:eastAsia="Arial" w:hAnsi="Arial"/>
          <w:sz w:val="18"/>
          <w:szCs w:val="18"/>
          <w:color w:val="auto"/>
        </w:rPr>
      </w:pPr>
    </w:p>
    <w:p>
      <w:pPr>
        <w:ind w:left="1000" w:right="140" w:hanging="493"/>
        <w:spacing w:after="0" w:line="260"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developing our compliance infrastructure and processes to ensure compliance with complex regulations and industry standards regarding us and our product candidates.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our operations expand, we expect that we will need to manage additional relationships with various strategic partners, collaborators, suppliers and other third parties.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acquisitions, mergers or joint ventures could disrupt our business and otherwise harm our business.</w:t>
      </w:r>
    </w:p>
    <w:p>
      <w:pPr>
        <w:spacing w:after="0" w:line="22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actively evaluate various strategic transactions on an ongoing basis and may acquire other businesses, products or technologies as well as pursue strategic alliances, joint ventures or investments in complementary businesses. We merged with Sonkei in November 2013 and acquired Mind-NRG in February 2014, but otherwise do not have any substantial experience integrating or managing acquired businesses or assets. Strategic transactions expose us to many risks, including:</w:t>
      </w:r>
    </w:p>
    <w:p>
      <w:pPr>
        <w:spacing w:after="0" w:line="2" w:lineRule="exact"/>
        <w:rPr>
          <w:sz w:val="20"/>
          <w:szCs w:val="20"/>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disruption in our relationships with collaborators or suppliers as a result of such a transaction;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unanticipated liabilities related to acquired companies;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integrating acquired personnel, technologies and operations into our existing business;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retention of key employees;</w:t>
      </w:r>
    </w:p>
    <w:p>
      <w:pPr>
        <w:spacing w:after="0" w:line="9" w:lineRule="exact"/>
        <w:rPr>
          <w:rFonts w:ascii="Arial" w:cs="Arial" w:eastAsia="Arial" w:hAnsi="Arial"/>
          <w:sz w:val="18"/>
          <w:szCs w:val="18"/>
          <w:color w:val="auto"/>
        </w:rPr>
      </w:pPr>
    </w:p>
    <w:p>
      <w:pPr>
        <w:ind w:left="1000" w:right="300" w:hanging="493"/>
        <w:spacing w:after="0" w:line="250"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management of strategic alliances or joint ventures or acquisition integration challenges;</w:t>
      </w: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in our expenses and reductions in our cash available for operations and other uses;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possible write-offs or impairment charges relating to acquired businesses.</w:t>
      </w:r>
    </w:p>
    <w:p>
      <w:pPr>
        <w:spacing w:after="0" w:line="21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Foreign acquisitions, such as the acquisition of Mind-NRG, a Swiss company,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8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Also, the anticipated benefit of any strategic alliance, joint venture or acquisition may not materialize. Future acquisitions or dispositions could result in potentially dilutive issuances of our equity securities, the incurrence of debt (including on terms that are unfavorable to us that we are unable to repay or that may place burdensome restrictions on our operations),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1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brought by subjects enrolled in our clinical trials, patients, healthcare providers or others using, administering or selling our products. Claims could also be asserted under state consumer protection acts. If we cannot successfully defend ourselves against product liability claims, we may incur substantial liabilities or be required to limit commercialization of our product candidates, if approved. Even successful defense would require significant financial and management resources. Regardless of the merits or eventual outcome, liability claims may result in:</w:t>
      </w:r>
    </w:p>
    <w:p>
      <w:pPr>
        <w:spacing w:after="0" w:line="4" w:lineRule="exact"/>
        <w:rPr>
          <w:sz w:val="20"/>
          <w:szCs w:val="20"/>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marketing or promotional restrictions;</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revenues from product sales;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21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do not currently carry any product liability insurance. Although we anticipate obtaining and maintaining such insurance in line with our needs for our upcoming trials, such insurance may be more costly than we anticipate and any claim that may be brought against us could result in a court judgment or settlement in an amount that is not covered, in whole or in part, by such insurance or that is in excess of the limits of such insurance coverage. We also expect our insurance policies will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Despite the implementation of security measures, our internal computer systems and those of our CROs and other contractors and consultants are vulnerable to damage from computer viruses, unauthorized access, natural disasters, outbreaks of contagious diseases, such as coronavirus, terrorism, war and telecommunication and electrical failures. For example, a cyber-attack on one of our external contractors during the summer of 2019 resulted in a disruption to patient recruitment in our Phase 3 clinical trial of roluperidone. Further similar events could occur and cause interruptions in our operations, and could result in a material disruption of our drug development programs.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165"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00" w:lineRule="exact"/>
        <w:rPr>
          <w:sz w:val="20"/>
          <w:szCs w:val="20"/>
          <w:color w:val="auto"/>
        </w:rPr>
      </w:pPr>
    </w:p>
    <w:p>
      <w:pPr>
        <w:jc w:val="both"/>
        <w:ind w:right="40"/>
        <w:spacing w:after="0" w:line="272" w:lineRule="auto"/>
        <w:rPr>
          <w:sz w:val="20"/>
          <w:szCs w:val="20"/>
          <w:color w:val="auto"/>
        </w:rPr>
      </w:pPr>
      <w:r>
        <w:rPr>
          <w:rFonts w:ascii="Arial" w:cs="Arial" w:eastAsia="Arial" w:hAnsi="Arial"/>
          <w:sz w:val="17"/>
          <w:szCs w:val="17"/>
          <w:color w:val="auto"/>
        </w:rPr>
        <w:t>We are required to comply with the SEC’s rules that implement Section 404 of the Sarbanes-Oxley Act and the Committee on Sponsoring Organizations, Report on Internal Control – Integrated Framework, which require, among other things, that we maintain effective internal controls for financial reporting and disclosure controls and procedures. Under Section 404 of the Sarbanes-Oxley Act, we are required to furnish a report by management on, among other things, the effectiveness of our internal control over financial reporting. This assessment must include disclosure of any material weaknesses identified by management in our internal control over financial reporting. A material weakness is a control deficiency, or combination of control deficiencies, in internal control over financial reporting that results in more than a reasonable possibility that a material misstatement of annual or interim financial statements will not be prevented or detected on a timely basis.</w:t>
      </w:r>
    </w:p>
    <w:p>
      <w:pPr>
        <w:spacing w:after="0" w:line="17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Our compliance with Section 404 requires that we compile the system and process documentation necessary to perform an appropriate evaluation. During the evaluation and testing process, if we identify one or more material weaknesses in our internal control over financial reporting, we will be unable to assert that our internal control over financial reporting is effective. While we have established certain procedures and control over our financial reporting processes, we cannot assure you that these efforts will prevent restatements of our financial statements in the future. If we identify any future significant deficiencies or material weaknesses, the accuracy and timing of our financial reporting may be adversely affected and we may be unable to maintain compliance with securities law requirements regarding timely filing of periodic reports. In addition, investors’ perceptions that our internal controls are inadequate or that we are unable to produce accurate financial statements on a timely basis may harm our stock price and business prospects.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(“Exchange Act”). We designed our disclosure controls and procedures to reasonably assure us that the information we disclose in reports we file in accordance with the Exchange Act is accurate, complete, reviewed by management and reported within the required time period. We believe that any disclosure controls and procedures, no matter how well-conceived and operated, can provide only reasonable, not absolute, assurance that the objectives of the control system are met.</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39" w:name="page40"/>
    <w:bookmarkEnd w:id="39"/>
    <w:p>
      <w:pPr>
        <w:ind w:right="160"/>
        <w:spacing w:after="0" w:line="259"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Prior to November 2013, we operated without full-time employees, relying on the services of consultants, including representatives of our former affiliate, Care Capital LLC, to provide certain accounting and finance functions. We have since hired personnel and continue to develop our disclosure control procedures; however, if we are unsuccessful in building an appropriate infrastructure, or unable to develop procedures and controls to ensure timely and accurate reporting, we may be unable to meet our disclosure requirements under the Exchange Act, which could adversely affect the market price of our common stock and impair our access to the capital markets.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w:t>
      </w:r>
    </w:p>
    <w:p>
      <w:pPr>
        <w:spacing w:after="0" w:line="170"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We are exposed to the risk of employee fraud or other misconduct. Misconduct by employees and independent contractors, such as principal investigators, CROs, manufacturers, consultants, commercial partners and vendors, could include failures to comply with EMA or FDA regulations, to provide accurate information to the FDA, to comply with manufacturing standards we have established, to comply with European, federal and state healthcare fraud and abuse laws, to report financial information or data accurately or to disclose unauthorized activities to us. For example, in our Phase 3 trial of roluperidone for the treatment of negative symptoms of schizophrenia, one clinical site that recruited 17 patients reported implausible behavioral (schizophrenia symptoms) and physiological (blood pressure) data. As a result, these 17 patients were excluded and made part of an mITT analysis set.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certain activities related to research, manufacturing, distribution, pricing, discounting, marketing and promotion, sales commission,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sanctions, monetary penalties, and serious harm to our reputation. In addition, federal procurement laws impose substantial penalties for misconduct in connection with government contracts and require certain contractors to maintain a code of business ethics and conduct.</w:t>
      </w:r>
    </w:p>
    <w:p>
      <w:pPr>
        <w:spacing w:after="0" w:line="18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adopted a code of business ethics and conduct, but it is not always possible to identify and deter employee and independent contractor misconduct, and the precautions we take to detect and prevent improper activities may not be effective in controlling unknown or unmanaged risks or losses or in protecting us from governmental investigations or other actions or lawsuits stemming from a failure to comply with such laws or regulations. If any such actions are instituted against us, those actions could have a significant impact on our business, including the imposition of civil, criminal and administrative penalties, damages, monetary fines, disgorgement, individual imprisonment, possible exclusion from participation in Medicare, Medicaid and other federal healthcare programs, contractual damages, reputational harm, additional reporting requirements and oversight if we become subject to a corporate integrity agreement or similar agreement to resolve allegations of non-compliance with these laws, diminished profits and future earnings and curtailment or restructuring of our operations, any of which could adversely affect our ability to operate.</w:t>
      </w:r>
    </w:p>
    <w:p>
      <w:pPr>
        <w:spacing w:after="0" w:line="178"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b w:val="1"/>
          <w:bCs w:val="1"/>
          <w:i w:val="1"/>
          <w:iCs w:val="1"/>
          <w:color w:val="auto"/>
        </w:rPr>
        <w:t>Any relationships with healthcare professionals, principal investigators, consultants, customers (actual and potential) and third-party payors in connection with our current and future business activities may and may continue to be subject, directly or indirectly, to federal and state healthcare fraud and abuse laws, false claims laws, marketing expenditure tracking and disclosure (or “sunshine”) laws, government price reporting, and health information privacy and security laws. If we are unable to comply, or have not fully complied, with such laws, we could face penalties, contractual damages, reputational harm, diminished profits and future earnings and curtailment or restructuring of our operations.</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Our business operations and activities may be directly, or indirectly, subject to various federal, state and local healthcare laws, including, without limitation, the federal Anti-Kickback Statute and the federal False Claims Act. These laws may impact, among other things, our current activities with principal investigators and research subjects, as well as proposed and future sales, marketing and education programs. In addition, we may be subject to patient data privacy and security regulation by the federal government, state governments and foreign jurisdictions in which we conduct our business. The healthcare laws and regulations that may affect our ability to operate include, but are not limited to:</w:t>
      </w:r>
    </w:p>
    <w:p>
      <w:pPr>
        <w:spacing w:after="0" w:line="3" w:lineRule="exact"/>
        <w:rPr>
          <w:sz w:val="20"/>
          <w:szCs w:val="20"/>
          <w:color w:val="auto"/>
        </w:rPr>
      </w:pPr>
    </w:p>
    <w:p>
      <w:pPr>
        <w:ind w:left="1000" w:right="100" w:hanging="493"/>
        <w:spacing w:after="0" w:line="25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individuals and entities from knowingly and willfully soliciting, receiving, offering or paying any remuneration (including any kickback, bribe or rebate), directly or indirectly, overtly or covertly, in cash or in kind, to induce, or in return for, the referral of an individual for the furnishing or arranging for the furnishing of any item or service, or the purchase, lease, order, arrangement for, or recommendation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0" w:name="page41"/>
    <w:bookmarkEnd w:id="40"/>
    <w:p>
      <w:pPr>
        <w:ind w:left="1000" w:right="380"/>
        <w:spacing w:after="0" w:line="258" w:lineRule="auto"/>
        <w:rPr>
          <w:sz w:val="20"/>
          <w:szCs w:val="20"/>
          <w:color w:val="auto"/>
        </w:rPr>
      </w:pPr>
      <w:r>
        <w:rPr>
          <w:rFonts w:ascii="Arial" w:cs="Arial" w:eastAsia="Arial" w:hAnsi="Arial"/>
          <w:sz w:val="18"/>
          <w:szCs w:val="18"/>
          <w:color w:val="auto"/>
        </w:rPr>
        <w:t>of the purchase, lease, or order of any good, facility, item or service for which payment may be made, in whole or in part, under a federal healthcare program, such as the Medicare and Medicaid programs.</w:t>
      </w:r>
    </w:p>
    <w:p>
      <w:pPr>
        <w:spacing w:after="0" w:line="1" w:lineRule="exact"/>
        <w:rPr>
          <w:sz w:val="20"/>
          <w:szCs w:val="20"/>
          <w:color w:val="auto"/>
        </w:rPr>
      </w:pPr>
    </w:p>
    <w:p>
      <w:pPr>
        <w:ind w:left="1000" w:right="340" w:hanging="493"/>
        <w:spacing w:after="0" w:line="265"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civil False Claims Act, which imposes civil penalties, including through civil whistleblower or qui tam actions, against individuals or entities for, among other things, knowingly presenting, or causing to be presented, to the federal government, claims for payment that are false or fraudulent; knowingly making, using or causing to be made or used, a false record or statement to get a false or fraudulent claim paid or approved by the government; conspiring to defraud the government by getting a false or fraudulent claim paid or approved by the government; or knowingly making, using or causing to be made or used a false record or statement to avoid, decrease or conceal an obligation to pay money to the federal government.</w:t>
      </w:r>
    </w:p>
    <w:p>
      <w:pPr>
        <w:ind w:left="1000" w:right="20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criminal False Claims Act, which imposes criminal fines or imprisonment against individuals or entities who make or present a claim to the government knowing such claim to be false, fictitious or fraudulent.</w:t>
      </w:r>
    </w:p>
    <w:p>
      <w:pPr>
        <w:jc w:val="both"/>
        <w:ind w:left="1000" w:right="28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 w:lineRule="exact"/>
        <w:rPr>
          <w:rFonts w:ascii="Arial" w:cs="Arial" w:eastAsia="Arial" w:hAnsi="Arial"/>
          <w:sz w:val="18"/>
          <w:szCs w:val="18"/>
          <w:color w:val="auto"/>
        </w:rPr>
      </w:pPr>
    </w:p>
    <w:p>
      <w:pPr>
        <w:ind w:left="1000" w:right="10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Veterans Health Care Act of 1992 that requires manufacturers of “covered drugs” to offer them for sale to certain federal agencies, including but not limited to, the Department of Veterans Affairs, on the Federal Supply Schedule, which requires compliance with applicable federal procurement laws and regulations and subjects manufacturers to contractual remedies as well as administrative, civil and criminal sanctions.</w:t>
      </w:r>
    </w:p>
    <w:p>
      <w:pPr>
        <w:spacing w:after="0" w:line="1" w:lineRule="exact"/>
        <w:rPr>
          <w:rFonts w:ascii="Arial" w:cs="Arial" w:eastAsia="Arial" w:hAnsi="Arial"/>
          <w:sz w:val="18"/>
          <w:szCs w:val="18"/>
          <w:color w:val="auto"/>
        </w:rPr>
      </w:pPr>
    </w:p>
    <w:p>
      <w:pPr>
        <w:ind w:left="1000" w:hanging="493"/>
        <w:spacing w:after="0" w:line="265"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 w:lineRule="exact"/>
        <w:rPr>
          <w:rFonts w:ascii="Arial" w:cs="Arial" w:eastAsia="Arial" w:hAnsi="Arial"/>
          <w:sz w:val="17"/>
          <w:szCs w:val="17"/>
          <w:color w:val="auto"/>
        </w:rPr>
      </w:pPr>
    </w:p>
    <w:p>
      <w:pPr>
        <w:ind w:left="1000" w:right="60" w:hanging="493"/>
        <w:spacing w:after="0" w:line="265"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of 2009 (“HITECH”), and their respective implementing regulations, which impose requirements on certain covered healthcare providers, health plans and healthcare clearinghouses as well as their respective business associates that perform services for them that involve individually identifiable health information, relating to the privacy, security and transmission of individually identifiable health information without appropriate authorization, including mandatory contractual terms as well as directly applicable privacy and security standards and requirements.</w:t>
      </w:r>
    </w:p>
    <w:p>
      <w:pPr>
        <w:ind w:left="1000" w:right="4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requires manufacturers of drugs, devices, biologicals and medical supplies for which payment is available under Medicare, Medicaid or the Children’s Health Insurance Program (with certain exceptions) to report annually to the Centers for Medicare &amp; Medicaid Services information related to payments or other transfers of value made to physicians (defined to include doctors, dentists, optometrists, podiatrists and chiropractors), certain other healthcare professionals (such as physician assistants and nurse practitioners) and teaching hospitals, as well as ownership and investment interests held by physicians and their immediate family members.</w:t>
      </w:r>
    </w:p>
    <w:p>
      <w:pPr>
        <w:spacing w:after="0" w:line="2" w:lineRule="exact"/>
        <w:rPr>
          <w:rFonts w:ascii="Arial" w:cs="Arial" w:eastAsia="Arial" w:hAnsi="Arial"/>
          <w:sz w:val="18"/>
          <w:szCs w:val="18"/>
          <w:color w:val="auto"/>
        </w:rPr>
      </w:pPr>
    </w:p>
    <w:p>
      <w:pPr>
        <w:ind w:left="1000" w:right="480" w:hanging="493"/>
        <w:spacing w:after="0" w:line="250"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and other activities that potentially harm consumers.</w:t>
      </w:r>
    </w:p>
    <w:p>
      <w:pPr>
        <w:ind w:left="1000" w:right="80" w:hanging="493"/>
        <w:spacing w:after="0" w:line="281" w:lineRule="auto"/>
        <w:tabs>
          <w:tab w:leader="none" w:pos="10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State law equivalents of each of the above federal laws, such as anti-kickback, false claims, consumer protection and unfair competition laws which may apply to our business practices, including but not limited to our research, distribution, sales and marketing arrangements and our practices for submitting claims involving healthcare items or services reimbursed by any third-party payors, including commercial insurers.</w:t>
      </w:r>
    </w:p>
    <w:p>
      <w:pPr>
        <w:spacing w:after="0" w:line="1" w:lineRule="exact"/>
        <w:rPr>
          <w:rFonts w:ascii="Arial" w:cs="Arial" w:eastAsia="Arial" w:hAnsi="Arial"/>
          <w:sz w:val="16"/>
          <w:szCs w:val="16"/>
          <w:color w:val="auto"/>
        </w:rPr>
      </w:pPr>
    </w:p>
    <w:p>
      <w:pPr>
        <w:ind w:left="1000" w:right="160"/>
        <w:spacing w:after="0" w:line="268" w:lineRule="auto"/>
        <w:rPr>
          <w:rFonts w:ascii="Arial" w:cs="Arial" w:eastAsia="Arial" w:hAnsi="Arial"/>
          <w:sz w:val="16"/>
          <w:szCs w:val="16"/>
          <w:color w:val="auto"/>
        </w:rPr>
      </w:pPr>
      <w:r>
        <w:rPr>
          <w:rFonts w:ascii="Arial" w:cs="Arial" w:eastAsia="Arial" w:hAnsi="Arial"/>
          <w:sz w:val="17"/>
          <w:szCs w:val="17"/>
          <w:color w:val="auto"/>
        </w:rPr>
        <w:t>State laws may also (1) require that pharmaceutical companies comply with the pharmaceutical industry’s voluntary compliance guidelines and the relevant compliance guidance promulgated by the federal government that otherwise restrict the payments that may be made to healthcare providers, (2) require that drug manufacturers file reports with states regarding marketing information, such as the tracking and reporting of gifts, compensations and other remuneration and items of value provided to healthcare professionals and entities (compliance with such requirements may require investment in infrastructure to ensure that tracking is performed properly, and some of these laws result in the public disclosure of various types of payments and relationships, which could potentially have a negative effect on a pharmaceutical company’s business and/or increase enforcement scrutiny of its activities), (3) require the reporting of information related to drug pricing, ,and (4) govern the privacy and security of health information in certain circumstances. State laws are not uniform, may differ from each other in significant ways and may be applied with differing effects.</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any sales of our products or product candidates once commercialized outside the United States will also likely subject us to foreign equivalents of the healthcare laws mentioned above, among other foreign laws such as, for instance, the UK Bribery Act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ind w:right="140"/>
        <w:spacing w:after="0" w:line="296" w:lineRule="auto"/>
        <w:rPr>
          <w:sz w:val="20"/>
          <w:szCs w:val="20"/>
          <w:color w:val="auto"/>
        </w:rPr>
      </w:pPr>
      <w:r>
        <w:rPr>
          <w:rFonts w:ascii="Arial" w:cs="Arial" w:eastAsia="Arial" w:hAnsi="Arial"/>
          <w:sz w:val="16"/>
          <w:szCs w:val="16"/>
          <w:color w:val="auto"/>
        </w:rPr>
        <w:t>2010 other national anti-corruption legislation made as a consequence of a member states’ adherence to the OECD Convention on Combating Bribery of Foreign Public Officials in International Business Transactions, the European Union data protection regime set out in Directive 95/46/EC as implemented nationally by the member states, and European Union consumer laws protecting against defective products, including Directive 85/374/EEC. In addition, there are national laws and codes which are comparable to the United States “sunshine laws,” including certain provisions under the UK ABPI Code of Practice and French disclosure requirements on manufacturers to publicly disclose interactions with French health care professionals.</w:t>
      </w:r>
    </w:p>
    <w:p>
      <w:pPr>
        <w:spacing w:after="0" w:line="16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If our operations are found to be in violation of any of the laws described above or any other governmental regulations that apply to us, we may be subject to, without limitation, civil, criminal and administrative penalties, damages, monetary fines, disgorgement, individual imprisonment, possible exclusion from participation in Medicare, Medicaid and other federal healthcare 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or restructuring of our operations, any of which could adversely affect our ability to operate.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Foreign Corrupt Practices Act.</w:t>
      </w:r>
    </w:p>
    <w:p>
      <w:pPr>
        <w:spacing w:after="0" w:line="22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Activities that violate the FCPA, even if they occur wholly outside the United States, can result in criminal and civil fines, imprisonment, disgorgement, oversight, and debarment from government contracts.</w:t>
      </w:r>
    </w:p>
    <w:p>
      <w:pPr>
        <w:spacing w:after="0" w:line="17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b w:val="1"/>
          <w:bCs w:val="1"/>
          <w:i w:val="1"/>
          <w:iCs w:val="1"/>
          <w:color w:val="auto"/>
        </w:rPr>
        <w:t>We and our service providers may be subject to data protection laws of the EEA and the UK in relation to certain processing of personal data. The actual or perceived failure to comply with such laws could harm our financial condition and operating results and involve distraction from other aspects of our business.</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Certain of our processing of personal data may be subject to EU and/or UK data protection laws. For example, the European Union’s General Data Protection Regulation (“GDPR”) applies to processing operations carried out in the context of the activities of an establishment in the EEA, as well as any processing relating to the offering of goods or services to individuals in the EEA and/or the monitoring of their behavior in the EEA. Also, notwithstanding the UK’s withdrawal from the EU, by operation of the so-called UK GDPR, the GDPR continues to apply in substantially equivalent form to processing operations carried out in the context of the activities of an establishment in the UK, as well as any processing relating to the offering of goods or services to individuals in the UK and/or monitoring of their behavior in the UK—so, when we refer to the GDPR in this section, we are also making reference to the UK GDPR in the context of the UK, unless the context requires otherwise. For example, the GDPR may apply in the context of our processing of personal data related to the conduct of clinical trials in the EEA and/or UK.</w:t>
      </w:r>
    </w:p>
    <w:p>
      <w:pPr>
        <w:spacing w:after="0" w:line="17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addition to that Regulation itself, the GDPR provides that EEA Member States may make their own further laws and regulations to introduce specific requirements related to the processing of “special categories of personal data,” including personal data related to health and genetic information, which we may process in the context of clinical trials. The UK Data Protection Act of 2018 complements the UK GDPR in this regard. This may lead to greater divergence on the law that applies to the processing of such types of personal data across the EEA and/or UK, compliance with which, as and where applicable, may increase our costs and could increase our overall compliance risk. Such country-specific regulations could also limit our ability to collect, use and share data in the context of our EEA and/or UK operations, and/or could cause our compliance costs to increase, ultimately having an adverse impact on our business and harming our business and financial condition.</w:t>
      </w:r>
    </w:p>
    <w:p>
      <w:pPr>
        <w:spacing w:after="0" w:line="17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GDPR imposes stringent data protection obligations, and requires organizations to give detailed disclosures about how they collect, use and share personal data; in certain cases, obtain explicit consent to process special categories of personal data, such as the health or genetic information referred to above; contractually require vendors to meet data protection requirements; maintain adequate data security measures; notify regulators and affected individuals of certain data breaches; meet extensive privacy governance and documentation requirements; and honor individuals’ data protection rights, including their rights to access, correct and delete their personal data.</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spacing w:after="0" w:line="269" w:lineRule="auto"/>
        <w:rPr>
          <w:sz w:val="20"/>
          <w:szCs w:val="20"/>
          <w:color w:val="auto"/>
        </w:rPr>
      </w:pPr>
      <w:r>
        <w:rPr>
          <w:rFonts w:ascii="Arial" w:cs="Arial" w:eastAsia="Arial" w:hAnsi="Arial"/>
          <w:sz w:val="17"/>
          <w:szCs w:val="17"/>
          <w:color w:val="auto"/>
        </w:rPr>
        <w:t>As a particular issue, the GDPR imposes strict rules on the transfer of personal data out of the EEA and UK to the United States and similar “third countries”. Although one of the primary mechanisms for transferring personal data to the United States (known as the “EU-U.S. Privacy Shield”) was invalidated in July 2020, alternative solutions exist that may still serve as a valid mechanism by which entities can validly transfer personal data that is subject to the GDPR to recipients in jurisdictions outside the EEA and UK, which have not been found to provide an adequate level of protection for the purposes of the GDPR, which would include the United States. For example, such transfers may rely on the European Commission’s Standard Contractual Clauses or similar approved-form “appropriate safeguards” (such as the incoming UK “International Data Transfer Agreement”); however, these safeguards require parties that rely upon them to comply with onerous obligations, such as conducting “transfer impact assessments” to determine whether additional measures are need to supplement such safeguards to protect the transferred personal data effectively. Furthermore, relevant regulatory guidance appears to conclude that no combination of such supplementary measures could be sufficient to allow effective reliance on these safeguards in the context of transfers of unencrypted personal data to recipients in third countries where public authorities have excessive powers to access and surveil the transferred personal data – which may, according relevant case law and regulatory guidance, include the United States in certain circumstances. At present, there are few, if any, viable alternatives to these safeguards for many transfers.</w:t>
      </w:r>
    </w:p>
    <w:p>
      <w:pPr>
        <w:spacing w:after="0" w:line="17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addition, although the European Commission announced a decision of ‘adequacy’ concluding that the UK ensures an equivalent level of data protection to the GDPR, which provides some relief regarding the legality of continued personal data flows from the EEA to the UK, some uncertainty remains, as this adequacy determination must be renewed after four years and may be modified or revoked in the interim. If the adequacy decision is withdrawn, modified or revoked, transfers of personal data from the EEA to the UK may require an alternative ‘transfer mechanism’ and we may be required to implement new processes and put new agreements in place, such as the above-mentioned Standard Contractual Clauses, to enable transfers of personal data from the EEA to the UK to continue, which could disrupt our operations.</w:t>
      </w:r>
    </w:p>
    <w:p>
      <w:pPr>
        <w:spacing w:after="0" w:line="192"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If we are unable to implement valid solutions for transfers of personal data processed under the GDPR, we will face increased exposure to regulatory actions, substantial fines and injunctions against processing personal data from the EEA and UK. It may also (i) restrict our activities in the EEA and/or UK; (ii) limit our ability to collaborate with partners as well as other service providers, contractors and other companies subject to the GDPR; or (iii) require us to increase our data processing capabilities in the EEA and/or UK at significant expense or otherwise cause us to change the geographical location or segregation of our relevant systems and operations—any or all of which could adversely affect our financial results.</w:t>
      </w:r>
    </w:p>
    <w:p>
      <w:pPr>
        <w:spacing w:after="0" w:line="161"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GDPR also provides for a robust regulatory enforcement regime and significant penalties for noncompliance, including fines of up to €20 million or 4% of an undertaking’s total worldwide annual turnover for the preceding financial year, whichever is higher. In addition to these fines, supervisory authorities have extensive audit and inspection rights, and powers to order temporary or permanent bans on all or some processing of personal data carried out by noncompliant actors. The GDPR also confers a private right of action on data subjects and consumer associations to lodge complaints with supervisory authorities, seek judicial remedies and obtain compensation for damages resulting from violations of the GDPR. Additionally, as noted above, the UK has transposed the GDPR into the laws of the UK, which could expose us to two parallel regimes, each of which potentially authorizes similar fines, with the UK GDPR permitting fines of up to the higher of £17.5 million or 4% of global annual revenue of any noncompliant organizations for the preceding financial year, as well as other potentially overlapping or divergent enforcement actions for certain actual or perceived violations.</w:t>
      </w:r>
    </w:p>
    <w:p>
      <w:pPr>
        <w:spacing w:after="0" w:line="16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endeavor, and have taken steps, to comply with the GDPR and other EEA and UK privacy and data protection laws and regulations, as well as associated policies, contracts and other obligations, together, European Data Protection Requirements. However, these efforts may not always have been wholly successful. In addition, we anticipate needing to continue to devote significant resources to our compliance efforts in this area. Furthermore, it is possible that the GDPR and/or other EEA and UK privacy and data protection laws and regulations, and other associated European Data Protection Requirements, may be interpreted and applied in a manner that is inconsistent from jurisdiction to jurisdiction or inconsistent with our current policies and practices. Our actual or perceived failure to adequately comply with the European Data Protection Requirements could result in significant fines, penalties, regulatory investigations, lawsuits, significant costs for remediation, damage to our reputation, or other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b w:val="1"/>
          <w:bCs w:val="1"/>
          <w:i w:val="1"/>
          <w:iCs w:val="1"/>
          <w:color w:val="auto"/>
        </w:rPr>
        <w:t>We currently rely and continue to expect to rely on third parties to conduct our future clinical trials. The failure of these third parties to successfully carry out their contractual duties or meet expected deadlines could substantially harm our business because we may not obtain regulatory approval for or commercialize our product candidates in a timely manner or at all.</w:t>
      </w:r>
    </w:p>
    <w:p>
      <w:pPr>
        <w:spacing w:after="0" w:line="184"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We plan to rely upon third-party CROs to monitor and manage data for our future clinical programs. We will rely on these parties for execution of our clinical trials, and control only certain aspects of their activities. Nevertheless, we are responsible for ensuring that each of our studies is conducted in accordance with the applicable protocol and legal, regulatory and scientific standards, and our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right="60"/>
        <w:spacing w:after="0" w:line="253" w:lineRule="auto"/>
        <w:rPr>
          <w:sz w:val="20"/>
          <w:szCs w:val="20"/>
          <w:color w:val="auto"/>
        </w:rPr>
      </w:pPr>
      <w:r>
        <w:rPr>
          <w:rFonts w:ascii="Arial" w:cs="Arial" w:eastAsia="Arial" w:hAnsi="Arial"/>
          <w:sz w:val="18"/>
          <w:szCs w:val="18"/>
          <w:color w:val="auto"/>
        </w:rPr>
        <w:t>reliance on the CROs does not relieve us of our regulatory responsibilities. We and our CROs are required to comply with current GCPs, which are regulations and guidelines enforced by the FDA, the Competent Authorities of the Member States of the European Economic Area and comparable foreign regulatory authorities for all of our products in clinical development. Regulatory authorities enforce these GCPs through periodic inspections of trial sponsors, principal investigators and trial sites. If we or any of our CROs fail to comply with applicable GCP, the clinical data generated in our clinical trials may be deemed unreliable and the EMA, FDA or comparable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requirements. In addition, we must conduct our clinical trials with product produced under cGMP requirements. Failure to comply with these regulations may require us to repeat pre-clinical and clinical trials, which would delay the regulatory approval process.</w:t>
      </w:r>
    </w:p>
    <w:p>
      <w:pPr>
        <w:spacing w:after="0" w:line="1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CROs are not our employees, and except for remedies available to us under our agreements with such CROs, we cannot control whether or not they devote sufficient time and resources to our ongoing clinical, nonclinical and pre-clinical programs. These CROs may also have relationships with other commercial entities, including our competitors, for whom they may also be conducting clinical trials or other drug development activities that could harm our competitive position. If necessary, switching or adding CROs involves substantial cost and requires extensive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prospects, financial condition and results of operations.</w:t>
      </w:r>
    </w:p>
    <w:p>
      <w:pPr>
        <w:spacing w:after="0" w:line="19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we may need to conduct additional trials,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revenues could be delayed. To the extent we are unable to successfully identify and manage the performance of third-party service providers in the future, our business may be adversely affected.</w:t>
      </w:r>
    </w:p>
    <w:p>
      <w:pPr>
        <w:spacing w:after="0" w:line="178"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b w:val="1"/>
          <w:bCs w:val="1"/>
          <w:i w:val="1"/>
          <w:iCs w:val="1"/>
          <w:color w:val="auto"/>
        </w:rPr>
        <w:t>We contract with third parties for the manufacturing of our product candidates for pre-clinical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14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do not have any manufacturing facilities. For our product candidates, we rely, and expect to continue to rely, on third parties for the manufacturing of our drug candidates for pre-clinical and clinical testing, as well as for commercial manufacture if any of our drug candidates receive marketing approval. This reliance on third parties increases the risk that we will not have sufficient quantities of our drug candidates or drugs, or such quantities at an acceptable cost or quality, which could delay, prevent or impair our ability to timely conduct our clinical trials or our other development or commercialization efforts.</w:t>
      </w:r>
    </w:p>
    <w:p>
      <w:pPr>
        <w:spacing w:after="0" w:line="15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We also expect to rely on third-party manufacturers or third-party collaborators for the manufacturing of commercial supply of any other drug candidates for which we or our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1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Moreover, the facilities used by our contract manufacturers to manufacture our products must be approved by the FDA pursuant to inspections that will be conducted after we submit our marketing application to the FDA. Other national regulatory authorities have comparable powers. While we are ultimately responsible for the manufacture of our product candidates, other than through our contractual arrangements, we do not control the manufacturing process of, and are completely dependent on, our contract manufacturing partners for compliance with cGMP requirements,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and/or maintain regulatory approval for their manufacturing facilities. In addition, other than through our contractual agreements, we have no control over the ability of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4" w:name="page45"/>
    <w:bookmarkEnd w:id="44"/>
    <w:p>
      <w:pPr>
        <w:ind w:right="80"/>
        <w:spacing w:after="0" w:line="259" w:lineRule="auto"/>
        <w:rPr>
          <w:sz w:val="20"/>
          <w:szCs w:val="20"/>
          <w:color w:val="auto"/>
        </w:rPr>
      </w:pPr>
      <w:r>
        <w:rPr>
          <w:rFonts w:ascii="Arial" w:cs="Arial" w:eastAsia="Arial" w:hAnsi="Arial"/>
          <w:sz w:val="18"/>
          <w:szCs w:val="18"/>
          <w:color w:val="auto"/>
        </w:rPr>
        <w:t>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Further, our suppliers are subject to regulatory requirements, covering manufacturing, testing, quality control, and record keeping relating to our product candidates,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8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the United States. Additionally, our failure, or the failure of our third-party manufacturers, to comply with applicable regulations could result in sanctions being imposed on us, including clinical hold or termination, fines, imprisonment, injunctions, civil penalties, delays, suspension or withdrawal of approvals, license revocation, seizures, refusal to allow product import or export, Warning Letters, Untitled Letters, or recalls of drug candidates or drugs, operating restrictions and criminal prosecutions, any of which could significantly and adversely affect supplies of our drugs.</w:t>
      </w:r>
    </w:p>
    <w:p>
      <w:pPr>
        <w:spacing w:after="0" w:line="17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drug candidates and any drugs that we may develop may compete with other drug candidates and drugs for access to manufacturing facilities. 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bulk drug substance. If our current contract manufacturers cannot perform as agreed, we may be required to replace such manufacturers and we may incur added costs and delays in identifying and qualifying any such replacement.</w:t>
      </w:r>
    </w:p>
    <w:p>
      <w:pPr>
        <w:spacing w:after="0" w:line="16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Our current and anticipated future dependence upon others for the manufacturing of our drug candidates or drugs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research and development activities involve the controlled use of potentially hazardous substances, including chemical and biological materials, by our third-party manufacturers. Our manufacturers are or will be subject to federal, state and local laws in the United States and in Europe governing the use, manufacture, storage, handling and disposal of medical, radioactive and hazardous materials. Although we believe that our manufacturers’ procedures for using, handling, storing and disposing of these materials comply with legally prescribed standards, we cannot completely eliminate the risk of contamination or injury resulting from medical, radioactive or hazardous materials. As a result of any such contamination or injury, we may incur liability or local, city, state, federal authorities or other equivalent national authorities may curtail the use of these materials and interrupt our business operations. In the event of an accident, we could be held liable for damages or penalized with fines, and the liability could exceed our resources. We do not have any insurance for liabilities arising from medical radioactive or hazardous materials. Compliance with applicable environmental laws is expensive, and current or future environmental regulations may impair our research, development and production efforts, which could harm our business, prospects, financial condition or results of operations.</w:t>
      </w:r>
    </w:p>
    <w:p>
      <w:pPr>
        <w:spacing w:after="0" w:line="18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engage third party collaborators to market and commercialize our product candidates, who may fail to effectively commercialize our product candidates.</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may utilize strategic partners or contract sales forces, where appropriate, to assist in the commercialization of our product candidates, if approved. We currently possess limited resources and may not be successful in establishing collaborations or co-promotion arrangements on acceptable terms, if at all. We also face competition in our search for collaborators and co-promoters. By entering into strategic collaborations or similar arrangements, we will rely on third parties for financial resources and for development, commercialization, sales and marketing and regulatory expertise. Any collaborators may fail to develop or effectively commercialize our product candidates because they cannot obtain the necessary regulatory approvals, they lack adequate financial or other resources or they decide to focus on other initiatives. Any failure to enter into collaboration or co-promotion arrangements or the failure of our third party collaborators to successfully market and commercialize our product candidates would diminish our revenues and harm our results of operations. In addition, conflicts may arise with our collaborators, such as conflicts concerning the interpretation of clinical data, the achievement of milestones, the interpretation of financial provisions or the ownership of intellectual property. If any conflicts arise with our collaborators, they may act in their self-interest, which may be adverse to our best interest.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5" w:name="page46"/>
    <w:bookmarkEnd w:id="45"/>
    <w:p>
      <w:pPr>
        <w:spacing w:after="0" w:line="277" w:lineRule="auto"/>
        <w:rPr>
          <w:sz w:val="20"/>
          <w:szCs w:val="20"/>
          <w:color w:val="auto"/>
        </w:rPr>
      </w:pPr>
      <w:r>
        <w:rPr>
          <w:rFonts w:ascii="Arial" w:cs="Arial" w:eastAsia="Arial" w:hAnsi="Arial"/>
          <w:sz w:val="18"/>
          <w:szCs w:val="18"/>
          <w:b w:val="1"/>
          <w:bCs w:val="1"/>
          <w:i w:val="1"/>
          <w:iCs w:val="1"/>
          <w:color w:val="auto"/>
        </w:rPr>
        <w:t>We depend on our collaboration with Mitsubishi Tanabe Pharma Corporation (“MTPC”), and could be seriously harmed if our license agreement with MTPC was terminated.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exclusively license roluperidone from MTPC, with the rights to develop, sell and import roluperidone globally, excluding most of Asia.</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Substantial potential future milestone payments from Royalty Pharma depend on the development and commercialization of seltorexant. We may be obligated to make payments to Royalty Pharma even if Janssen breaches its obligations to pay us.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January 19, 2021, we entered into an agreement with Royalty Pharma under which Royalty Pharma acquired our royalty interest in seltorexant for an upfront payment of $60 million and up to $95 million in future milestone payments that are contingent upon the achievement of certain clinical, regulatory and commercial milestones for seltorexant by Janssen or any other party in the event that Janssen sells seltorexant.</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Therefore, we will only realize future payments if Janssen achieves certain milestones over which we have no control. Some or all of the milestones may never be achieved, and we may never receive any such future payments.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addition, if Janssen breaches its contractual obligations to pay royalties, we will be obligated to Royalty Pharma to provide makeup payments to compensate for the loss of those royalties, which payments could be substantial.</w:t>
      </w:r>
    </w:p>
    <w:p>
      <w:pPr>
        <w:spacing w:after="0" w:line="17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We may not be successful in establishing new collaborations which could adversely affect our ability to develop future product candidates and commercialize future products.</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also seek to enter into product collaborations in the future, including alliances with other biotechnology or pharmaceutical companies, to enhance and accelerate the development of our future product candidates and the commercialization of any resulting products. We face significant competition in seeking appropriate collaborators and the negotiation process is time-consuming and complex. Moreover, we may not be successful in our efforts to establish collaborations or other alternative arrangements for any future product candidates because our research and development pipeline may be insufficient, our product candidates may be deemed to be at too early of a stage of development for collaboration efforts and/or third parties may view our product candidates as lacking the requisite potential to demonstrate safety and efficacy. As a result, we may have to delay the development of a product candidate and attempt to raise significant additional capital to fund development. Even if we are successful in our efforts to establish collaborations, the terms that we agree upon may not be favorable to us and we may not be able to maintain such collaborations if, for example, development or approval of a product candidate is delayed or sales of an approved product are disappointing.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or protect intellectual property rights, we may not be able to compete effectively in our market.</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None of these licenses give us the right to prepare, file and prosecute patent applications and maintain patents we have licensed, although we may provide comments on prosecution matters, which our licensors may or may not choose to follow. If our licensors elect to discontinue prosecution or maintenance of our licensed patents, we have the right, at our expense, to pursue and maintain those patents and applications.</w:t>
      </w:r>
    </w:p>
    <w:p>
      <w:pPr>
        <w:spacing w:after="0" w:line="16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 Because the issuance of a patent is not conclusive as to its inventorship, scope, validity or enforceability, issued patents that we own or have licensed from third parties may be challenged in the courts or patent offices in the United States and abroad. Such challenges may result in the loss of patent protection, the narrowing of claims in such patents or the invalidity or unenforceability of</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46" w:name="page47"/>
    <w:bookmarkEnd w:id="46"/>
    <w:p>
      <w:pPr>
        <w:ind w:right="160"/>
        <w:spacing w:after="0" w:line="277" w:lineRule="auto"/>
        <w:rPr>
          <w:sz w:val="20"/>
          <w:szCs w:val="20"/>
          <w:color w:val="auto"/>
        </w:rPr>
      </w:pPr>
      <w:r>
        <w:rPr>
          <w:rFonts w:ascii="Arial" w:cs="Arial" w:eastAsia="Arial" w:hAnsi="Arial"/>
          <w:sz w:val="18"/>
          <w:szCs w:val="18"/>
          <w:color w:val="auto"/>
        </w:rPr>
        <w:t>such patents, which could limit our ability to stop others from using or commercializing similar or identical technology and products, or limit the duration of the patent protection for our technology and products.</w:t>
      </w:r>
    </w:p>
    <w:p>
      <w:pPr>
        <w:spacing w:after="0" w:line="17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that protect our technology or products, in whole or in part, or that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One or more of our owned or licensed patents directed to our proprietary products or technologies may expire or have limited commercial life before the proprietary product or technology is approved for marketing in a relevant jurisdiction.</w:t>
      </w:r>
    </w:p>
    <w:p>
      <w:pPr>
        <w:spacing w:after="0" w:line="1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Given the amount of time required for the development, testing and regulatory review of new product candidates, patents protecting our product candidates might expire before or shortly after our product candidates obtain regulatory approval, which may subject us to increased competition and reduce or eliminate our ability to recover our development costs. As a result, our owned and licensed patent portfolio may not provide us with sufficient rights to exclude others from commercializing products similar or identical to ours. Finally, any patent that grants from our U.S. patent applications relating to methods of using MIN-301 to treat neurologic and psychiatric diseases is expected to expire as early as 2028. Although we expect to seek extensions of patent terms where available, including in the United States under the Drug Price Competition and Patent Term Restoration Act of 1984, which permits a patent term extension of up to five years beyond the expiration of the patent, we cannot be certain that an extension will be granted, or if granted, what the applicable time period or the scope of patent protection afforded during any extended period will be. The applicable authorities, including the EMA, FDA, and any equivalent regulatory authority in other countries, may not agree with our assessment of whether such extensions are available, and may refuse to grant extensions to our patents, or may grant more limited extensions than we request. If this occurs, our competitors may take advantage of our investment in development and trials by referencing our clinical and pre-clinical data and launch their product earlier than might otherwise be the case.</w:t>
      </w:r>
    </w:p>
    <w:p>
      <w:pPr>
        <w:spacing w:after="0" w:line="17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expiration of composition of matter patent protection with respect to one or more of our product candidates may diminish our ability to maintain a proprietary position for our intended uses of a particular product candidate. Moreover, we cannot be certain that we will be the first applicant to obtain an FDA approval for any indication of one or more of our product candidates and we cannot be certain that it will be entitled to new chemical entity exclusivity. Such diminution of our proprietary position could have a material adverse effect on our business, results of operations and financial condition.</w:t>
      </w:r>
    </w:p>
    <w:p>
      <w:pPr>
        <w:spacing w:after="0" w:line="1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have in-licensed or acquired a portion of our intellectual property necessary to develop our product candidates, and if we fail to comply with our obligations under any of these arrangements, we could lose such intellectual property rights.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are a party to and rely on several arrangements with third parties, which give us rights to intellectual property that is necessary for the development of our product candidates. In addition, we may enter into similar arrangements in the future. Our current arrangements impose various development, royalty and other obligations on us. If we materially breach these obligations or if our counterparts fail to adequately perform their respective obligations, these exclusive arrangements could be terminated, which would result in our inability to develop, manufacture and sell products that are covered by such intellectual property.</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Competitors may infringe our issued patents or other intellectual property. In some cases, it may be difficult or impossible to detect third-party infringement or misappropriation of our intellectual property rights, even in relation to issued patent claims, and proving any such infringement may be even more difficult. Accordingly, for such undetectable infringement or misappropriation our ability to recover damages will be negligible and we could be at a market disadvantage because we may lack the resources of some of our competitors to monitor for and detect infringement.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any patent infringement proceeding, a court may decide that a patent of ours is invalid or unenforceable, in whole or in part, construe the patent’s claims narrowly or refuse to stop the other party from using the technology at issue on the grounds that our patents do not cover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color w:val="auto"/>
        </w:rPr>
        <w:t>technology. An adverse result in any litigation proceeding could put one or more of our patents at risk of being invalidated or interpreted narrowly.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license or acquire additional patents and intellectual property rights.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One or more third parties may hold intellectual property rights, including patent rights, important or necessary to the development of our products. It may be necessary for us to use the patented or proprietary technology of third parties to commercialize our products, in which case we would be required to obtain a license from these third parties on commercially reasonable terms. If we were not able to obtain a license, or were not able to obtain a license on commercially reasonable terms, our business could be harmed, possibly materially.</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harm our business.</w:t>
      </w:r>
    </w:p>
    <w:p>
      <w:pPr>
        <w:spacing w:after="0" w:line="17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products, and to use our related proprietary technologies. We may become party to, or threatened with, future adversarial proceedings or litigation regarding intellectual property rights with respect to our products, including interference or derivation proceedings before the U.S. Patent and Trademark Office (“USPTO”). Third parties may assert infringement claims against us based on existing patents or patents that may be granted in the future. If we are found to infringe a third party’s intellectual property rights, we could be required to obtain a license from such third party to continue commercializing our products. However, we may not be able to obtain any required license on commercially reasonable terms or at all. Under certain circumstances, we could be forced, including by court order, to cease commercializing our products. In addition, in any such proceeding or litigation, we could be found liable for monetary damages. Regardless of the outcome, such claims or litigation may be time-consuming and costly to defend, divert management resources and have other adverse effects on our business.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Restrictions on our patent rights relating to our product candidates may limit our ability to prevent third parties from competing against us.</w:t>
      </w:r>
    </w:p>
    <w:p>
      <w:pPr>
        <w:spacing w:after="0" w:line="2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Our success will depend, in part, on our ability to obtain and maintain patent protection for our product candidates, preserve our trade secrets, prevent third parties from infringing upon our proprietary rights and operate without infringing upon the proprietary rights of others. Composition-of-matter patents on the biological or chemical active pharmaceutical ingredient are generally considered to be the strongest form of intellectual property protection for pharmaceutical products, as such patents provide protection without regard to any method of use. We have filed and in-licensed composition-of-matter patent applications for all of our product candidates. However, we cannot be certain that the claims in our patent applications to inventions covering our product candidates will be considered patentable by the USPTO and courts in the United States or by the patent offices and courts in foreign countries.</w:t>
      </w:r>
    </w:p>
    <w:p>
      <w:pPr>
        <w:spacing w:after="0" w:line="16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 addition to composition-of-matter patents and patent applications, we also have filed method-of-use patent applications. This type of patent protects the use of the product only for the specified method. However, this type of patent does not prevent a competitor from making and marketing a product that is identical to our product for an indication that is outside the scope of the patented method. Moreover, even if these competitors do not actively promote their product for our targeted indication, physicians may prescribe these products “off-label.” Although off-label prescriptions may infringe or contribute to the infringement of method-of-use patents, the practice is common and such infringement is difficult to prevent or prosecute.</w:t>
      </w:r>
    </w:p>
    <w:p>
      <w:pPr>
        <w:spacing w:after="0" w:line="16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Patent applications in the United States and most other countries are confidential for a period of time until they are published, and publication of discoveries in scientific or patent literature typically lags actual discoveries by several months or more. As a result, we cannot be certain that we and the inventors of the issued patents and applications that we may in-license were the first to conceive of the inventions covered by such patents and pending patent applications or that we and those inventors were the first to file patent applications covering such inventions. Also, we have a number of issued patents and numerous patent applications pending before the USPTO and foreign patent offices and the patent protection may lapse before we manage to obtain commercial value from them, which might result in increased competition and materially affect our position in the market.</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48" w:name="page49"/>
    <w:bookmarkEnd w:id="48"/>
    <w:p>
      <w:pPr>
        <w:ind w:right="180"/>
        <w:spacing w:after="0" w:line="259" w:lineRule="auto"/>
        <w:rPr>
          <w:sz w:val="20"/>
          <w:szCs w:val="20"/>
          <w:color w:val="auto"/>
        </w:rPr>
      </w:pPr>
      <w:r>
        <w:rPr>
          <w:rFonts w:ascii="Arial" w:cs="Arial" w:eastAsia="Arial" w:hAnsi="Arial"/>
          <w:sz w:val="18"/>
          <w:szCs w:val="18"/>
          <w:color w:val="auto"/>
        </w:rPr>
        <w:t>and our licensors’ or collaborators’ ability to obtain patents in the future, this combination of events has created uncertainty with respect to the value of patents, once obtained. Depending on decisions by the United States Congress, the federal courts, and the USPTO, the laws and regulations governing patents could change in unpredictable ways that would weaken our and our licensors’ or collaborators’ ability to obtain new patents or to enforce existing and future patents.</w:t>
      </w:r>
    </w:p>
    <w:p>
      <w:pPr>
        <w:spacing w:after="0" w:line="18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Recent patent reform legislation could increase the uncertainties and costs surrounding the prosecution of our and our licensors’ or collaborators’ patent applications and the enforcement or defense of our or our licensors’ or collaborators’ issued patents. For example, the Leahy-Smith America Invents Act (“America Invents Act”), includes provisions that affect the way patent applications are prosecuted and may also affect patent litigation. The USPTO developed new regulations and procedures to govern administration of the America Invents Act, and many of the substantive changes to patent law associated with the America Invents Act, and in particular, the first to file provisions, are now effective. While it is still not clear what, if any, impact the America Invents Act will have on the operation of our business, the America Invents Act and its implementation could increase the uncertainties and costs surrounding the prosecution of our or our licensors’ or collaborators’ patent applications and the enforcement or defense of our or our licensors’ or collaborators’ issued patents, all of which could have a material adverse effect on our business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Filing, prosecuting and defending patents on all of our product candidates throughout the world would be prohibitively expensive.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in jurisdictions where we do not have any issued patents and our patent claims or other intellectual property rights may not be effective or sufficient to prevent them from so competing.</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8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225"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 w:lineRule="exact"/>
        <w:rPr>
          <w:sz w:val="20"/>
          <w:szCs w:val="20"/>
          <w:color w:val="auto"/>
        </w:rPr>
      </w:pPr>
    </w:p>
    <w:p>
      <w:pPr>
        <w:ind w:left="1000" w:right="2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own or have exclusively licensed.</w:t>
      </w:r>
    </w:p>
    <w:p>
      <w:pPr>
        <w:ind w:left="1000" w:right="12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licensors or strategic partners might not have been the first to make the inventions covered by the issued patents or pending patent applications that we own or have exclusively licensed.</w:t>
      </w:r>
    </w:p>
    <w:p>
      <w:pPr>
        <w:ind w:left="1000" w:hanging="493"/>
        <w:spacing w:after="0"/>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licensors or strategic partners might not have been the first to file patent applications covering certain of our inventions.</w:t>
      </w:r>
    </w:p>
    <w:p>
      <w:pPr>
        <w:spacing w:after="0" w:line="20" w:lineRule="exact"/>
        <w:rPr>
          <w:rFonts w:ascii="Arial" w:cs="Arial" w:eastAsia="Arial" w:hAnsi="Arial"/>
          <w:sz w:val="17"/>
          <w:szCs w:val="17"/>
          <w:color w:val="auto"/>
        </w:rPr>
      </w:pPr>
    </w:p>
    <w:p>
      <w:pPr>
        <w:ind w:left="1000" w:right="10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9" w:lineRule="exact"/>
        <w:rPr>
          <w:rFonts w:ascii="Arial" w:cs="Arial" w:eastAsia="Arial" w:hAnsi="Arial"/>
          <w:sz w:val="18"/>
          <w:szCs w:val="18"/>
          <w:color w:val="auto"/>
        </w:rPr>
      </w:pPr>
    </w:p>
    <w:p>
      <w:pPr>
        <w:ind w:left="1000" w:right="480" w:hanging="493"/>
        <w:spacing w:after="0" w:line="250"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us with any competitive advantages, or may be held invalid or unenforceable, as a result of legal challenges by our competitors.</w:t>
      </w:r>
    </w:p>
    <w:p>
      <w:pPr>
        <w:ind w:left="1000" w:right="700" w:hanging="493"/>
        <w:spacing w:after="0" w:line="290" w:lineRule="auto"/>
        <w:tabs>
          <w:tab w:leader="none" w:pos="10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3" w:lineRule="exact"/>
        <w:rPr>
          <w:rFonts w:ascii="Arial" w:cs="Arial" w:eastAsia="Arial" w:hAnsi="Arial"/>
          <w:sz w:val="18"/>
          <w:szCs w:val="18"/>
          <w:color w:val="auto"/>
        </w:rPr>
      </w:pPr>
    </w:p>
    <w:p>
      <w:pPr>
        <w:ind w:left="1000" w:hanging="493"/>
        <w:spacing w:after="0"/>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they could significantly harm our business, results of operations and prospects.</w:t>
      </w:r>
    </w:p>
    <w:p>
      <w:pPr>
        <w:spacing w:after="0" w:line="225"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16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and contractors were previously employed at universities or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to seeking patents for some of our technology and product candidates,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invention and patent assignment agreements with our employees and consultants that obligate them to assign their inventions to us.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cannot predict what the market price of our common stock will be and, as a result, it may be difficult for you to sell your shares of our common stock.</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 inactive market may impair our ability to raise capital by selling shares of our common stock and may impair our ability to enter into strategic partnerships or acquire companies or products by using our shares of common stock as consideration. We cannot predict the prices at which our common stock will trade. It is possible that in one or more future periods our results of operations may be below the expectations of public market analysts and investors and, as a result of these and other factors, the price of our common stock may fall.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225" w:lineRule="exact"/>
        <w:rPr>
          <w:sz w:val="20"/>
          <w:szCs w:val="20"/>
          <w:color w:val="auto"/>
        </w:rPr>
      </w:pPr>
    </w:p>
    <w:p>
      <w:pPr>
        <w:ind w:right="380"/>
        <w:spacing w:after="0" w:line="258" w:lineRule="auto"/>
        <w:rPr>
          <w:sz w:val="20"/>
          <w:szCs w:val="20"/>
          <w:color w:val="auto"/>
        </w:rPr>
      </w:pPr>
      <w:r>
        <w:rPr>
          <w:rFonts w:ascii="Arial" w:cs="Arial" w:eastAsia="Arial" w:hAnsi="Arial"/>
          <w:sz w:val="18"/>
          <w:szCs w:val="18"/>
          <w:color w:val="auto"/>
        </w:rPr>
        <w:t>The trading price of our common stock is likely to be highly volatile and subject to wide fluctuations in response to various factors, some of which we cannot control. In addition to the factors discussed in this “Risk Factors” section these factors include:</w:t>
      </w:r>
    </w:p>
    <w:p>
      <w:pPr>
        <w:spacing w:after="0" w:line="1"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9" w:lineRule="exact"/>
        <w:rPr>
          <w:rFonts w:ascii="Arial" w:cs="Arial" w:eastAsia="Arial" w:hAnsi="Arial"/>
          <w:sz w:val="18"/>
          <w:szCs w:val="18"/>
          <w:color w:val="auto"/>
        </w:rPr>
      </w:pPr>
    </w:p>
    <w:p>
      <w:pPr>
        <w:ind w:left="1000" w:right="700" w:hanging="493"/>
        <w:spacing w:after="0" w:line="250"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collaborations, joint ventures, collaborations or capital commitments;</w:t>
      </w: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our efforts to in-license or acquire additional product candidates or products;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50" w:name="page51"/>
    <w:bookmarkEnd w:id="50"/>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34"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 price and volume fluctuations attributable to inconsistent trading volume levels of our shares;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including coverage and reimbursement;</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0"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To our knowledge, our executive officers, directors, holders of 5% or more of our capital stock and their respective affiliates beneficially own approximately 35% of our voting stock as of December 31, 2021. Accordingly,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by our existing stockholders in the public market could cause our stock price to fall.</w:t>
      </w:r>
    </w:p>
    <w:p>
      <w:pPr>
        <w:spacing w:after="0" w:line="24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existing stockholders sell, or if the market perceives that our existing stockholders intend to sell, substantial amounts of our common stock in the public market, the market price of our common stock could decline significantly.</w:t>
      </w:r>
    </w:p>
    <w:p>
      <w:pPr>
        <w:spacing w:after="0" w:line="18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management will continue to have broad discretion over the use of the proceeds we received in our public offerings, private placements, warrant exercises and loans and might not apply the proceeds in ways that increase the value of your investment.</w:t>
      </w:r>
    </w:p>
    <w:p>
      <w:pPr>
        <w:spacing w:after="0" w:line="17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management will continue to have broad discretion to use the net proceeds from our public offerings, private placements warrant exercises and loans and you will be relying on the judgment of our management regarding the application of these proceeds. Our management might not apply our net proceeds in ways that ultimately increase the value of your investment. Because of the number and variability of factors that will determine our use of the remaining net proceeds from our initial public offering, follow-on public offering and other financing transactions, their ultimate use may vary substantially from their currently intended use. If we do not invest or apply the net proceeds from our public offerings, private placements, warrant exercises and loans in ways that enhance stockholder value, we may fail to achieve the expected financial results, which could cause our stock price to decline.</w:t>
      </w:r>
    </w:p>
    <w:p>
      <w:pPr>
        <w:spacing w:after="0" w:line="16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b w:val="1"/>
          <w:bCs w:val="1"/>
          <w:i w:val="1"/>
          <w:iCs w:val="1"/>
          <w:color w:val="auto"/>
        </w:rPr>
        <w:t>Future sales and issuances of equity and debt securities could result in additional dilution to our stockholders and could place restrictions on our operations and assets, and such securities could have rights, preferences and privileges senior to those of our common stock.</w:t>
      </w:r>
    </w:p>
    <w:p>
      <w:pPr>
        <w:spacing w:after="0" w:line="12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expect that significant additional capital will be needed in the future to fund our planned operations, including to complete clinical trials for our product candidates. To raise capital, we may sell common stock, convertible securities or other equity securities in one or more transactions at prices and in a manner that we will determine from time to time. If we sell common stock, convertible securities or other equity securities, existing stockholders may be materially diluted by subsequent sales, and new investors could gain rights, preferences and privileges senior to the holders of our common stock.</w:t>
      </w:r>
    </w:p>
    <w:p>
      <w:pPr>
        <w:spacing w:after="0" w:line="15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Pursuant to our Amended and Restated 2013 Equity Incentive Plan, our management is authorized to grant up to 11,031,333 stock options or awards to our employees, directors and consultants, and the number of shares of our common stock reserved for future issuance under the plan will be subject to automatic annual increases in accordance with the terms of the plan. To the extent that new options are granted and exercised or we issue additional shares of common stock in the future, our stockholders may experience additional dilution, which could cause our stock price to fall.</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a public company listed in the United States, we incur significant additional legal, accounting and other costs. We are subject to the reporting requirements of the Exchange Act, which requires, among other things, that we file with the Securities and Exchange Commission (“SEC”), annual, quarterly and current reports with respect to our business and financial condition.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invest resources to comply with evolving laws, regulations and standards, and this investment results in increased general and administrative expenses and a diversion of management’s time and attention. If we do not comply with new laws, regulations and standards, regulatory authorities may initiate legal proceedings against us and our business may be harmed.</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litigation could result in substantial damages and may divert management’s time and attention from our business.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We are currently a target of this type of litigation. See Part I, Item 3, “Legal Proceedings” in this Annual Report on Form 10-K for information concerning securities litigation recently initiated against us and certain of our executive officers and directors and certain other defendants. We may become the target of additional securities litigation in the future. The outcome of litigation is necessarily uncertain, and we could be forced to expend significant resources in the defense of such suits, and we may not prevail. Monitoring and defending against legal actions is time-consuming for our management and detracts from management’s ability to fully focus our internal resources on our business activities. In addition, we may incur substantial legal fees and costs in connection with any such litigation. We have not established any reserves for any potential liability relating to any such potential lawsuits. It is possible that we could, in the future, incur judgments or enter into settlements of claims for monetary damages. We currently maintain insurance coverage for some of these potential liabilities. Other potential liabilities may not be covered by insurance, insurers may dispute coverage or the amount of insurance may not be enough to cover damages awarded. In addition, certain types of damages may not be covered by insurance, and insurance coverage for all or certain forms of liability may become unavailable or prohibitively expensive in the future. A decision adverse to our interests on one or more legal matters or litigation could result in the payment of substantial damages, or possibly fines, and could have a material adverse effect on our reputation, financial condition and results of operations</w:t>
      </w:r>
    </w:p>
    <w:p>
      <w:pPr>
        <w:spacing w:after="0" w:line="184" w:lineRule="exact"/>
        <w:rPr>
          <w:sz w:val="20"/>
          <w:szCs w:val="20"/>
          <w:color w:val="auto"/>
        </w:rPr>
      </w:pPr>
    </w:p>
    <w:p>
      <w:pPr>
        <w:ind w:right="820"/>
        <w:spacing w:after="0" w:line="381"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0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There are provisions in our certificate of incorporation and bylaws that may make it difficult for a third party to acquire, or attempt to acquire, control of our company, even if a change in control was considered favorable by you and other stockholders. For example, our board of directors has the authority to issue up to 100,000,000 shares of preferred stock. The board of directors can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charter documents also contain other provisions that could have an anti-takeover effect, including:</w:t>
      </w:r>
    </w:p>
    <w:p>
      <w:pPr>
        <w:spacing w:after="0" w:line="23"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a classified board of directors such that not all members of the board are elected at one time;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allowing the authorized number of directors to be changed only by resolution of our board of directors;</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9" w:lineRule="exact"/>
        <w:rPr>
          <w:rFonts w:ascii="Arial" w:cs="Arial" w:eastAsia="Arial" w:hAnsi="Arial"/>
          <w:sz w:val="18"/>
          <w:szCs w:val="18"/>
          <w:color w:val="auto"/>
        </w:rPr>
      </w:pPr>
    </w:p>
    <w:p>
      <w:pPr>
        <w:ind w:left="1000" w:right="120" w:hanging="493"/>
        <w:spacing w:after="0" w:line="250"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pacing w:after="0" w:line="20"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left="1000" w:right="340" w:hanging="493"/>
        <w:spacing w:after="0" w:line="258"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than can be acted upon at stockholder meetings; and</w:t>
      </w:r>
    </w:p>
    <w:p>
      <w:pPr>
        <w:spacing w:after="0" w:line="1" w:lineRule="exact"/>
        <w:rPr>
          <w:rFonts w:ascii="Arial" w:cs="Arial" w:eastAsia="Arial" w:hAnsi="Arial"/>
          <w:sz w:val="18"/>
          <w:szCs w:val="18"/>
          <w:color w:val="auto"/>
        </w:rPr>
      </w:pPr>
    </w:p>
    <w:p>
      <w:pPr>
        <w:ind w:left="1000" w:right="140" w:hanging="493"/>
        <w:spacing w:after="0" w:line="260"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requiring the approval of the holders of at least 66 2/3% of the votes that all of our stockholders would be entitled to cast to amend or repeal our bylaws.</w:t>
      </w:r>
    </w:p>
    <w:p>
      <w:pPr>
        <w:spacing w:after="0" w:line="18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7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cease publishing research or publish inaccurate or unfavorable research about our business, our stock price and trading volume could decline.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We have never paid dividends on our capital stock, and because we do not anticipate paying any cash dividends in the foreseeable future, capital appreciation, if any, of our common stock will be your sole source of gain on an investment in our common stock.</w:t>
      </w:r>
    </w:p>
    <w:p>
      <w:pPr>
        <w:spacing w:after="0" w:line="14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have paid no cash dividends on any of our classes of capital stock to date, and we currently intend to retain our future earnings, if any, to fund the development and growth of our business. In addition, the terms of our credit facility limit our ability to pay cash dividends on our capital stock. We do not anticipate paying any cash dividends on our common stock in the foreseeable future. As a result, capital appreciation, if any, of our common stock will be your sole source of gain for the foreseeable future. There is no guarantee that shares of our common stock will appreciate in value or even maintain the price at which you purchase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may be delisted from Nasdaq if we fail to comply with continued listing standards.</w:t>
      </w:r>
    </w:p>
    <w:p>
      <w:pPr>
        <w:spacing w:after="0" w:line="22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If we fail to meet any of the continued listing standards of Nasdaq, our common stock could be delisted from The Nasdaq Global Market. These continued listing standards include specifically enumerated criteria, such as:</w:t>
      </w:r>
    </w:p>
    <w:p>
      <w:pPr>
        <w:spacing w:after="0" w:line="1" w:lineRule="exact"/>
        <w:rPr>
          <w:sz w:val="20"/>
          <w:szCs w:val="20"/>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$1.00 minimum closing bid price;</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shareholders’ equity of $2.5 million;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500,000 shares of publicly-held shares with a market value of at least $1 million;</w:t>
      </w:r>
    </w:p>
    <w:p>
      <w:pPr>
        <w:spacing w:after="0" w:line="9"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300 round-lot shareholders; and</w:t>
      </w:r>
    </w:p>
    <w:p>
      <w:pPr>
        <w:spacing w:after="0" w:line="9" w:lineRule="exact"/>
        <w:rPr>
          <w:rFonts w:ascii="Arial" w:cs="Arial" w:eastAsia="Arial" w:hAnsi="Arial"/>
          <w:sz w:val="18"/>
          <w:szCs w:val="18"/>
          <w:color w:val="auto"/>
        </w:rPr>
      </w:pPr>
    </w:p>
    <w:p>
      <w:pPr>
        <w:ind w:left="1000" w:right="440" w:hanging="493"/>
        <w:spacing w:after="0" w:line="260"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compliance with Nasdaq’s corporate governance requirements, as well as additional or more stringent criteria that may be applied in the exercise of Nasdaq’s discretionary authority.</w:t>
      </w:r>
    </w:p>
    <w:p>
      <w:pPr>
        <w:spacing w:after="0" w:line="18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There can be no assurance that we will be able to maintain compliance and remain in compliance in the future. In particular, our share price may continue to decline for a number of reasons, including many that are beyond our control. See “</w:t>
      </w:r>
      <w:r>
        <w:rPr>
          <w:rFonts w:ascii="Arial" w:cs="Arial" w:eastAsia="Arial" w:hAnsi="Arial"/>
          <w:sz w:val="18"/>
          <w:szCs w:val="18"/>
          <w:i w:val="1"/>
          <w:iCs w:val="1"/>
          <w:color w:val="auto"/>
        </w:rPr>
        <w:t>The market price of our stock may be volatile, and you could lose all</w:t>
      </w:r>
      <w:r>
        <w:rPr>
          <w:rFonts w:ascii="Arial" w:cs="Arial" w:eastAsia="Arial" w:hAnsi="Arial"/>
          <w:sz w:val="18"/>
          <w:szCs w:val="18"/>
          <w:color w:val="auto"/>
        </w:rPr>
        <w:t xml:space="preserve"> </w:t>
      </w:r>
      <w:r>
        <w:rPr>
          <w:rFonts w:ascii="Arial" w:cs="Arial" w:eastAsia="Arial" w:hAnsi="Arial"/>
          <w:sz w:val="18"/>
          <w:szCs w:val="18"/>
          <w:i w:val="1"/>
          <w:iCs w:val="1"/>
          <w:color w:val="auto"/>
        </w:rPr>
        <w:t>or part of your investment</w:t>
      </w:r>
      <w:r>
        <w:rPr>
          <w:rFonts w:ascii="Arial" w:cs="Arial" w:eastAsia="Arial" w:hAnsi="Arial"/>
          <w:sz w:val="18"/>
          <w:szCs w:val="18"/>
          <w:color w:val="auto"/>
        </w:rPr>
        <w:t>.”</w:t>
      </w:r>
    </w:p>
    <w:p>
      <w:pPr>
        <w:spacing w:after="0" w:line="18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If we fail to comply with Nasdaq’s continued listing standards, we may be delisted from Nasdaq.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principal executive offices are located at 1601 Trapelo Road, Suite 286, Waltham, Massachusetts 02451. We lease this facility, which consists of approximately 5,923 square feet of office space, and the term of our lease expires on July 31, 2022. We believe that our existing facility is sufficient for our current needs for the foreseeable future.</w:t>
      </w:r>
    </w:p>
    <w:p>
      <w:pPr>
        <w:spacing w:after="0" w:line="2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6"/>
          <w:szCs w:val="16"/>
          <w:i w:val="1"/>
          <w:iCs w:val="1"/>
          <w:color w:val="auto"/>
        </w:rPr>
        <w:t>McCoy v. Minerva Neurosciences, Inc., et al., No. 1:20-cv-12176</w:t>
      </w:r>
      <w:r>
        <w:rPr>
          <w:rFonts w:ascii="Arial" w:cs="Arial" w:eastAsia="Arial" w:hAnsi="Arial"/>
          <w:sz w:val="16"/>
          <w:szCs w:val="16"/>
          <w:color w:val="auto"/>
        </w:rPr>
        <w:t xml:space="preserve"> and </w:t>
      </w:r>
      <w:r>
        <w:rPr>
          <w:rFonts w:ascii="Arial" w:cs="Arial" w:eastAsia="Arial" w:hAnsi="Arial"/>
          <w:sz w:val="16"/>
          <w:szCs w:val="16"/>
          <w:i w:val="1"/>
          <w:iCs w:val="1"/>
          <w:color w:val="auto"/>
        </w:rPr>
        <w:t>Ao v.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Neurosciences, Inc. et al., No. 1:21-cv-10051</w:t>
      </w:r>
      <w:r>
        <w:rPr>
          <w:rFonts w:ascii="Arial" w:cs="Arial" w:eastAsia="Arial" w:hAnsi="Arial"/>
          <w:sz w:val="16"/>
          <w:szCs w:val="16"/>
          <w:color w:val="auto"/>
        </w:rPr>
        <w:t>, respectively, against the Company and the Company’s Chairman and Chief Executive Officer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6"/>
          <w:szCs w:val="16"/>
          <w:i w:val="1"/>
          <w:iCs w:val="1"/>
          <w:color w:val="auto"/>
        </w:rPr>
        <w:t>In re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Neurosciences, Inc. Securities Litigation, No. 1:20-cv-12176 </w:t>
      </w:r>
      <w:r>
        <w:rPr>
          <w:rFonts w:ascii="Arial" w:cs="Arial" w:eastAsia="Arial" w:hAnsi="Arial"/>
          <w:sz w:val="16"/>
          <w:szCs w:val="16"/>
          <w:color w:val="auto"/>
        </w:rPr>
        <w:t>and appointing lead plaintiffs and their counsel. On March 19, 2021, the parties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has been traded on the Nasdaq Global Market under the symbol “NERV” since our initial public offering on July 1, 2014.</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On February 24, 2022, there were approximately 56 holders of record of our common stock. We believe that the number of beneficial owners of our common stock at that date was substantially greater.</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2021, we did not issue or sell any unregistered securities not previously disclosed in a Quarterly Report on Form 10-Q or in a Current Report on Form 8-K.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repurchase any securities during the quarter ended December 31, 2021.</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55" w:name="page56"/>
    <w:bookmarkEnd w:id="55"/>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Annual Report on Form 10-K. Please also see the section entitled “Special Note Regarding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a clinical-stage biopharmaceutical company focused on the development and commercialization of proprietary product candidates to treat patients suffering from central nervous system (“CNS”) diseases. Leveraging our scientific insights and clinical experience, we have acquired or in-licensed compounds that we believe have innovative mechanisms of actions and therapeutic profiles that potentially address the unmet needs of patients with these diseases.</w:t>
      </w:r>
    </w:p>
    <w:p>
      <w:pPr>
        <w:spacing w:after="0" w:line="21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are developing roluperidone (f/k/a MIN-101) for the treatment of negative symptoms in patients with schizophrenia and have exclusive rights to develop and commercialize MIN-301 for the treatment of Parkinson’s disease. In addition, we previously co-developed seltorexant (f/k/a MIN-202 or JNJ-42847922) with Janssen Pharmaceutica NV (“Janssen”) for the treatment of insomnia disorder and adjunctive treatment of Major Depressive Disorder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 In January 2021, we sold our rights to these potential royalties to Royalty Pharma plc (“Royalty Pharma”).</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not received regulatory approvals to commercialize any of our product candidates, and we have not generated any revenue from the sales or license of our product candidates. We have incurred significant operating losses every year since inception. We expect to incur net losses and negative cash flow from operating activities for the foreseeable future in connection with the clinical development and the potential regulatory approval, infrastructure development and potential commercialization of our product candidates.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Regulatory Update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Roluperidone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C Meeting Request</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On November 3, 2021 we announced that the U. S. Food and Drug Administration (“FDA”) denied our request for a pre-NDA meeting for roluperidone and responded that a Type C guidance meeting would be more appropriate to discuss the evidence for use of roluperidone as monotherapy for the treatment of negative symptoms of schizophrenia. Following the scheduled Type C meeting and, subject to the timing and feedback from the FDA, we continue to prepare for a potential submission of a New Drug Application (“NDA”) for roluperidone in the first half of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Pivotal Bioequivalence Study (MIN-101C015 study)</w:t>
      </w:r>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September 30, 2021, we announced results from a pivotal bioequivalence study comparing the roluperidone formulations used in our late-stage Phase 2b (MIN-101C03 study), Phase 3 trials (MIN-101C07 study), and the planned commercial formulation. The planned commercial formulation was tested under both fasted and fed conditions. The study met key pharmacokinetic (“PK”) objectives, and the data demonstrate bioequivalence in terms of exposure across the various formulations. Subject screening in this study was initiated on April 23, 2021, the completion of the enrollment of 48 healthy volunteers was achieved on June 29, 2021, and the last subject assessment took place on July 26, 2021. Subjects were randomized to the four treatment sequences described above in a 1:1:1:1 ratio. Of the 48 subjects randomized, 45 completed all study periods. Male subjects constituted 69% of the participants, and 75% of the subjects were white. Median age was 36 years, and all had negative SARS-CoV2 status at the beginning of the study and of every study period with the exception of 1 subject who tested positive at the beginning of study Period 4 and was discontinued. The mean body mass index was 28.1±4 kg/m</w:t>
      </w:r>
      <w:r>
        <w:rPr>
          <w:rFonts w:ascii="Arial" w:cs="Arial" w:eastAsia="Arial" w:hAnsi="Arial"/>
          <w:sz w:val="13"/>
          <w:szCs w:val="13"/>
          <w:color w:val="auto"/>
        </w:rPr>
        <w:t>2</w:t>
      </w:r>
      <w:r>
        <w:rPr>
          <w:rFonts w:ascii="Arial" w:cs="Arial" w:eastAsia="Arial" w:hAnsi="Arial"/>
          <w:sz w:val="16"/>
          <w:szCs w:val="16"/>
          <w:color w:val="auto"/>
        </w:rPr>
        <w:t>. The results demonstrated bioequivalence in terms of exposure between the formulations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right="500"/>
        <w:spacing w:after="0" w:line="277" w:lineRule="auto"/>
        <w:rPr>
          <w:sz w:val="20"/>
          <w:szCs w:val="20"/>
          <w:color w:val="auto"/>
        </w:rPr>
      </w:pPr>
      <w:r>
        <w:rPr>
          <w:rFonts w:ascii="Arial" w:cs="Arial" w:eastAsia="Arial" w:hAnsi="Arial"/>
          <w:sz w:val="18"/>
          <w:szCs w:val="18"/>
          <w:color w:val="auto"/>
        </w:rPr>
        <w:t>used in the late-stage efficacy and safety trials of roluperidone with the planned commercial formulation and allow administration of the drug with or without food.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Open Label Extension (MIN-101C07 study)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11, 2021, we announced results from the 40-week Open-Label Extension (“OLE”) of the Company’s Phase 3 trial of roluperidone for the treatment of negative symptoms (“NS”) of schizophrenia. The OLE followed the 12-week double-blind, placebo-controlled portion of this trial. During the 40-week OLE, both investigators and patients were blinded to the roluperidone dose received. The OLE was designed to evaluate the safety of roluperidone after long-term exposure. Efficacy endpoints were also assessed during the OLE period. As such, efficacy data collected during the OLE are not placebo-controlled and therefore their interpretation is limited.</w:t>
      </w:r>
    </w:p>
    <w:p>
      <w:pPr>
        <w:spacing w:after="0" w:line="18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Over the 40-week OLE period, 333 patients participated, of whom 166 patients received the 32 mg dose and 167 patients received the 64 mg dose. A total of 202 of the 333 patients completed the 40-week OLE period.</w:t>
      </w:r>
    </w:p>
    <w:p>
      <w:pPr>
        <w:spacing w:after="0" w:line="17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mean improvement in negative symptoms, as measured by the Negative Symptom Factor Score (“NSFS”), the primary endpoint of the trial, was 6.8 points in the 32 mg arm and 7.5 points in the 64 mg arm. Personal and Social Performance (“PSP”) scale total score (key secondary endpoint) improved by a mean of 12.3 points in the 32 mg arm and 14.5 points in the 64 mg arm, suggesting functional improvement.</w:t>
      </w:r>
    </w:p>
    <w:p>
      <w:pPr>
        <w:spacing w:after="0" w:line="16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mean improvement in positive symptoms, as measured by the Positive and Negative Syndrome Scale (“PANSS”) positive symptom subscore was 1.9 points in the 32 mg arm and 1.8 points in the 64 mg arm.</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Reduced emotional experience, as measured by a sub-factor of the NSFS that assesses a patient’s motivation to take part in everyday life activities, had a mean improvement of 2.8 points in the 32 mg group and 3.0 points in the 64 mg group.</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relapse rate during the OLE, defined as patients being withdrawn from the trial due to worsening of symptoms of psychosis, was 15 patients out of 166 patients (9%) in the 32 mg arm and 10 patients out of 167 patients (6%) in the 64 mg arm. Over the one-year duration of the study (including both the 12 weeks double-blind phase and the 40 weeks OLE) the relapse rate was 11.7% overall.</w:t>
      </w:r>
    </w:p>
    <w:p>
      <w:pPr>
        <w:spacing w:after="0" w:line="18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Roluperidone at both doses was safe and well tolerated and treatment-emergent adverse events (TEAE) were generally mild to moderate in severity. The most frequently reported TEAE in the overall group of 333 patients that participated in the OLE were headaches in 26 patients (7.8%), followed by worsening of schizophrenia in 18 patients (5.4%) and insomnia in 15 patients (4.5%). No other TEAE was reported by more than 4% of the patients. There was one death during the OLE that occurred after treatment discontinuation (45-year old male) in the 64 mg arm due to treatment-unrelated respiratory failure. Twenty patients (6%) experienced serious adverse events, with the majority of them associated with the disease characteristics, and only 5 were judged by the investigator to be related to roluperidone. In total, 37 patients (11%) did not complete the OLE due to TEAE, with 25 patients (7.5%) due to relapse-related events and the remaining 12 patients due to a variety of other TEAE reported in ≤1% of the patients. Few QT prolongations were observed during the OLE, were generally transient in duration and only one in the 64 mg arm led to discontinuation from the study.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Type C Meeting (November 10, 2020)</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On November 30, 2020 we received official meeting minutes from our November 10, 2020 Type C meeting with the FDA regarding the development of roluperidone for treatment of negative symptoms of schizophrenia. The objective of this meeting was to obtain FDA input regarding the existing roluperidone data package, which included the completed Phase 2b study (double-blind phase and OLE) and 12 weeks double-blind phase of the Phase 3 study, and its readiness to support an NDA submission.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Phase 3 Trial 12 weeks double-blind phase results (MIN-101C07 study)</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May 29, 2020, the double-blind, placebo-controlled portion of the Phase 3 trial enrolled a total of 515 patients that were randomized in a 1:1:1 ratio to 32 mg/day roluperidone, 64 mg/day roluperidone, or placebo for 12 weeks, and 513 patients received study drugs. The 12-week double-blind, placebo-controlled portion of the trial did not meet its primary or key secondary endpoints in the intent-to-treat population. The 32 mg and 64 mg doses were not statistically significantly different from placebo at week 12 on the primary endpoint of NSFS (p ≤0.259 and p ≤0.064, respectively), but showed a nominal statistically significant separation from placebo on the 64 mg dose on the key secondary endpoint, PSP total score (p ≤0.542 for 32 mg dose and nominal p ≤0.021 for the 64 mg dose). The subsequent analysis of the change in baseline in NSFS and PSP total score based on the modified ITT population treated with the 64 mg dose resulted in nominally statistically significant p ≤0.044 and p ≤0.017, respectively.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Seltorexant</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June 2020 we exercised our right to opt out of our agreement with Janssen for the future Phase 3 development and commercialization of seltorexant. Under the terms of the opt-out agreement, we were entitled to collect royalties in the mid-single digits on potential future worldwide sales of seltorexant in certain indications, with no further financial obligations to Janssen. In January 2021 we sold our rights to these potential royalties to Royalty Pharma for a $60 million cash payment and up to an additional $95 million in potential milestone payments, subject to completion of the Phase 3 program by Jansen and regulatory approvals. As a result of the sale, we will recognize non-cash interest expense related to the amortization of estimated future royalty payments to Royalty Pharma. Accordingly, for the three and twelve months ended December 31, 2021, we recognized $1.7 million and $6.3 million in non-cash interest expense related to this agreement.</w:t>
      </w:r>
    </w:p>
    <w:p>
      <w:pPr>
        <w:spacing w:after="0" w:line="177"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color w:val="auto"/>
        </w:rPr>
        <w:t>The $60 million payment received from Royalty Pharma has been included on our balance sheet under Liability related to the sale of future royalties. As we recognize interest expense, the Liability related to the sale of future royalties will increase until such time that we begin to receive the related royalty payments. Under the terms of the 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MIN-301</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During 2021 we focused our resources on moving forward our lead drug candidate roluperidone and deferred the future development of MIN-301 until additional resources become available. As a result of our limited resources and development deferral combined with the overall market conditions, we have recognized a non-cash charge of $15.2 million as of December 31, 2021 related to the impairment of the intangible asset for MIN-301. We had previously recognized in-process research and development for MIN-301 in conjunction with the acquisition of MIN-301 during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None of our product candidates have been approved for commercialization and we have not received any revenue in connection with the sale or license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Collaborative Revenue</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During 2020 we exercised our right to opt out of the joint development agreement with Janssen for the future development of seltorexant. As a result, we have no future obligations under the agreement and recognized approximately $41.2 million in collaborative revenue during 2020, which we had previously included on our balance sheet under deferred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Research and development expenses consists of costs incurred in connection with the development of our product candidates, including: fees paid to consultants and clinical research organizations (“CROs”) including in connection with our non-clinical and clinical trials, and other related clinical trial fees, such as for investigator grants, patient screening, laboratory work, clinical trial database management, clinical trial material management and statistical compilation and analysis; licensing fees; costs related to acquiring clinical trial materials; costs related to compliance with regulatory requirements; and costs related to salaries, benefits, bonuses and stock-based compensation granted to employees in research and development functions. We expense research and development costs as they are incurred.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historic direct costs relating to each of our product candidates are summarized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2680" w:type="dxa"/>
            <w:vAlign w:val="bottom"/>
            <w:tcBorders>
              <w:bottom w:val="single" w:sz="8" w:color="CFF0FC"/>
            </w:tcBorders>
          </w:tcPr>
          <w:p>
            <w:pPr>
              <w:spacing w:after="0"/>
              <w:rPr>
                <w:sz w:val="13"/>
                <w:szCs w:val="13"/>
                <w:color w:val="auto"/>
              </w:rPr>
            </w:pPr>
          </w:p>
        </w:tc>
        <w:tc>
          <w:tcPr>
            <w:tcW w:w="34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Roluperidone</w:t>
            </w:r>
          </w:p>
        </w:tc>
        <w:tc>
          <w:tcPr>
            <w:tcW w:w="34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14,421</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17,955</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MIN-117</w:t>
            </w:r>
          </w:p>
        </w:tc>
        <w:tc>
          <w:tcPr>
            <w:tcW w:w="3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MIN-301</w:t>
            </w:r>
            <w:r>
              <w:rPr>
                <w:rFonts w:ascii="Arial" w:cs="Arial" w:eastAsia="Arial" w:hAnsi="Arial"/>
                <w:sz w:val="15"/>
                <w:szCs w:val="15"/>
                <w:color w:val="auto"/>
              </w:rPr>
              <w:t>(1)</w:t>
            </w:r>
          </w:p>
        </w:tc>
        <w:tc>
          <w:tcPr>
            <w:tcW w:w="34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568</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14,425</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19,013</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480" w:type="dxa"/>
            <w:vAlign w:val="bottom"/>
            <w:vMerge w:val="restart"/>
          </w:tcPr>
          <w:p>
            <w:pPr>
              <w:jc w:val="right"/>
              <w:ind w:right="1490"/>
              <w:spacing w:after="0"/>
              <w:rPr>
                <w:sz w:val="20"/>
                <w:szCs w:val="20"/>
                <w:color w:val="auto"/>
              </w:rPr>
            </w:pPr>
            <w:r>
              <w:rPr>
                <w:rFonts w:ascii="Arial" w:cs="Arial" w:eastAsia="Arial" w:hAnsi="Arial"/>
                <w:sz w:val="18"/>
                <w:szCs w:val="18"/>
                <w:color w:val="auto"/>
              </w:rPr>
              <w:t>58</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8" w:name="page59"/>
    <w:bookmarkEnd w:id="58"/>
    <w:p>
      <w:pPr>
        <w:ind w:left="880" w:right="60" w:hanging="508"/>
        <w:spacing w:after="0" w:line="259"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2021 we focused our resources on moving forward our lead drug candidate roluperidone and deferred the future development of MIN-301 until additional resources become available. As a result of our limited resources and development deferral combined with the overall market conditions, we have recognized a non-cash charge of $15.2 million as of December 31, 2021 related to the impairment of the intangible asset for MIN-301.</w:t>
      </w:r>
    </w:p>
    <w:p>
      <w:pPr>
        <w:spacing w:after="0" w:line="18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Completion dates and completion costs can vary significantly for each product candidate and are difficult to predict. We anticipate we will make determinations as to which programs to pursue and how much funding to direct to each program on an ongoing basis in response to the scientific and clinical success or failure of each product candidate, the estimated costs to continue the development program relative to our available resources, as well as an ongoing assessment as to each product candidate’s commercial potential. We will need to raise additional capital or may seek additional product collaborations in the future in order to complete the development and commercialization of our product candidates.</w:t>
      </w:r>
    </w:p>
    <w:p>
      <w:pPr>
        <w:spacing w:after="0" w:line="17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test goodwill and in-process research and development for impairment annually on November 30 or more frequently if changes in circumstances or the occurrence of events suggest impairment exists. The test for impairment of in-process research and development requires us to make several estimates about fair value, most of which are based on projected future cash flows. Changes in these estimates may result in the recognition of an impairment loss in our results of operations. An impairment analysis is performed whenever events or changes in circumstances indicate that the carrying amount of any individual asset may not be recoverable. For example, if we or our counterparties fail to perform our respective obligations under an agreement, or if we lack sufficient funding to develop our product candidates, an impairment may result. In addition, any significant change in market conditions, estimates or judgments used to determine expected future cash flows that indicate a reduction in carrying value may give rise to impairment in the period that the change becomes known.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principally of costs for functions in executive, finance, legal, auditing and taxes. Our general and administrative expenses include salaries, bonuses, facility and information system costs and professional fees for auditing, accounting, consulting and legal services. General and administrative costs also include non-cash stock-based compensation expense as part of our compensation strategy to attract and retain qualified staff.</w:t>
      </w:r>
    </w:p>
    <w:p>
      <w:pPr>
        <w:spacing w:after="0" w:line="18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expect to continue to incur general and administrative expenses related to operating as a publicly-traded company, including increased audit and legal fees, costs of compliance with securities laws, corporate governance and other regulations, investor relations expenses and higher insurance premiums.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(Losses) Gains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Foreign exchange (losses) gains are comprised primarily of losses and gains of foreign currency transactions related to clinical trial expenses denominated in Euros. Since our current clinical trials are conducted in Europe, we incur certain expenses in Euros and record these expenses in United States Dollars at the time the liability is incurred. Changes in the applicable foreign currency rate between the date an expense is recorded and the payment date is recorded as a foreign currency loss or gain. We expect to continue to incur future expenses denominated in Euros as certain of our planned clinical trials are expected to be conducted in Europe.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Non-cash interest expense for the sale of future royalties consists of the interest expense associated with the Royalty Pharma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Operating Losses and Tax Carryforwards</w:t>
      </w:r>
    </w:p>
    <w:p>
      <w:pPr>
        <w:spacing w:after="0" w:line="225"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As of December 31, 2021, we had approximately $70.5 million of federal net operating loss carryforwards. These federal net operating loss carryforwards will begin to expire at various dates beginning in 2030, if not utilized. As of December 31, 2021, we had approximately $66.3 million of state net operating loss carryforwards. During the year ended December 31, 2021, no state operating loss carryforwards had expired.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December 31, 2020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10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20"/>
              <w:spacing w:after="0"/>
              <w:rPr>
                <w:sz w:val="20"/>
                <w:szCs w:val="20"/>
                <w:color w:val="auto"/>
              </w:rPr>
            </w:pPr>
            <w:r>
              <w:rPr>
                <w:rFonts w:ascii="Arial" w:cs="Arial" w:eastAsia="Arial" w:hAnsi="Arial"/>
                <w:sz w:val="18"/>
                <w:szCs w:val="18"/>
                <w:color w:val="auto"/>
              </w:rPr>
              <w:t>Collaborative revenue</w:t>
            </w:r>
          </w:p>
        </w:tc>
        <w:tc>
          <w:tcPr>
            <w:tcW w:w="13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Total revenues</w:t>
            </w:r>
          </w:p>
        </w:tc>
        <w:tc>
          <w:tcPr>
            <w:tcW w:w="10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Research and development</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Borders>
              <w:bottom w:val="single" w:sz="8" w:color="CFF0FC"/>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0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13,327</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FF0FC"/>
          </w:tcPr>
          <w:p>
            <w:pPr>
              <w:ind w:left="460"/>
              <w:spacing w:after="0"/>
              <w:rPr>
                <w:sz w:val="20"/>
                <w:szCs w:val="20"/>
                <w:color w:val="auto"/>
              </w:rPr>
            </w:pPr>
            <w:r>
              <w:rPr>
                <w:rFonts w:ascii="Arial" w:cs="Arial" w:eastAsia="Arial" w:hAnsi="Arial"/>
                <w:sz w:val="18"/>
                <w:szCs w:val="18"/>
                <w:color w:val="auto"/>
              </w:rPr>
              <w:t>Total expenses</w:t>
            </w:r>
          </w:p>
        </w:tc>
        <w:tc>
          <w:tcPr>
            <w:tcW w:w="10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(Loss) gain from operations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50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Non-cash interest expense for the sale of future royalties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(6,327)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(Loss) gain before income taxes</w:t>
            </w:r>
          </w:p>
        </w:tc>
        <w:tc>
          <w:tcPr>
            <w:tcW w:w="10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80" w:type="dxa"/>
            <w:vAlign w:val="bottom"/>
          </w:tcPr>
          <w:p>
            <w:pPr>
              <w:ind w:left="460"/>
              <w:spacing w:after="0"/>
              <w:rPr>
                <w:sz w:val="20"/>
                <w:szCs w:val="20"/>
                <w:color w:val="auto"/>
              </w:rPr>
            </w:pPr>
            <w:r>
              <w:rPr>
                <w:rFonts w:ascii="Arial" w:cs="Arial" w:eastAsia="Arial" w:hAnsi="Arial"/>
                <w:sz w:val="18"/>
                <w:szCs w:val="18"/>
                <w:color w:val="auto"/>
              </w:rPr>
              <w:t>Benefit for income taxes</w:t>
            </w: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bottom w:val="single" w:sz="8" w:color="CFF0FC"/>
            </w:tcBorders>
            <w:shd w:val="clear" w:color="auto" w:fill="CFF0FC"/>
          </w:tcPr>
          <w:p>
            <w:pPr>
              <w:ind w:left="460"/>
              <w:spacing w:after="0"/>
              <w:rPr>
                <w:sz w:val="20"/>
                <w:szCs w:val="20"/>
                <w:color w:val="auto"/>
              </w:rPr>
            </w:pPr>
            <w:r>
              <w:rPr>
                <w:rFonts w:ascii="Arial" w:cs="Arial" w:eastAsia="Arial" w:hAnsi="Arial"/>
                <w:sz w:val="18"/>
                <w:szCs w:val="18"/>
                <w:color w:val="auto"/>
              </w:rPr>
              <w:t>Net (loss) income</w:t>
            </w:r>
          </w:p>
        </w:tc>
        <w:tc>
          <w:tcPr>
            <w:tcW w:w="106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(49,906)</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Revenue</w:t>
      </w:r>
    </w:p>
    <w:p>
      <w:pPr>
        <w:spacing w:after="0" w:line="22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Collaborative revenue was zero and $41.2 million for the years ended December 31, 2021 and 2020, respectively. The decrease in collaborative revenue was the result of opting out of our co-development and license agreement with Janssen and recognizing the revenue during the year ended December 30, 2020 and no similar activity in the corresponding period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Research and development expenses were $32.0 million and $22.0 million for the years ended December 31, 2021 and 2020, respectively, an increase of $10.0 million. The increase in research and development expenses was primarily due to a non-cash $15.2 million charge for the impairment of the in-process research and development intangible asset related to MIN-301 in 2021, partially offset by lower non-cash stock compensation expense and a decrease in clinical costs due to the completion of the roluperidone OLE in May 2021. Non-cash stock compensation expense included in research and development expenses was $2.4 million and $3.0 million for the years ended December 31, 2021 and 2020,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General and administrative expenses were $13.3 million and $17.3 million for the years ended December 31, 2021 and 2020, respectively, a decrease of approximately $4.0 million. The decrease in general and administrative expenses was primarily due to lower staffing related expenses and non-cash stock compensation expense, partially offset by higher legal and insurance costs. Non-cash stock compensation expense included in general and administrative expenses was $2.8 million and $6.7 million for the years ended December 31, 2021 and 2020,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Losses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Foreign exchange losses were $33 thousand and $67 thousand for the years ended December 31, 2021 and 2020, respectively, a decrease of $34 thousand.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loss was primarily due to a higher level of clinical activities in 2020 denominated in Euros.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Investment income was $17 thousand and $161 thousand for the years ended December 31, 2021 and 2020, respectively, a decrease of $144 thousand . The decrease was primarily due to lower average balances for cash equivalents and marketable securities during 2021</w:t>
      </w:r>
      <w:r>
        <w:rPr>
          <w:rFonts w:ascii="Arial" w:cs="Arial" w:eastAsia="Arial" w:hAnsi="Arial"/>
          <w:sz w:val="18"/>
          <w:szCs w:val="18"/>
          <w:color w:val="FF0000"/>
        </w:rPr>
        <w: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0" w:name="page61"/>
    <w:bookmarkEnd w:id="60"/>
    <w:p>
      <w:pPr>
        <w:spacing w:after="0"/>
        <w:rPr>
          <w:sz w:val="20"/>
          <w:szCs w:val="20"/>
          <w:color w:val="auto"/>
        </w:rPr>
      </w:pPr>
      <w:r>
        <w:rPr>
          <w:rFonts w:ascii="Arial" w:cs="Arial" w:eastAsia="Arial" w:hAnsi="Arial"/>
          <w:sz w:val="18"/>
          <w:szCs w:val="18"/>
          <w:i w:val="1"/>
          <w:iCs w:val="1"/>
          <w:color w:val="auto"/>
        </w:rPr>
        <w:t>Non-cash interest expense for the sale of future royalties</w:t>
      </w:r>
    </w:p>
    <w:p>
      <w:pPr>
        <w:spacing w:after="0" w:line="22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Non-cash interest expense for the sale of future royalties was $6.3 million for the year ended December 31, 2021 and zero for the prior year period. The increase was primarily due to the sale of our royalty interest in seltorexant to Royalty Pharma and the effective interest associated with the agreement, see Note 6 for the sale of future royalties.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for Income Taxes</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Benefit for income taxes was $1.8 million and zero for the years ended December 31, 2021 and 2020, respectively, an increase of $1.8 million. The increase was primarily due to the benefit received from lowering the deferred tax liability due to the impairment of the MIN-301 IPR&amp;D asset during 2021.</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Operating Loss</w:t>
      </w:r>
    </w:p>
    <w:p>
      <w:pPr>
        <w:spacing w:after="0" w:line="22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Non-GAAP financial measures are included with the intent of providing investors with a more complete understanding of our historical financial results and trends and to facilitate comparisons between periods. In addition, these non-GAAP financial measures are among the indicators our management uses for planning and forecasting purposes and measuring our performance. Non-GAAP financial measures have no standardized meaning and investors are cautioned that, unlike financial measures prepared in accordance with U.S. GAAP, non-GAAP measures may not be comparable with the calculation of similar measures for other companies. The limitations of using non-GAAP financial measures as performance measures are that they provide a view of our results of operations without including all events during a period and may not provide a comparable view of our performance to other companies in the biopharmaceutical industry.</w:t>
      </w:r>
    </w:p>
    <w:p>
      <w:pPr>
        <w:spacing w:after="0" w:line="19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believe that these non-GAAP financial measures, when considered together with U.S. GAAP measures, can enhance the understanding of our financial and operating performance. Excluding non-cash revenue and expenses, net loss for the three months ended December 31, 2021 and 2020 was $5.0 million and $5.3 million, respectively, or a basic and diluted loss per share of $0.12 and $0.12, respectively. Net loss for the twelve months ended December 31, 2021 and 2020 was $25.0 million and $29.6 million, respectively. For the twelve months ended December 31, 2021 and 2020, basic non-GAAP loss per share was $0.59 and $0.73 respectively, diluted non-GAAP loss per share was $0.59 and $0.72, respectively. The decrease in non-GAAP net loss for both the three and twelve-month periods ended December 31, 2021 versus the prior year periods was due primarily to lower clinical trial expenses as well as lower staffing related expenses, partially offset by higher legal and insurance costs.</w:t>
      </w:r>
    </w:p>
    <w:p>
      <w:pPr>
        <w:spacing w:after="0" w:line="17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Reconciliations of reported GAAP net (loss) income to non-GAAP operating loss for the three and twelve months ended December 31, 2021 and 2020 were as follows (in millions,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4"/>
              </w:rPr>
              <w:t>Three Months Ended December 31,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Twelve Months Ended December 31,</w:t>
            </w:r>
          </w:p>
        </w:tc>
      </w:tr>
      <w:tr>
        <w:trPr>
          <w:trHeight w:val="155"/>
        </w:trPr>
        <w:tc>
          <w:tcPr>
            <w:tcW w:w="5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GAAP net (loss) income</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(21.3)</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(7.3)</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spacing w:after="0"/>
              <w:rPr>
                <w:sz w:val="20"/>
                <w:szCs w:val="20"/>
                <w:color w:val="auto"/>
              </w:rPr>
            </w:pPr>
            <w:r>
              <w:rPr>
                <w:rFonts w:ascii="Arial" w:cs="Arial" w:eastAsia="Arial" w:hAnsi="Arial"/>
                <w:sz w:val="18"/>
                <w:szCs w:val="18"/>
                <w:color w:val="auto"/>
                <w:w w:val="93"/>
              </w:rPr>
              <w:t>Adjustments to reconcile GAAP net (loss) income to non-GAAP net loss: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Collaborative revenue</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(41.2)</w:t>
            </w:r>
          </w:p>
        </w:tc>
      </w:tr>
      <w:tr>
        <w:trPr>
          <w:trHeight w:val="230"/>
        </w:trPr>
        <w:tc>
          <w:tcPr>
            <w:tcW w:w="5420" w:type="dxa"/>
            <w:vAlign w:val="bottom"/>
          </w:tcPr>
          <w:p>
            <w:pPr>
              <w:ind w:left="260"/>
              <w:spacing w:after="0"/>
              <w:rPr>
                <w:sz w:val="20"/>
                <w:szCs w:val="20"/>
                <w:color w:val="auto"/>
              </w:rPr>
            </w:pPr>
            <w:r>
              <w:rPr>
                <w:rFonts w:ascii="Arial" w:cs="Arial" w:eastAsia="Arial" w:hAnsi="Arial"/>
                <w:sz w:val="18"/>
                <w:szCs w:val="18"/>
                <w:color w:val="auto"/>
              </w:rPr>
              <w:t>Impairment of in-process research and development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Non-cash interest expense associated with the sale of future royalties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4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9"/>
                <w:szCs w:val="19"/>
                <w:color w:val="auto"/>
              </w:rPr>
            </w:pPr>
          </w:p>
        </w:tc>
      </w:tr>
      <w:tr>
        <w:trPr>
          <w:trHeight w:val="223"/>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Subtotal non-cash items</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FF0FC"/>
          </w:tcPr>
          <w:p>
            <w:pPr>
              <w:spacing w:after="0"/>
              <w:rPr>
                <w:sz w:val="19"/>
                <w:szCs w:val="19"/>
                <w:color w:val="auto"/>
              </w:rPr>
            </w:pPr>
          </w:p>
        </w:tc>
      </w:tr>
      <w:tr>
        <w:trPr>
          <w:trHeight w:val="229"/>
        </w:trPr>
        <w:tc>
          <w:tcPr>
            <w:tcW w:w="5420" w:type="dxa"/>
            <w:vAlign w:val="bottom"/>
          </w:tcPr>
          <w:p>
            <w:pPr>
              <w:ind w:left="260"/>
              <w:spacing w:after="0"/>
              <w:rPr>
                <w:sz w:val="20"/>
                <w:szCs w:val="20"/>
                <w:color w:val="auto"/>
              </w:rPr>
            </w:pPr>
            <w:r>
              <w:rPr>
                <w:rFonts w:ascii="Arial" w:cs="Arial" w:eastAsia="Arial" w:hAnsi="Arial"/>
                <w:sz w:val="18"/>
                <w:szCs w:val="18"/>
                <w:color w:val="auto"/>
              </w:rPr>
              <w:t>Benefit for income taxes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4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Non-GAAP net loss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Non-GAAP loss per share, basic</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(0.73)</w:t>
            </w: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 basic</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42,683,701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40,823,717</w:t>
            </w:r>
          </w:p>
        </w:tc>
        <w:tc>
          <w:tcPr>
            <w:tcW w:w="100" w:type="dxa"/>
            <w:vAlign w:val="bottom"/>
          </w:tcPr>
          <w:p>
            <w:pPr>
              <w:spacing w:after="0"/>
              <w:rPr>
                <w:sz w:val="19"/>
                <w:szCs w:val="19"/>
                <w:color w:val="auto"/>
              </w:rPr>
            </w:pPr>
          </w:p>
        </w:tc>
      </w:tr>
      <w:tr>
        <w:trPr>
          <w:trHeight w:val="230"/>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Non-GAAP loss per share, diluted</w:t>
            </w:r>
          </w:p>
        </w:tc>
        <w:tc>
          <w:tcPr>
            <w:tcW w:w="34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(0.12)</w:t>
            </w:r>
          </w:p>
        </w:tc>
        <w:tc>
          <w:tcPr>
            <w:tcW w:w="34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(0.12)</w:t>
            </w:r>
          </w:p>
        </w:tc>
        <w:tc>
          <w:tcPr>
            <w:tcW w:w="30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(0.72)</w:t>
            </w:r>
          </w:p>
        </w:tc>
      </w:tr>
      <w:tr>
        <w:trPr>
          <w:trHeight w:val="224"/>
        </w:trPr>
        <w:tc>
          <w:tcPr>
            <w:tcW w:w="5420" w:type="dxa"/>
            <w:vAlign w:val="bottom"/>
          </w:tcPr>
          <w:p>
            <w:pPr>
              <w:spacing w:after="0"/>
              <w:rPr>
                <w:sz w:val="20"/>
                <w:szCs w:val="20"/>
                <w:color w:val="auto"/>
              </w:rPr>
            </w:pPr>
            <w:r>
              <w:rPr>
                <w:rFonts w:ascii="Arial" w:cs="Arial" w:eastAsia="Arial" w:hAnsi="Arial"/>
                <w:sz w:val="18"/>
                <w:szCs w:val="18"/>
                <w:color w:val="auto"/>
              </w:rPr>
              <w:t>Weighted average shares outstanding, diluted</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42,683,701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40,916,871</w:t>
            </w:r>
          </w:p>
        </w:tc>
        <w:tc>
          <w:tcPr>
            <w:tcW w:w="100" w:type="dxa"/>
            <w:vAlign w:val="bottom"/>
          </w:tcPr>
          <w:p>
            <w:pPr>
              <w:spacing w:after="0"/>
              <w:rPr>
                <w:sz w:val="19"/>
                <w:szCs w:val="19"/>
                <w:color w:val="auto"/>
              </w:rPr>
            </w:pPr>
          </w:p>
        </w:tc>
      </w:tr>
      <w:tr>
        <w:trPr>
          <w:trHeight w:val="431"/>
        </w:trPr>
        <w:tc>
          <w:tcPr>
            <w:tcW w:w="5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18"/>
                <w:szCs w:val="18"/>
                <w:color w:val="auto"/>
                <w:w w:val="89"/>
              </w:rPr>
              <w:t>61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4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December 31, 2021, we had an accumulated deficit of approximately $334.7 million. We anticipate that we will continue to incur net losses for the foreseeable future as we continue the development and potential commercialization of our product candidates and to support our operations as a public company. At December 31, 2021, we had approximately $60.9 million in cash, cash equivalents, and restricted cash. In January 2021 Royalty Pharma acquired our royalty interest in seltorexant for an upfront payment of $60 million and up to an additional $95 million in potential milestone payments. The potential future milestone payments to us will be contingent on the achievement of certain clinical, regulatory and commercialization milestones for seltorexant by Janssen. Seltorexant is currently in Phase 3 development for the treatment of MDD with insomnia symptoms by Janssen. We believe that our existing cash, cash equivalents, and restricted cash will be sufficient to meet our cash commitments for at least the next 12 months after the date that the financial statements are issued and beyond. Our material cash requirements primarily relate to expenditures for the continued development of roluperidone, NDA activities, and human capital.</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 We have the ability to adjust our operating plan spending levels based on the timing of future clinical trials which will be predicated upon adequate funding to complete the trials.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At-the-Market Equity Offering Program</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we entered into the Sales Agreement with Jefferies LLC pursuant to which we may offer and sell, from time to time, through Jefferies, up to $50.0 million in shares of our common stock, by any method permitted by law deemed to be an “at-the-market” offering as defined in Rule 415 promulgated under the Securities Act of 1933, as amended. During the year ended December 31, 2020, we issued and sold 3,381,608 shares of our common stock under the Sales Agreement. The shares were sold at an average price of $3.7113 per share for aggregate net proceeds to us of approximately $12.1 million, after deducting sales commissions and offering costs payable by us. During the year ended December 31, 2021, no shares of our common stock were issued or sold under the Sales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Seltorexant Royalties</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49"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On January 19, 2021, we entered into an agreement with Royalty Pharma under which Royalty Pharma acquired our royalty interest in seltorexant for an upfront payment of $60 million and up to an additional $95 million in potential milestone payments, contingent upon the achievement of certain clinical, regulatory and commercial milestones for seltorexant by Janssen.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Uses of Funds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To date, we have not generated any revenue from sales of products. We have only generated collaborative revenue due to opting out of our license and co-development agreement with Janssen, and have only generated revenue from the one-time sale of our royalty interests in seltorexant to Royalty Pharma. We do not know when, or if, we will generate any revenue from sales of our products, or from the potential future royalty streams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62" w:name="page63"/>
    <w:bookmarkEnd w:id="62"/>
    <w:p>
      <w:pPr>
        <w:spacing w:after="0" w:line="286"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government or other third 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the uncertainty and volatility in the capital markets caused by the continuing COVID-19 pandemic may negatively impact the availability and cost of capital. If we are unable to obtain additional financing, future operations would need to be scaled back or discontinued. We believe that our existing cash, cash equivalents, and restricted cash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tables below set forth our significant sources and uses of cash for the periods.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420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2280" w:type="dxa"/>
            <w:vAlign w:val="bottom"/>
            <w:gridSpan w:val="5"/>
          </w:tcPr>
          <w:p>
            <w:pPr>
              <w:jc w:val="right"/>
              <w:ind w:right="250"/>
              <w:spacing w:after="0" w:line="155" w:lineRule="exact"/>
              <w:rPr>
                <w:sz w:val="20"/>
                <w:szCs w:val="20"/>
                <w:color w:val="auto"/>
              </w:rPr>
            </w:pPr>
            <w:r>
              <w:rPr>
                <w:rFonts w:ascii="Arial" w:cs="Arial" w:eastAsia="Arial" w:hAnsi="Arial"/>
                <w:sz w:val="14"/>
                <w:szCs w:val="14"/>
                <w:b w:val="1"/>
                <w:bCs w:val="1"/>
                <w:color w:val="auto"/>
              </w:rPr>
              <w:t>(dollars in millions)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provided by:</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2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2760" w:type="dxa"/>
            <w:vAlign w:val="bottom"/>
            <w:gridSpan w:val="2"/>
          </w:tcPr>
          <w:p>
            <w:pPr>
              <w:jc w:val="right"/>
              <w:ind w:right="648"/>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9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(33.8)</w:t>
            </w:r>
          </w:p>
        </w:tc>
      </w:tr>
      <w:tr>
        <w:trPr>
          <w:trHeight w:val="229"/>
        </w:trPr>
        <w:tc>
          <w:tcPr>
            <w:tcW w:w="42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19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19"/>
                <w:szCs w:val="19"/>
                <w:color w:val="auto"/>
              </w:rPr>
            </w:pPr>
          </w:p>
        </w:tc>
      </w:tr>
      <w:tr>
        <w:trPr>
          <w:trHeight w:val="230"/>
        </w:trPr>
        <w:tc>
          <w:tcPr>
            <w:tcW w:w="42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19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FF0FC"/>
            </w:tcBorders>
          </w:tcPr>
          <w:p>
            <w:pPr>
              <w:spacing w:after="0"/>
              <w:rPr>
                <w:sz w:val="19"/>
                <w:szCs w:val="19"/>
                <w:color w:val="auto"/>
              </w:rPr>
            </w:pPr>
          </w:p>
        </w:tc>
      </w:tr>
      <w:tr>
        <w:trPr>
          <w:trHeight w:val="223"/>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w:t>
            </w:r>
          </w:p>
        </w:tc>
        <w:tc>
          <w:tcPr>
            <w:tcW w:w="19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Operating Activities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Net cash used in operating activities of approximately $24.6 million during the year ended December 31, 2021 was primarily due to our net loss of $49.9 million, a $1.8 million increase in deferred taxes, a $0.1 million increase in capitalized software, and approximately a $1.0 million decrease in accrued expenses, partially offset by an impairment expense of in-process research and development assets of $15.2 million, non-cash interest expense for the sale of future royalties of $6.3 million, stock-based compensation expense of $5.2 million, $0.9 million increase in accounts payable, and a $0.6 million decrease in prepaid expense.</w:t>
      </w:r>
    </w:p>
    <w:p>
      <w:pPr>
        <w:spacing w:after="0" w:line="188"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Net cash used in operating activities of approximately $33.8 million during the year ended December 31, 2020 was primarily due to decreases in deferred revenue of $41.2 million, accrued expenses of $2.1 million and accounts payable of $1.3 million, and an increase of prepaid expense of $0.8 million. The cash used was partially offset by our net income of $1.9 million and stock-based compensation expense of $9.7 million.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Investing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investing activities was zero during the year ended December 31, 2021.</w:t>
      </w:r>
    </w:p>
    <w:p>
      <w:pPr>
        <w:spacing w:after="0" w:line="22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Net cash provided by investing activities of approximately $24.5 million during the year ended December 31, 2020 was primarily due to the maturity and redemption of marketable securities of $28.4 million, partially offset by the purchase of marketable securities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Financing Activities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Net cash provided by financing activities of $60 million during the year ended December 31, 2021 was due to the proceeds from the sale of future royalties of $60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3" w:name="page64"/>
    <w:bookmarkEnd w:id="63"/>
    <w:p>
      <w:pPr>
        <w:ind w:right="260"/>
        <w:spacing w:after="0" w:line="308" w:lineRule="auto"/>
        <w:rPr>
          <w:sz w:val="20"/>
          <w:szCs w:val="20"/>
          <w:color w:val="auto"/>
        </w:rPr>
      </w:pPr>
      <w:r>
        <w:rPr>
          <w:rFonts w:ascii="Arial" w:cs="Arial" w:eastAsia="Arial" w:hAnsi="Arial"/>
          <w:sz w:val="17"/>
          <w:szCs w:val="17"/>
          <w:color w:val="auto"/>
        </w:rPr>
        <w:t>Net cash provided by financing activities of $13.2 million during the year ended December 31, 2020 was due to gross proceeds received from the ‘at the market’ stock offering of $12.6 million less costs of $0.5 million, and proceeds from the exercise of common stock options of $1.1 million.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financial statements, which we have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Our actual results may differ from these estimates under different assumptions or conditions.</w:t>
      </w:r>
    </w:p>
    <w:p>
      <w:pPr>
        <w:spacing w:after="0" w:line="177"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While our significant accounting policies are more fully described in Note 2 to our financial statements appearing elsewhere in this Form 10-K, we believe that the following accounting policies are the most critical for fully understanding and evaluating our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Costs incurred in connection with research and development activities are expensed as incurred. These costs include licensing fees to use certain technology in our research and development projects as well as fees paid to consultants and various entities that perform certain research and testing on our behalf and costs related to salaries, benefits, bonuses and stock-based compensation granted to employees in research and development functions. We determine our expenses related to clinical studies based on our estimates of the services received and efforts expended pursuant to contracts with multiple research institutions and contract research organizations that conduct and manage clinical studies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condensed consolidated financial statements as prepaid or accrued expenses.</w:t>
      </w:r>
    </w:p>
    <w:p>
      <w:pPr>
        <w:spacing w:after="0" w:line="172"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We make estimates of our accrued research and development expenses as of each balance sheet date in our financial statements based on facts and circumstances known at that time. Although we do not expect that our estimates will be materially different from amounts actually incurred, our understanding of status and timing of services performed relative to the actual status and timing of services performed may vary and may result in our reporting amounts that are too high or too low for any particular period. There had been no material adjustments to our prior period estimates of accrued expenses for clinical trials. However, due to the nature of estimates, we cannot assure you that we will not make changes to our estimates in the future as we become aware of additional information about the status or conduct of our clinical trials.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color w:val="auto"/>
        </w:rPr>
        <w:t>In-process research and development (“IPR&amp;D”), assets represent capitalized incomplete research projects that we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4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we will make a determination about the then remaining useful life of the intangible asset and begin amortization. We test our indefinite-lived intangibles, IPR&amp;D assets, for impairment annually on November 30 and more frequently if events or changes in circumstances indicate that it is more likely than not that the asset is impaired. In estimating the fair value of IPR&amp;D, an income approach was used with a discounted cash flow analysis. Many assumptions and estimates are included in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ind w:right="40"/>
        <w:spacing w:after="0" w:line="277" w:lineRule="auto"/>
        <w:rPr>
          <w:sz w:val="20"/>
          <w:szCs w:val="20"/>
          <w:color w:val="auto"/>
        </w:rPr>
      </w:pPr>
      <w:r>
        <w:rPr>
          <w:rFonts w:ascii="Arial" w:cs="Arial" w:eastAsia="Arial" w:hAnsi="Arial"/>
          <w:sz w:val="18"/>
          <w:szCs w:val="18"/>
          <w:color w:val="auto"/>
        </w:rPr>
        <w:t>this analysis including revenue and expense projections, probability of success factors, expected product launch date and a weighted average cost of capital of 20.5%.</w:t>
      </w:r>
    </w:p>
    <w:p>
      <w:pPr>
        <w:spacing w:after="0" w:line="17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Potential triggering events that could indicate whether an impairment to the IPR&amp;D may have occurred include: clinical trial results where the compound under investigation did not meet pre</w:t>
      </w:r>
      <w:r>
        <w:rPr>
          <w:rFonts w:ascii="MS PGothic" w:cs="MS PGothic" w:eastAsia="MS PGothic" w:hAnsi="MS PGothic"/>
          <w:sz w:val="16"/>
          <w:szCs w:val="16"/>
          <w:color w:val="auto"/>
        </w:rPr>
        <w:t>‑</w:t>
      </w:r>
      <w:r>
        <w:rPr>
          <w:rFonts w:ascii="Arial" w:cs="Arial" w:eastAsia="Arial" w:hAnsi="Arial"/>
          <w:sz w:val="16"/>
          <w:szCs w:val="16"/>
          <w:color w:val="auto"/>
        </w:rPr>
        <w:t>established criteria or clinical endpoints, failure to obtain regulatory approval, the inability to fund future clinical trials, failure to obtain patent protection, adverse changes in the regulatory environment, the approval of competing therapies or compounds, adverse changes in applicable laws or regulations and a variety of other circumstances. The impairment of IPR&amp;D could have a material adverse impact on our financial condition. In order to determine whether an impairment has occurred, management must evaluate the events and incorporate multiple assumptions including: costs associated with continuing the development program, competing therapies or compounds, potential market size, estimated future cash flows and other factors. When testing indefinite-lived intangibles for impairment, we may assess qualitative factors for our indefinite-lived intangibles to determine whether it is more likely than not (that is, a likelihood of more than 50 percent) that the asset is impaired. Alternatively, we may bypass this qualitative assessment for some or all of our indefinite-lived intangibles and perform the quantitative impairment test that compares the fair value of the indefinite-lived intangible asset with the asset’s carrying amount. We test our IPR&amp;D for impairment as of November 30.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MIN-301 In-process Research and Development Asset</w:t>
      </w:r>
    </w:p>
    <w:p>
      <w:pPr>
        <w:spacing w:after="0" w:line="225"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During 2021 we focused our resources on moving forward our lead drug candidate roluperidone and deferred the future development of MIN-301 until additional resources become available. As a result of our limited resources and development deferral combined with the overall market conditions, we have recognized a non-cash charge of $15.2 million as of December 31, 2021 related to the impairment of the intangible asset for MIN-301. We had previously recognized in-process research and development for MIN-301 in conjunction with the acquisition of MIN-301 during 2014.</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test our goodwill for impairment annually, or whenever events or changes in circumstances indicate an impairment may have occurred, by comparing our reporting unit’s carrying value to its fair value. Impairment may result from, among other things, deterioration in the performance of the acquired business, adverse market conditions, adverse changes in applicable laws or regulations and a variety of other circumstances. If we determine that an impairment has occurred, we are required to record a write-down of the carrying value and charge the impairment as an operating expense in the period the determination is made. In evaluating the recoverability of the carrying value of goodwill, we must make assumptions regarding estimated future cash flows and other factors to determine the fair value of the acquired assets. Changes in strategy or market conditions could significantly impact those judgments in the future and require an adjustment to the recorded balances. We test our goodwill for impairment as of November 30. There was no impairment of goodwill for the years ended December 31, 2021 or 2020.</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We use a recognition threshold and measurement attribute for the financial statement recognition and measurement of a tax position taken, or expected to be taken, in a tax return. We have elected to treat interest and penalties, to the extent they arise, as a component of income taxes. There was no interest or penalties related to income taxes for the years ended December 31, 2021 or 2020.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treat the sale of future royalties to Royalty Pharma as a debt financing, as we have significant continuing involvement in facilitating the transfer of royalties to Royalty Pharma and Royalty Pharma has recourse against us relating to the payments due from Janssen. As a result, we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5" w:name="page66"/>
    <w:bookmarkEnd w:id="65"/>
    <w:p>
      <w:pPr>
        <w:ind w:right="100"/>
        <w:spacing w:after="0" w:line="263" w:lineRule="auto"/>
        <w:rPr>
          <w:sz w:val="20"/>
          <w:szCs w:val="20"/>
          <w:color w:val="auto"/>
        </w:rPr>
      </w:pPr>
      <w:r>
        <w:rPr>
          <w:rFonts w:ascii="Arial" w:cs="Arial" w:eastAsia="Arial" w:hAnsi="Arial"/>
          <w:sz w:val="18"/>
          <w:szCs w:val="18"/>
          <w:color w:val="auto"/>
        </w:rPr>
        <w:t>agreement, all payments from Royalty Pharma to us,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liability related to sale of future royalties and the related interest expense is based on our current estimates of future royalties expected to be paid over the life of the arrangement. We will periodically assess the expected royalty payments using a combination of internal projections and forecasts from external sources. To the extent our future estimates of royalty payments are greater or less than previous estimates or the estimated timing of such payments is materially different than its previous estimates, we will prospectively recognize related non-cash interest expense. As of December 31, 2021, we estimated the effective annual interest rate to be approximately 10.7%. For example, as of December 31, 2021, a 20% increase in the probability of clinical success of the MDD with insomnia trial would represent a 1.5 percentage points increase in the effective annual interest rate, which would increase the non-cash interest expense and future milestone payments by $37.7 million and $5.4 million, respectively, over the remaining life 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From time to time, new accounting pronouncements are issued by Financial Accounting Standards Board (“FASB”) and are adopted by us as of the specified effective date. Our significant accounting policies are described in Note 2 to our financial statements appearing elsewhere in this Form 10-K. Except as described in Note 2, we believe that the impact of other recently issued, but not yet adopted, accounting pronouncements will not have a material impact on the financial position, results of operations and cash flows, or do not apply to our operations.</w:t>
      </w:r>
    </w:p>
    <w:p>
      <w:pPr>
        <w:spacing w:after="0" w:line="16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760" w:type="dxa"/>
            <w:vAlign w:val="bottom"/>
            <w:gridSpan w:val="7"/>
          </w:tcPr>
          <w:p>
            <w:pPr>
              <w:ind w:left="24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364"/>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Page</w:t>
            </w:r>
          </w:p>
        </w:tc>
      </w:tr>
      <w:tr>
        <w:trPr>
          <w:trHeight w:val="385"/>
        </w:trPr>
        <w:tc>
          <w:tcPr>
            <w:tcW w:w="10680" w:type="dxa"/>
            <w:vAlign w:val="bottom"/>
            <w:gridSpan w:val="8"/>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No. 34)</w:t>
            </w:r>
          </w:p>
        </w:tc>
        <w:tc>
          <w:tcPr>
            <w:tcW w:w="560" w:type="dxa"/>
            <w:vAlign w:val="bottom"/>
          </w:tcPr>
          <w:p>
            <w:pPr>
              <w:ind w:left="320"/>
              <w:spacing w:after="0"/>
              <w:rPr>
                <w:sz w:val="20"/>
                <w:szCs w:val="20"/>
                <w:color w:val="auto"/>
              </w:rPr>
            </w:pPr>
            <w:r>
              <w:rPr>
                <w:rFonts w:ascii="Arial" w:cs="Arial" w:eastAsia="Arial" w:hAnsi="Arial"/>
                <w:sz w:val="18"/>
                <w:szCs w:val="18"/>
                <w:color w:val="auto"/>
                <w:w w:val="81"/>
              </w:rPr>
              <w:t>F-1</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Consolidated Balance Sheets as of December 31, 2021 and 2020</w:t>
              </w:r>
            </w:hyperlink>
          </w:p>
        </w:tc>
        <w:tc>
          <w:tcPr>
            <w:tcW w:w="6020" w:type="dxa"/>
            <w:vAlign w:val="bottom"/>
            <w:gridSpan w:val="4"/>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10680" w:type="dxa"/>
            <w:vAlign w:val="bottom"/>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Consolidated Statements of Operations for the Years Ended December 31, 2021 and 2020</w:t>
              </w:r>
            </w:hyperlink>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F-4</w:t>
            </w: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720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72">
              <w:r>
                <w:rPr>
                  <w:rFonts w:ascii="Arial" w:cs="Arial" w:eastAsia="Arial" w:hAnsi="Arial"/>
                  <w:sz w:val="18"/>
                  <w:szCs w:val="18"/>
                  <w:color w:val="0000EE"/>
                  <w:w w:val="90"/>
                </w:rPr>
                <w:t>Consolidated Statements of Stockholders’ Equity for the Years Ended December 31, 2021 and 2020</w:t>
              </w:r>
            </w:hyperlink>
          </w:p>
        </w:tc>
        <w:tc>
          <w:tcPr>
            <w:tcW w:w="348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65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Consolidated Statements of Cash Flows for the Years Ended December 31, 2021 and 2020</w:t>
              </w:r>
            </w:hyperlink>
          </w:p>
        </w:tc>
        <w:tc>
          <w:tcPr>
            <w:tcW w:w="4160" w:type="dxa"/>
            <w:vAlign w:val="bottom"/>
            <w:gridSpan w:val="2"/>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31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Notes to Consolidated Financial Statements</w:t>
              </w:r>
            </w:hyperlink>
          </w:p>
        </w:tc>
        <w:tc>
          <w:tcPr>
            <w:tcW w:w="7520" w:type="dxa"/>
            <w:vAlign w:val="bottom"/>
            <w:gridSpan w:val="6"/>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F-7</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right="5040"/>
        <w:spacing w:after="0" w:line="41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Minerva Neurosciences, Inc. </w:t>
      </w:r>
      <w:r>
        <w:rPr>
          <w:rFonts w:ascii="Arial" w:cs="Arial" w:eastAsia="Arial" w:hAnsi="Arial"/>
          <w:sz w:val="18"/>
          <w:szCs w:val="18"/>
          <w:b w:val="1"/>
          <w:bCs w:val="1"/>
          <w:color w:val="auto"/>
        </w:rPr>
        <w:t>Opinion on the Financial Statements</w:t>
      </w:r>
    </w:p>
    <w:p>
      <w:pPr>
        <w:spacing w:after="0" w:line="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audited the accompanying consolidated balance sheets of Minerva Neurosciences, Inc. and subsidiaries (the "Company") as of December 31, 2021 and 2020, the related consolidated statements of operations, shareholders' equity, and cash flows, for each of the two years in the period ended December 31, 2021,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each of the two years in the period ended December 31, 2021, in conformity with accounting principles generally accepted in the United States of America.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In-Process Research and Development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5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As described in Note 2 to the consolidated financial statements, the Company has in-process research and development assets (“IPR&amp;D”) that are indefinite-lived intangible assets. As of December 31, 2021, the carrying value of the Company’s IPR&amp;D was $0. During 2021, the Company has recognized a non-cash charge of $15.2 million related to the impairment of the intangible asset for MIN-301. To assess the IPR&amp;D carrying value for impairment, management estimates the fair value of IPR&amp;D annually on its elected assessment date of November 30, 2021, using a multi-period excess earnings method, which is a specific discounted cash flow method. The determination of the fair value requires management to make significant estimates related to the discount rate used in the model and for the estimated timing of commercialization of the drugs. Changes in these assumptions could have a significant impact on the fair value of the IPR&amp;D and a significant change in fair value could cause a significant impairment.</w:t>
      </w:r>
    </w:p>
    <w:p>
      <w:pPr>
        <w:spacing w:after="0" w:line="9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identified IPR&amp;D as a critical audit matter because of the significant estimates and assumptions management makes related to the commercialization dates of the drugs and selection of the discount rate to determine the fair value of the IPR&amp;D. This required a high degree of auditor judgment and an increased extent of effort, including the need to involve our fair value specialists, when performing audit procedures to evaluate the selection of the discount rate and the reasonableness of management’s forecast of the commercialization dates for IPR&amp;D.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audit procedures related to the selection of the discount rate and forecast of the commercialization dates for IPR&amp;D included the following, among others:</w:t>
      </w:r>
    </w:p>
    <w:p>
      <w:pPr>
        <w:spacing w:after="0" w:line="35" w:lineRule="exact"/>
        <w:rPr>
          <w:sz w:val="20"/>
          <w:szCs w:val="20"/>
          <w:color w:val="auto"/>
        </w:rPr>
      </w:pPr>
    </w:p>
    <w:p>
      <w:pPr>
        <w:ind w:left="740" w:right="40" w:hanging="368"/>
        <w:spacing w:after="0" w:line="277" w:lineRule="auto"/>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reasonableness and consistency of management’s selection and application of the model used to perform the annual impairment evaluation.</w:t>
      </w:r>
    </w:p>
    <w:p>
      <w:pPr>
        <w:spacing w:after="0" w:line="21"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Evaluated the valuation model to ensure it is consistent with the selected valuation methodologies and assumptions.</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Tested the mathematical accuracy of the model used by management.</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Evaluated the reasonableness of the discount rate by:</w:t>
      </w:r>
    </w:p>
    <w:p>
      <w:pPr>
        <w:spacing w:after="0" w:line="76" w:lineRule="exact"/>
        <w:rPr>
          <w:rFonts w:ascii="Arial" w:cs="Arial" w:eastAsia="Arial" w:hAnsi="Arial"/>
          <w:sz w:val="18"/>
          <w:szCs w:val="18"/>
          <w:color w:val="auto"/>
        </w:rPr>
      </w:pPr>
    </w:p>
    <w:p>
      <w:pPr>
        <w:ind w:left="1500" w:hanging="372"/>
        <w:spacing w:after="0"/>
        <w:tabs>
          <w:tab w:leader="none" w:pos="1500" w:val="left"/>
        </w:tabs>
        <w:numPr>
          <w:ilvl w:val="2"/>
          <w:numId w:val="37"/>
        </w:numPr>
        <w:rPr>
          <w:rFonts w:ascii="Arial" w:cs="Arial" w:eastAsia="Arial" w:hAnsi="Arial"/>
          <w:sz w:val="16"/>
          <w:szCs w:val="16"/>
          <w:color w:val="auto"/>
        </w:rPr>
      </w:pPr>
      <w:r>
        <w:rPr>
          <w:rFonts w:ascii="Arial" w:cs="Arial" w:eastAsia="Arial" w:hAnsi="Arial"/>
          <w:sz w:val="16"/>
          <w:szCs w:val="16"/>
          <w:color w:val="auto"/>
        </w:rPr>
        <w:t>Testing the source information underlying the determination of the discount rate and the mathematical accuracy of the calculation.</w:t>
      </w:r>
    </w:p>
    <w:p>
      <w:pPr>
        <w:spacing w:after="0" w:line="99" w:lineRule="exact"/>
        <w:rPr>
          <w:rFonts w:ascii="Arial" w:cs="Arial" w:eastAsia="Arial" w:hAnsi="Arial"/>
          <w:sz w:val="16"/>
          <w:szCs w:val="16"/>
          <w:color w:val="auto"/>
        </w:rPr>
      </w:pPr>
    </w:p>
    <w:p>
      <w:pPr>
        <w:ind w:left="1500" w:hanging="372"/>
        <w:spacing w:after="0"/>
        <w:tabs>
          <w:tab w:leader="none" w:pos="15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Developing a range of independent estimates and comparing those to the discount rate selected by management.</w:t>
      </w:r>
    </w:p>
    <w:p>
      <w:pPr>
        <w:spacing w:after="0" w:line="76" w:lineRule="exact"/>
        <w:rPr>
          <w:rFonts w:ascii="Arial" w:cs="Arial" w:eastAsia="Arial" w:hAnsi="Arial"/>
          <w:sz w:val="18"/>
          <w:szCs w:val="18"/>
          <w:color w:val="auto"/>
        </w:rPr>
      </w:pPr>
    </w:p>
    <w:p>
      <w:pPr>
        <w:ind w:left="740" w:hanging="368"/>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evaluated the reasonableness of management’s forecasts of commercialization dates by:</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Comparing management’s forecasts with internal communications to management and the Board of Directors.</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Considering the impact of changes in the regulatory environment on management’s forecasts.</w:t>
      </w:r>
    </w:p>
    <w:p>
      <w:pPr>
        <w:spacing w:after="0" w:line="76"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   Comparing management’s forecasts with industry data.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Related to the Sale of Future Royalties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described in Notes 2 and 6 to the consolidated financial statements, on January 19, 2021, the Company entered into an agreement with Royalty Pharma under which Royalty Pharma acquired the Company’s royalty interest in seltorexant for an upfront payment of $60 million and up to an additional $95 million in potential milestone payments. Management applied significant judgment in determining the appropriate accounting treatment for the transaction and accounted for the sale of future revenue to Royalty Pharma as a debt financing, as the Company continues to have significant continuing involvement in the generation of the cash flows. The proceeds from the transaction were recorded as a liability related to the sale of future royalties, to be amortized under the interest method over the estimated life of the agreement.</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identified the accounting treatment for the sale of future royalties as a critical accounting matter due to the significant judgment involved in determining the treatment. We identified the valuation of the liability related to the sale of future royalties as a critical audit matter because of the significant estimates and assumptions management makes related to the balance. Specifically, the determination of the discount rate involved significant estimation uncertainty.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To test the accounting treatment for the sale of future royalties we included the assistance of professionals in our firm having expertise in accounting and evaluated the Company’s conclusions regarding the accounting model applied to the sale of future royalties through consideration of possible alternatives under accounting principles generally accepted in the United States of America.</w:t>
      </w:r>
    </w:p>
    <w:p>
      <w:pPr>
        <w:spacing w:after="0" w:line="1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To test the estimated value of the liability related to the sale of future royalties and the non-cash interest expense, our audit procedures included the following, among others:</w:t>
      </w:r>
    </w:p>
    <w:p>
      <w:pPr>
        <w:spacing w:after="0" w:line="22" w:lineRule="exact"/>
        <w:rPr>
          <w:sz w:val="20"/>
          <w:szCs w:val="20"/>
          <w:color w:val="auto"/>
        </w:rPr>
      </w:pPr>
    </w:p>
    <w:p>
      <w:pPr>
        <w:ind w:left="740" w:hanging="368"/>
        <w:spacing w:after="0"/>
        <w:tabs>
          <w:tab w:leader="none" w:pos="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w:t>
      </w:r>
    </w:p>
    <w:p>
      <w:pPr>
        <w:spacing w:after="0" w:line="76" w:lineRule="exact"/>
        <w:rPr>
          <w:rFonts w:ascii="Arial" w:cs="Arial" w:eastAsia="Arial" w:hAnsi="Arial"/>
          <w:sz w:val="18"/>
          <w:szCs w:val="18"/>
          <w:color w:val="auto"/>
        </w:rPr>
      </w:pPr>
    </w:p>
    <w:p>
      <w:pPr>
        <w:ind w:left="1120" w:right="20" w:hanging="365"/>
        <w:spacing w:after="0" w:line="263" w:lineRule="auto"/>
        <w:rPr>
          <w:rFonts w:ascii="Arial" w:cs="Arial" w:eastAsia="Arial" w:hAnsi="Arial"/>
          <w:sz w:val="18"/>
          <w:szCs w:val="18"/>
          <w:color w:val="auto"/>
        </w:rPr>
      </w:pPr>
      <w:r>
        <w:rPr>
          <w:rFonts w:ascii="Arial" w:cs="Arial" w:eastAsia="Arial" w:hAnsi="Arial"/>
          <w:sz w:val="18"/>
          <w:szCs w:val="18"/>
          <w:color w:val="auto"/>
        </w:rPr>
        <w:t>– Evaluated the appropriateness of the methodology used to estimate the implied discount rate, evaluated the significant assumptions discussed above that are used by management to estimate the future royalties to be paid and tested the underlying data used by the Company in its analysis.</w:t>
      </w:r>
    </w:p>
    <w:p>
      <w:pPr>
        <w:spacing w:after="0" w:line="35" w:lineRule="exact"/>
        <w:rPr>
          <w:rFonts w:ascii="Arial" w:cs="Arial" w:eastAsia="Arial" w:hAnsi="Arial"/>
          <w:sz w:val="18"/>
          <w:szCs w:val="18"/>
          <w:color w:val="auto"/>
        </w:rPr>
      </w:pPr>
    </w:p>
    <w:p>
      <w:pPr>
        <w:ind w:left="1120" w:right="20" w:hanging="365"/>
        <w:spacing w:after="0" w:line="277" w:lineRule="auto"/>
        <w:rPr>
          <w:rFonts w:ascii="Arial" w:cs="Arial" w:eastAsia="Arial" w:hAnsi="Arial"/>
          <w:sz w:val="18"/>
          <w:szCs w:val="18"/>
          <w:color w:val="auto"/>
        </w:rPr>
      </w:pPr>
      <w:r>
        <w:rPr>
          <w:rFonts w:ascii="Arial" w:cs="Arial" w:eastAsia="Arial" w:hAnsi="Arial"/>
          <w:sz w:val="18"/>
          <w:szCs w:val="18"/>
          <w:color w:val="auto"/>
        </w:rPr>
        <w:t>– Compared the significant assumptions used by management to relevant industry forecasts and economic trends, to evaluate consistency with external market and industry data, as well as consistency with evidence obtained in other areas of the audit.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64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764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60,755,080</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1,346,359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1,983,264</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62,201,439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27,440,216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Capitalized software, net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51,080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14,808</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101,786</w:t>
            </w: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15,200,000</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14,869,399</w:t>
            </w:r>
          </w:p>
        </w:tc>
        <w:tc>
          <w:tcPr>
            <w:tcW w:w="100" w:type="dxa"/>
            <w:vAlign w:val="bottom"/>
            <w:tcBorders>
              <w:bottom w:val="single" w:sz="8" w:color="CFF0FC"/>
            </w:tcBorders>
          </w:tcPr>
          <w:p>
            <w:pPr>
              <w:spacing w:after="0"/>
              <w:rPr>
                <w:sz w:val="19"/>
                <w:szCs w:val="19"/>
                <w:color w:val="auto"/>
              </w:rPr>
            </w:pPr>
          </w:p>
        </w:tc>
      </w:tr>
      <w:tr>
        <w:trPr>
          <w:trHeight w:val="223"/>
        </w:trPr>
        <w:tc>
          <w:tcPr>
            <w:tcW w:w="76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77,121,918</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57,626,209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640" w:type="dxa"/>
            <w:vAlign w:val="bottom"/>
            <w:shd w:val="clear" w:color="auto" w:fill="CFF0FC"/>
          </w:tcPr>
          <w:p>
            <w:pPr>
              <w:ind w:left="250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1,853,215</w:t>
            </w:r>
          </w:p>
        </w:tc>
        <w:tc>
          <w:tcPr>
            <w:tcW w:w="26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995,614</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965,739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2,053,409</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100" w:type="dxa"/>
            <w:vAlign w:val="bottom"/>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2,818,954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3,160,252</w:t>
            </w:r>
          </w:p>
        </w:tc>
        <w:tc>
          <w:tcPr>
            <w:tcW w:w="100" w:type="dxa"/>
            <w:vAlign w:val="bottom"/>
          </w:tcPr>
          <w:p>
            <w:pPr>
              <w:spacing w:after="0"/>
              <w:rPr>
                <w:sz w:val="19"/>
                <w:szCs w:val="19"/>
                <w:color w:val="auto"/>
              </w:rPr>
            </w:pPr>
          </w:p>
        </w:tc>
      </w:tr>
      <w:tr>
        <w:trPr>
          <w:trHeight w:val="230"/>
        </w:trPr>
        <w:tc>
          <w:tcPr>
            <w:tcW w:w="7640" w:type="dxa"/>
            <w:vAlign w:val="bottom"/>
            <w:shd w:val="clear" w:color="auto" w:fill="CFF0FC"/>
          </w:tcPr>
          <w:p>
            <w:pPr>
              <w:spacing w:after="0"/>
              <w:rPr>
                <w:sz w:val="20"/>
                <w:szCs w:val="20"/>
                <w:color w:val="auto"/>
              </w:rPr>
            </w:pPr>
            <w:r>
              <w:rPr>
                <w:rFonts w:ascii="Arial" w:cs="Arial" w:eastAsia="Arial" w:hAnsi="Arial"/>
                <w:sz w:val="18"/>
                <w:szCs w:val="18"/>
                <w:color w:val="auto"/>
              </w:rPr>
              <w:t>Deferred taxes</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1,803,356</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Liability related to the sale of future royalties</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66,327,321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69,146,275</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4,963,608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6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5"/>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Preferred stock; $.0001 par value; 100,000,000 shares authorized; none issued or outstanding as of</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6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December 31, 2021 and 2020, respectively</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7640" w:type="dxa"/>
            <w:vAlign w:val="bottom"/>
          </w:tcPr>
          <w:p>
            <w:pPr>
              <w:ind w:left="260"/>
              <w:spacing w:after="0"/>
              <w:rPr>
                <w:sz w:val="20"/>
                <w:szCs w:val="20"/>
                <w:color w:val="auto"/>
              </w:rPr>
            </w:pPr>
            <w:r>
              <w:rPr>
                <w:rFonts w:ascii="Arial" w:cs="Arial" w:eastAsia="Arial" w:hAnsi="Arial"/>
                <w:sz w:val="18"/>
                <w:szCs w:val="18"/>
                <w:color w:val="auto"/>
                <w:w w:val="95"/>
              </w:rPr>
              <w:t>Common stock; $.0001 par value; 125,000,000 shares authorized; 42,721,566 shares issued and</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640" w:type="dxa"/>
            <w:vAlign w:val="bottom"/>
          </w:tcPr>
          <w:p>
            <w:pPr>
              <w:ind w:left="260"/>
              <w:spacing w:after="0"/>
              <w:rPr>
                <w:sz w:val="20"/>
                <w:szCs w:val="20"/>
                <w:color w:val="auto"/>
              </w:rPr>
            </w:pPr>
            <w:r>
              <w:rPr>
                <w:rFonts w:ascii="Arial" w:cs="Arial" w:eastAsia="Arial" w:hAnsi="Arial"/>
                <w:sz w:val="18"/>
                <w:szCs w:val="18"/>
                <w:color w:val="auto"/>
              </w:rPr>
              <w:t>outstanding as of December 31, 2021 and 2020, respectively</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4,272</w:t>
            </w:r>
          </w:p>
        </w:tc>
        <w:tc>
          <w:tcPr>
            <w:tcW w:w="100" w:type="dxa"/>
            <w:vAlign w:val="bottom"/>
          </w:tcPr>
          <w:p>
            <w:pPr>
              <w:spacing w:after="0"/>
              <w:rPr>
                <w:sz w:val="20"/>
                <w:szCs w:val="20"/>
                <w:color w:val="auto"/>
              </w:rPr>
            </w:pPr>
          </w:p>
        </w:tc>
      </w:tr>
      <w:tr>
        <w:trPr>
          <w:trHeight w:val="230"/>
        </w:trPr>
        <w:tc>
          <w:tcPr>
            <w:tcW w:w="76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342,672,770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337,453,776</w:t>
            </w:r>
          </w:p>
        </w:tc>
        <w:tc>
          <w:tcPr>
            <w:tcW w:w="100" w:type="dxa"/>
            <w:vAlign w:val="bottom"/>
            <w:shd w:val="clear" w:color="auto" w:fill="CFF0FC"/>
          </w:tcPr>
          <w:p>
            <w:pPr>
              <w:spacing w:after="0"/>
              <w:rPr>
                <w:sz w:val="19"/>
                <w:szCs w:val="19"/>
                <w:color w:val="auto"/>
              </w:rPr>
            </w:pPr>
          </w:p>
        </w:tc>
      </w:tr>
      <w:tr>
        <w:trPr>
          <w:trHeight w:val="230"/>
        </w:trPr>
        <w:tc>
          <w:tcPr>
            <w:tcW w:w="764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(334,701,399)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(284,795,447)</w:t>
            </w:r>
          </w:p>
        </w:tc>
      </w:tr>
      <w:tr>
        <w:trPr>
          <w:trHeight w:val="223"/>
        </w:trPr>
        <w:tc>
          <w:tcPr>
            <w:tcW w:w="76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7,975,643</w:t>
            </w:r>
          </w:p>
        </w:tc>
        <w:tc>
          <w:tcPr>
            <w:tcW w:w="2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52,662,601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764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77,121,918</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57,626,209</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00" w:type="dxa"/>
            <w:vAlign w:val="bottom"/>
            <w:tcBorders>
              <w:bottom w:val="single" w:sz="8" w:color="CFF0FC"/>
            </w:tcBorders>
          </w:tcPr>
          <w:p>
            <w:pPr>
              <w:spacing w:after="0"/>
              <w:rPr>
                <w:sz w:val="13"/>
                <w:szCs w:val="13"/>
                <w:color w:val="auto"/>
              </w:rPr>
            </w:pPr>
          </w:p>
        </w:tc>
        <w:tc>
          <w:tcPr>
            <w:tcW w:w="18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ind w:left="260"/>
              <w:spacing w:after="0"/>
              <w:rPr>
                <w:sz w:val="20"/>
                <w:szCs w:val="20"/>
                <w:color w:val="auto"/>
              </w:rPr>
            </w:pPr>
            <w:r>
              <w:rPr>
                <w:rFonts w:ascii="Arial" w:cs="Arial" w:eastAsia="Arial" w:hAnsi="Arial"/>
                <w:sz w:val="18"/>
                <w:szCs w:val="18"/>
                <w:color w:val="auto"/>
              </w:rPr>
              <w:t>Collaborative revenue</w:t>
            </w:r>
          </w:p>
        </w:tc>
        <w:tc>
          <w:tcPr>
            <w:tcW w:w="21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revenues</w:t>
            </w:r>
          </w:p>
        </w:tc>
        <w:tc>
          <w:tcPr>
            <w:tcW w:w="1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41,175,600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1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32,038,947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22,039,440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1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13,326,710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17,289,413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expenses</w:t>
            </w:r>
          </w:p>
        </w:tc>
        <w:tc>
          <w:tcPr>
            <w:tcW w:w="1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45,365,657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39,328,853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8"/>
                <w:szCs w:val="18"/>
                <w:color w:val="auto"/>
              </w:rPr>
              <w:t>(Loss) gain from operations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(45,365,657)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1,846,747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Foreign exchange losses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(32,846)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(67,183)</w:t>
            </w: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1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spacing w:after="0"/>
              <w:rPr>
                <w:sz w:val="20"/>
                <w:szCs w:val="20"/>
                <w:color w:val="auto"/>
              </w:rPr>
            </w:pPr>
            <w:r>
              <w:rPr>
                <w:rFonts w:ascii="Arial" w:cs="Arial" w:eastAsia="Arial" w:hAnsi="Arial"/>
                <w:sz w:val="18"/>
                <w:szCs w:val="18"/>
                <w:color w:val="auto"/>
              </w:rPr>
              <w:t>Non-cash interest expense for the sale of future royalties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(6,327,321)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(Loss) gain before income taxes</w:t>
            </w:r>
          </w:p>
        </w:tc>
        <w:tc>
          <w:tcPr>
            <w:tcW w:w="1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(51,709,308)</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00" w:type="dxa"/>
            <w:vAlign w:val="bottom"/>
          </w:tcPr>
          <w:p>
            <w:pPr>
              <w:ind w:left="500"/>
              <w:spacing w:after="0"/>
              <w:rPr>
                <w:sz w:val="20"/>
                <w:szCs w:val="20"/>
                <w:color w:val="auto"/>
              </w:rPr>
            </w:pPr>
            <w:r>
              <w:rPr>
                <w:rFonts w:ascii="Arial" w:cs="Arial" w:eastAsia="Arial" w:hAnsi="Arial"/>
                <w:sz w:val="18"/>
                <w:szCs w:val="18"/>
                <w:color w:val="auto"/>
              </w:rPr>
              <w:t>Benefit for income taxes</w:t>
            </w:r>
          </w:p>
        </w:tc>
        <w:tc>
          <w:tcPr>
            <w:tcW w:w="1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(1,803,356)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90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(loss) income</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(49,905,952)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share, basic</w:t>
            </w:r>
          </w:p>
        </w:tc>
        <w:tc>
          <w:tcPr>
            <w:tcW w:w="21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(1.17)</w:t>
            </w:r>
          </w:p>
        </w:tc>
        <w:tc>
          <w:tcPr>
            <w:tcW w:w="4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shares outstanding, basic</w:t>
            </w:r>
          </w:p>
        </w:tc>
        <w:tc>
          <w:tcPr>
            <w:tcW w:w="18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Borders>
              <w:bottom w:val="single" w:sz="8" w:color="CFF0FC"/>
            </w:tcBorders>
            <w:vMerge w:val="continue"/>
          </w:tcPr>
          <w:p>
            <w:pPr>
              <w:spacing w:after="0"/>
              <w:rPr>
                <w:sz w:val="18"/>
                <w:szCs w:val="18"/>
                <w:color w:val="auto"/>
              </w:rPr>
            </w:pPr>
          </w:p>
        </w:tc>
        <w:tc>
          <w:tcPr>
            <w:tcW w:w="18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40,823,717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9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income per share, diluted</w:t>
            </w:r>
          </w:p>
        </w:tc>
        <w:tc>
          <w:tcPr>
            <w:tcW w:w="18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diluted</w:t>
            </w:r>
          </w:p>
        </w:tc>
        <w:tc>
          <w:tcPr>
            <w:tcW w:w="1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40,916,871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1340" w:type="dxa"/>
            <w:vAlign w:val="bottom"/>
            <w:gridSpan w:val="2"/>
          </w:tcPr>
          <w:p>
            <w:pPr>
              <w:jc w:val="right"/>
              <w:ind w:right="361"/>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240" w:type="dxa"/>
            <w:vAlign w:val="bottom"/>
          </w:tcPr>
          <w:p>
            <w:pPr>
              <w:spacing w:after="0"/>
              <w:rPr>
                <w:sz w:val="13"/>
                <w:szCs w:val="13"/>
                <w:color w:val="auto"/>
              </w:rPr>
            </w:pPr>
          </w:p>
        </w:tc>
        <w:tc>
          <w:tcPr>
            <w:tcW w:w="1380" w:type="dxa"/>
            <w:vAlign w:val="bottom"/>
          </w:tcPr>
          <w:p>
            <w:pPr>
              <w:jc w:val="right"/>
              <w:ind w:right="413"/>
              <w:spacing w:after="0" w:line="155" w:lineRule="exact"/>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jc w:val="right"/>
              <w:ind w:right="372"/>
              <w:spacing w:after="0" w:line="155" w:lineRule="exact"/>
              <w:rPr>
                <w:sz w:val="20"/>
                <w:szCs w:val="20"/>
                <w:color w:val="auto"/>
              </w:rPr>
            </w:pPr>
            <w:r>
              <w:rPr>
                <w:rFonts w:ascii="Arial" w:cs="Arial" w:eastAsia="Arial" w:hAnsi="Arial"/>
                <w:sz w:val="14"/>
                <w:szCs w:val="14"/>
                <w:b w:val="1"/>
                <w:bCs w:val="1"/>
                <w:color w:val="auto"/>
                <w:w w:val="98"/>
              </w:rPr>
              <w:t>Amount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Paid-In Capital</w:t>
            </w:r>
          </w:p>
        </w:tc>
        <w:tc>
          <w:tcPr>
            <w:tcW w:w="200" w:type="dxa"/>
            <w:vAlign w:val="bottom"/>
          </w:tcPr>
          <w:p>
            <w:pPr>
              <w:spacing w:after="0"/>
              <w:rPr>
                <w:sz w:val="13"/>
                <w:szCs w:val="13"/>
                <w:color w:val="auto"/>
              </w:rPr>
            </w:pPr>
          </w:p>
        </w:tc>
        <w:tc>
          <w:tcPr>
            <w:tcW w:w="1340" w:type="dxa"/>
            <w:vAlign w:val="bottom"/>
            <w:gridSpan w:val="2"/>
          </w:tcPr>
          <w:p>
            <w:pPr>
              <w:jc w:val="right"/>
              <w:ind w:right="561"/>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gridSpan w:val="2"/>
          </w:tcPr>
          <w:p>
            <w:pPr>
              <w:jc w:val="right"/>
              <w:ind w:right="660"/>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3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January 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39,084,121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3,908</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314,511,853</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(286,736,218)</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27,779,543</w:t>
            </w:r>
          </w:p>
        </w:tc>
        <w:tc>
          <w:tcPr>
            <w:tcW w:w="100" w:type="dxa"/>
            <w:vAlign w:val="bottom"/>
            <w:tcBorders>
              <w:top w:val="single" w:sz="8" w:color="CFF0FC"/>
            </w:tcBorders>
            <w:shd w:val="clear" w:color="auto" w:fill="CFF0FC"/>
          </w:tcPr>
          <w:p>
            <w:pPr>
              <w:spacing w:after="0"/>
              <w:rPr>
                <w:sz w:val="19"/>
                <w:szCs w:val="19"/>
                <w:color w:val="auto"/>
              </w:rPr>
            </w:pPr>
          </w:p>
        </w:tc>
      </w:tr>
      <w:tr>
        <w:trPr>
          <w:trHeight w:val="215"/>
        </w:trPr>
        <w:tc>
          <w:tcPr>
            <w:tcW w:w="3240" w:type="dxa"/>
            <w:vAlign w:val="bottom"/>
          </w:tcPr>
          <w:p>
            <w:pPr>
              <w:spacing w:after="0"/>
              <w:rPr>
                <w:sz w:val="20"/>
                <w:szCs w:val="20"/>
                <w:color w:val="auto"/>
              </w:rPr>
            </w:pPr>
            <w:r>
              <w:rPr>
                <w:rFonts w:ascii="Arial" w:cs="Arial" w:eastAsia="Arial" w:hAnsi="Arial"/>
                <w:sz w:val="18"/>
                <w:szCs w:val="18"/>
                <w:color w:val="auto"/>
              </w:rPr>
              <w:t>Issuance of common stock in a public</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offering</w:t>
            </w:r>
          </w:p>
        </w:tc>
        <w:tc>
          <w:tcPr>
            <w:tcW w:w="1380" w:type="dxa"/>
            <w:vAlign w:val="bottom"/>
          </w:tcPr>
          <w:p>
            <w:pPr>
              <w:jc w:val="right"/>
              <w:spacing w:after="0"/>
              <w:rPr>
                <w:sz w:val="20"/>
                <w:szCs w:val="20"/>
                <w:color w:val="auto"/>
              </w:rPr>
            </w:pPr>
            <w:r>
              <w:rPr>
                <w:rFonts w:ascii="Arial" w:cs="Arial" w:eastAsia="Arial" w:hAnsi="Arial"/>
                <w:sz w:val="18"/>
                <w:szCs w:val="18"/>
                <w:color w:val="auto"/>
              </w:rPr>
              <w:t>3,381,608</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12,549,731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12,550,069</w:t>
            </w:r>
          </w:p>
        </w:tc>
        <w:tc>
          <w:tcPr>
            <w:tcW w:w="100" w:type="dxa"/>
            <w:vAlign w:val="bottom"/>
          </w:tcPr>
          <w:p>
            <w:pPr>
              <w:spacing w:after="0"/>
              <w:rPr>
                <w:sz w:val="20"/>
                <w:szCs w:val="20"/>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w w:val="93"/>
              </w:rPr>
              <w:t>Costs related to issuance of common stock</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(455,666)</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(455,666)</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380" w:type="dxa"/>
            <w:vAlign w:val="bottom"/>
          </w:tcPr>
          <w:p>
            <w:pPr>
              <w:jc w:val="right"/>
              <w:spacing w:after="0"/>
              <w:rPr>
                <w:sz w:val="20"/>
                <w:szCs w:val="20"/>
                <w:color w:val="auto"/>
              </w:rPr>
            </w:pPr>
            <w:r>
              <w:rPr>
                <w:rFonts w:ascii="Arial" w:cs="Arial" w:eastAsia="Arial" w:hAnsi="Arial"/>
                <w:sz w:val="18"/>
                <w:szCs w:val="18"/>
                <w:color w:val="auto"/>
              </w:rPr>
              <w:t>198,762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1,143,635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1,143,655</w:t>
            </w:r>
          </w:p>
        </w:tc>
        <w:tc>
          <w:tcPr>
            <w:tcW w:w="100" w:type="dxa"/>
            <w:vAlign w:val="bottom"/>
          </w:tcPr>
          <w:p>
            <w:pPr>
              <w:spacing w:after="0"/>
              <w:rPr>
                <w:sz w:val="19"/>
                <w:szCs w:val="19"/>
                <w:color w:val="auto"/>
              </w:rPr>
            </w:pPr>
          </w:p>
        </w:tc>
      </w:tr>
      <w:tr>
        <w:trPr>
          <w:trHeight w:val="229"/>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Vesting of restricted stock units</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32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9,704,229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9,704,229</w:t>
            </w:r>
          </w:p>
        </w:tc>
        <w:tc>
          <w:tcPr>
            <w:tcW w:w="100" w:type="dxa"/>
            <w:vAlign w:val="bottom"/>
          </w:tcPr>
          <w:p>
            <w:pPr>
              <w:spacing w:after="0"/>
              <w:rPr>
                <w:sz w:val="19"/>
                <w:szCs w:val="19"/>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100" w:type="dxa"/>
            <w:vAlign w:val="bottom"/>
            <w:shd w:val="clear" w:color="auto" w:fill="CFF0FC"/>
          </w:tcPr>
          <w:p>
            <w:pPr>
              <w:spacing w:after="0"/>
              <w:rPr>
                <w:sz w:val="19"/>
                <w:szCs w:val="19"/>
                <w:color w:val="auto"/>
              </w:rPr>
            </w:pPr>
          </w:p>
        </w:tc>
      </w:tr>
      <w:tr>
        <w:trPr>
          <w:trHeight w:val="263"/>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Balances at December 31, 2020</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42,721,566</w:t>
            </w:r>
          </w:p>
        </w:tc>
        <w:tc>
          <w:tcPr>
            <w:tcW w:w="240" w:type="dxa"/>
            <w:vAlign w:val="bottom"/>
            <w:tcBorders>
              <w:bottom w:val="single" w:sz="8" w:color="CFF0FC"/>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4,272</w:t>
            </w:r>
          </w:p>
        </w:tc>
        <w:tc>
          <w:tcPr>
            <w:tcW w:w="24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337,453,776</w:t>
            </w:r>
          </w:p>
        </w:tc>
        <w:tc>
          <w:tcPr>
            <w:tcW w:w="2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(284,795,447</w:t>
            </w:r>
          </w:p>
        </w:tc>
        <w:tc>
          <w:tcPr>
            <w:tcW w:w="140" w:type="dxa"/>
            <w:vAlign w:val="bottom"/>
            <w:tcBorders>
              <w:bottom w:val="single" w:sz="8" w:color="CFF0FC"/>
            </w:tcBorders>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52,662,601</w:t>
            </w:r>
          </w:p>
        </w:tc>
        <w:tc>
          <w:tcPr>
            <w:tcW w:w="100" w:type="dxa"/>
            <w:vAlign w:val="bottom"/>
            <w:tcBorders>
              <w:bottom w:val="single" w:sz="8" w:color="CFF0FC"/>
            </w:tcBorders>
          </w:tcPr>
          <w:p>
            <w:pPr>
              <w:spacing w:after="0"/>
              <w:rPr>
                <w:sz w:val="22"/>
                <w:szCs w:val="22"/>
                <w:color w:val="auto"/>
              </w:rPr>
            </w:pPr>
          </w:p>
        </w:tc>
      </w:tr>
      <w:tr>
        <w:trPr>
          <w:trHeight w:val="21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5,218,994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5,218,994</w:t>
            </w:r>
          </w:p>
        </w:tc>
        <w:tc>
          <w:tcPr>
            <w:tcW w:w="100" w:type="dxa"/>
            <w:vAlign w:val="bottom"/>
            <w:shd w:val="clear" w:color="auto" w:fill="CFF0FC"/>
          </w:tcPr>
          <w:p>
            <w:pPr>
              <w:spacing w:after="0"/>
              <w:rPr>
                <w:sz w:val="18"/>
                <w:szCs w:val="18"/>
                <w:color w:val="auto"/>
              </w:rPr>
            </w:pP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
              <w:spacing w:after="0"/>
              <w:rPr>
                <w:sz w:val="20"/>
                <w:szCs w:val="20"/>
                <w:color w:val="auto"/>
              </w:rPr>
            </w:pPr>
            <w:r>
              <w:rPr>
                <w:rFonts w:ascii="Arial" w:cs="Arial" w:eastAsia="Arial" w:hAnsi="Arial"/>
                <w:sz w:val="18"/>
                <w:szCs w:val="18"/>
                <w:color w:val="auto"/>
              </w:rPr>
              <w:t>(49,905,952)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(49,905,952)</w:t>
            </w:r>
          </w:p>
        </w:tc>
      </w:tr>
      <w:tr>
        <w:trPr>
          <w:trHeight w:val="223"/>
        </w:trPr>
        <w:tc>
          <w:tcPr>
            <w:tcW w:w="3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42,721,566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342,672,770</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(334,701,399</w:t>
            </w:r>
          </w:p>
        </w:tc>
        <w:tc>
          <w:tcPr>
            <w:tcW w:w="140" w:type="dxa"/>
            <w:vAlign w:val="bottom"/>
            <w:tcBorders>
              <w:top w:val="single" w:sz="8" w:color="CFF0FC"/>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7,975,643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MINERVA NEUROSCIENCES, INC.</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0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91"/>
              <w:spacing w:after="0" w:line="155"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Net (loss) income</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(49,905,952)</w:t>
            </w: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1,940,771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income to net cash used in operating activities: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Impairment of in-process research and development</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15,200,000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Accretion of marketable securities premium</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(86,774)</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right-of-use assets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101,786</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160,166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Stock-based compensation expense</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5,218,994</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9,704,229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6,327,321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Deferred taxes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(1,803,356)</w:t>
            </w:r>
          </w:p>
        </w:tc>
        <w:tc>
          <w:tcPr>
            <w:tcW w:w="6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636,905</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(800,781)</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Capitalized software</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(51,080)</w:t>
            </w: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Other noncurrent assets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14,808</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857,601</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(1,321,390)</w:t>
            </w:r>
          </w:p>
        </w:tc>
        <w:tc>
          <w:tcPr>
            <w:tcW w:w="0" w:type="dxa"/>
            <w:vAlign w:val="bottom"/>
          </w:tcPr>
          <w:p>
            <w:pPr>
              <w:spacing w:after="0"/>
              <w:rPr>
                <w:sz w:val="1"/>
                <w:szCs w:val="1"/>
                <w:color w:val="auto"/>
              </w:rPr>
            </w:pPr>
          </w:p>
        </w:tc>
      </w:tr>
      <w:tr>
        <w:trPr>
          <w:trHeight w:val="229"/>
        </w:trPr>
        <w:tc>
          <w:tcPr>
            <w:tcW w:w="6800" w:type="dxa"/>
            <w:vAlign w:val="bottom"/>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(1,087,670)</w:t>
            </w:r>
          </w:p>
        </w:tc>
        <w:tc>
          <w:tcPr>
            <w:tcW w:w="6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(2,085,754)</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current</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(111,229)</w:t>
            </w: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(61,672)</w:t>
            </w:r>
          </w:p>
        </w:tc>
        <w:tc>
          <w:tcPr>
            <w:tcW w:w="0" w:type="dxa"/>
            <w:vAlign w:val="bottom"/>
          </w:tcPr>
          <w:p>
            <w:pPr>
              <w:spacing w:after="0"/>
              <w:rPr>
                <w:sz w:val="1"/>
                <w:szCs w:val="1"/>
                <w:color w:val="auto"/>
              </w:rPr>
            </w:pPr>
          </w:p>
        </w:tc>
      </w:tr>
      <w:tr>
        <w:trPr>
          <w:trHeight w:val="230"/>
        </w:trPr>
        <w:tc>
          <w:tcPr>
            <w:tcW w:w="68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(41,175,600)</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 noncurrent</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(111,229)</w:t>
            </w: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used in operating activities</w:t>
            </w:r>
          </w:p>
        </w:tc>
        <w:tc>
          <w:tcPr>
            <w:tcW w:w="7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(24,601,872)</w:t>
            </w:r>
          </w:p>
        </w:tc>
        <w:tc>
          <w:tcPr>
            <w:tcW w:w="28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(33,822,023)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Purchases of marketable securities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(3,871,706)</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Proceeds from the maturity and redemption of marketable securities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investing activities</w:t>
            </w:r>
          </w:p>
        </w:tc>
        <w:tc>
          <w:tcPr>
            <w:tcW w:w="7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24,528,294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Proceeds from the sale of future royalties</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60,000,000</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sales of common stock in public offering</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12,550,069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Fees paid in connection with public offering</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(455,666)</w:t>
            </w: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exercise of stock options</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1,143,655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7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60,000,000</w:t>
            </w:r>
          </w:p>
        </w:tc>
        <w:tc>
          <w:tcPr>
            <w:tcW w:w="280" w:type="dxa"/>
            <w:vAlign w:val="bottom"/>
            <w:tcBorders>
              <w:bottom w:val="single" w:sz="8" w:color="CFF0FC"/>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13,238,058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increase in cash, cash equivalents, and restricted cash</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35,398,128</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3,944,329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7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Beginning of period</w:t>
            </w:r>
          </w:p>
        </w:tc>
        <w:tc>
          <w:tcPr>
            <w:tcW w:w="7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25,456,952</w:t>
            </w:r>
          </w:p>
        </w:tc>
        <w:tc>
          <w:tcPr>
            <w:tcW w:w="280" w:type="dxa"/>
            <w:vAlign w:val="bottom"/>
            <w:tcBorders>
              <w:bottom w:val="single" w:sz="8" w:color="CFF0FC"/>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21,512,623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End of period</w:t>
            </w:r>
          </w:p>
        </w:tc>
        <w:tc>
          <w:tcPr>
            <w:tcW w:w="7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60,855,080</w:t>
            </w:r>
          </w:p>
        </w:tc>
        <w:tc>
          <w:tcPr>
            <w:tcW w:w="280" w:type="dxa"/>
            <w:vAlign w:val="bottom"/>
            <w:tcBorders>
              <w:bottom w:val="single" w:sz="8" w:color="CFF0FC"/>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25,456,952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paid for interest</w:t>
            </w:r>
          </w:p>
        </w:tc>
        <w:tc>
          <w:tcPr>
            <w:tcW w:w="11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8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w w:val="99"/>
              </w:rPr>
              <w:t>Reconciliation of the Condensed Consolidated Statements of Cash Flows to the</w:t>
            </w:r>
          </w:p>
        </w:tc>
        <w:tc>
          <w:tcPr>
            <w:tcW w:w="7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800" w:type="dxa"/>
            <w:vAlign w:val="bottom"/>
            <w:vMerge w:val="continue"/>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800" w:type="dxa"/>
            <w:vAlign w:val="bottom"/>
          </w:tcPr>
          <w:p>
            <w:pPr>
              <w:ind w:left="140"/>
              <w:spacing w:after="0"/>
              <w:rPr>
                <w:sz w:val="20"/>
                <w:szCs w:val="20"/>
                <w:color w:val="auto"/>
              </w:rPr>
            </w:pPr>
            <w:r>
              <w:rPr>
                <w:rFonts w:ascii="Arial" w:cs="Arial" w:eastAsia="Arial" w:hAnsi="Arial"/>
                <w:sz w:val="18"/>
                <w:szCs w:val="18"/>
                <w:b w:val="1"/>
                <w:bCs w:val="1"/>
                <w:color w:val="auto"/>
              </w:rPr>
              <w:t>Condensed Consolidated Balance Sheets</w:t>
            </w: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Cash and cash equivalents</w:t>
            </w:r>
          </w:p>
        </w:tc>
        <w:tc>
          <w:tcPr>
            <w:tcW w:w="116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60,755,080</w:t>
            </w:r>
          </w:p>
        </w:tc>
        <w:tc>
          <w:tcPr>
            <w:tcW w:w="280" w:type="dxa"/>
            <w:vAlign w:val="bottom"/>
            <w:shd w:val="clear" w:color="auto" w:fill="CFF0FC"/>
          </w:tcPr>
          <w:p>
            <w:pPr>
              <w:spacing w:after="0"/>
              <w:rPr>
                <w:sz w:val="19"/>
                <w:szCs w:val="19"/>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25,356,952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100,000</w:t>
            </w:r>
          </w:p>
        </w:tc>
        <w:tc>
          <w:tcPr>
            <w:tcW w:w="280" w:type="dxa"/>
            <w:vAlign w:val="bottom"/>
          </w:tcPr>
          <w:p>
            <w:pPr>
              <w:spacing w:after="0"/>
              <w:rPr>
                <w:sz w:val="19"/>
                <w:szCs w:val="19"/>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60,855,080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25,456,952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b w:val="1"/>
          <w:bCs w:val="1"/>
          <w:color w:val="auto"/>
        </w:rPr>
        <w:t>MINERVA NEUROSCIENCES,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2021 and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LIQUIDITY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Minerva Neurosciences, Inc. (“Minerva” or the “Company”) is a clinical-stage biopharmaceutical company focused on the development and commercialization of product candidates to treat patients suffering from central nervous system (“CNS”) diseases. The Company’s lead product candidate is roluperidone (f/k/a MIN-101), a compound the Company is developing for the treatment of negative symptoms in patients with schizophrenia. The Company holds the license to roluperidone from Mitsubishi Tanabe Pharma Corporation (“MTPC”) with the rights to develop, sell and import roluperidone globally, excluding most of Asia. The Company also has exclusive rights to develop and commercialize MIN-301, a compound for the treatment of Parkinson’s disease. In addition, Minerva previously co-developed seltorexant (f/k/a MIN-202 or JNJ-42847922)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(see Notes 5 and 6).</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accompanying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December 31, 2021, the Company has an accumulated deficit of approximately $334.7 million and net cash used in operating activities was approximately $24.6 million during the year ended December 31, 2021. Management expects to continue to incur operating losses and negative cash flows from operations in the future. The Company has financed its operations to date from proceeds from the sale of common stock, warrants, loans, convertible promissory notes, collaboration agreements and royalty sales.</w:t>
      </w:r>
    </w:p>
    <w:p>
      <w:pPr>
        <w:spacing w:after="0" w:line="16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December 31, 2021, the Company had cash, cash equivalents, and restricted cash of $60.9 million. The Company believes that its existing cash, cash equivalents, and restricted cash will be sufficient to meet its cash commitments for at least the next 12 months after the date that the financial statements are issued. The process of drug development can be costly and the timing and outcomes of clinical trials is uncertain. The assumptions upon which the Company has based its estimates are routinely evaluated and may be subject to change. The actual amount of the Company’s expenditures will vary depending upon a number of factors including but not limited to the design, timing and duration of future clinical trials, the progress of the Company’s research and development programs, the infrastructure to support a commercial enterprise, the cost of a commercial product launch, and the level of financial resources available. The Company has the ability to adjust its operating plan spending levels based on the timing of future clinical trials, which will be predicated upon adequate funding to complete the trials.</w:t>
      </w:r>
    </w:p>
    <w:p>
      <w:pPr>
        <w:spacing w:after="0" w:line="178"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The Company will need to raise additional capital in order to continue to fund operations and fully fund later stage clinical development programs. The Company believes that it will be able to obtain additional working capital through equity financings or other arrangements to fund future operations; however, there can be no assurance that such additional financing, if available, can be obtained on terms acceptable to the Company. If the Company is unable to obtain such additional financing, future operations would need to be scaled back or discontinued.</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Company’s business could be adversely affected by the effects of the ongoing COVID-19 pandemic, which continues to have a negative impact on the local, regional, national and global scale. In response to the pandemic, a number of jurisdictions in which the Company or its service providers operate implemented shelter-in-place or similar type restrictions, which limited on-site activity to certain service providers. To support the health and well-being of its employees, partners and communities, the Company implemented work-from-home policies for its employees, which continue to be in effect. While global vaccination efforts are underway and certain jurisdictions, including Massachusetts, have reopened businesses and governmental agencies, there remain limitations on the physical operations of businesses and prohibitions on certain non-essential gatherings, and we are unable to accurately predict the full impact that COVID-19 will have due to numerous uncertainties, including the duration of the outbreak,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4" w:name="page75"/>
    <w:bookmarkEnd w:id="74"/>
    <w:p>
      <w:pPr>
        <w:ind w:right="460"/>
        <w:spacing w:after="0" w:line="277" w:lineRule="auto"/>
        <w:rPr>
          <w:sz w:val="20"/>
          <w:szCs w:val="20"/>
          <w:color w:val="auto"/>
        </w:rPr>
      </w:pPr>
      <w:r>
        <w:rPr>
          <w:rFonts w:ascii="Arial" w:cs="Arial" w:eastAsia="Arial" w:hAnsi="Arial"/>
          <w:sz w:val="18"/>
          <w:szCs w:val="18"/>
          <w:color w:val="auto"/>
        </w:rPr>
        <w:t>result of vaccination efforts, resurgence of the virus, actions that may be taken by governmental authorities, the impact on our business including our clinical programs and timelines, and the impact to the business of our service providers and partners.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While the COVID-19 pandemic has not had a material adverse impact on the Company’s operations to date, this disruption, if sustained or recurrent, could have a material adverse effect on the Company’s operating results, its ability to raise capital needed to develop and commercialize products and the Company’s overall financial condition. In addition, a recession or market correction resulting from the spread of the coronavirus could materially affect the value of the Company’s common stock. The impact of the COVID-19 pandemic may also exacerbate other risks discussed in this Annual Report on Form 10-K. Refer to Item 1A. “Risk Factors” in this Annual Report on Form 10-K for a complete description of the material risks that the Company currently faces.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financial statements have been prepared in conformity with accounting principles generally accepted in the United States of America (“GAAP”), and include all adjustments necessary for the fair presentation of the Company’s financial position for the periods presented. From its inception, the Company has devoted substantially all of its efforts to business planning, engaging regulatory, manufacturing and other technical consultants, planning and executing clinical trials and raising capital.</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Significant risks and uncertainties</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accounts with any type of restriction are classified as restricted. The Company maintained restricted cash balances as collateral for corporate credit cards in the amount of $0.1 million at December 31, 2021 and 2020.</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75" w:name="page76"/>
    <w:bookmarkEnd w:id="75"/>
    <w:p>
      <w:pPr>
        <w:ind w:left="26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incurred in connection with research and development activities are expensed as incurred. These costs include licensing fees to use certain technology in the Company’s research and development projects as well as fees paid to consultants and various entities that perform certain research and testing on behalf of the Company and costs related to salaries, benefits, bonuses and stock-based compensation granted to employees in research and development functions. The Company determines expenses related to clinical studies based on estimates of the services received and efforts expended pursuant to contracts with multiple research institutions and contract research organizations (“CROs”) that conduct and manage clinical studies on its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the Company estimates the time period over which services will be performed and the level of effort to be expended in each period. If the actual timing of the performance of services or the level of effort varies from the estimate, the accrual is adjusted accordingly. The expenses for some trials may be recognized on a straight-line basis if the anticipated costs are expected to be incurred ratably during the period. Payments for these activities are based on the terms of the individual arrangements, which may differ from the pattern of costs incurred, and are reflected in the consolidated financial statements as prepaid or accrued expenses.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In-process research and development</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In-process research and development (“IPR&amp;D”) assets represent capitalized incomplete research projects that the Company acquired through business combinations. Such assets are initially measured at their acquisition date fair values. The initial fair values of the research projects are recorded as intangible assets on the balance sheet, rather than expensed, regardless of whether these assets have an alternative future use.</w:t>
      </w:r>
    </w:p>
    <w:p>
      <w:pPr>
        <w:spacing w:after="0" w:line="16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amounts capitalized are being accounted for as indefinite-lived intangible assets, subject to impairment testing, until completion or abandonment of research and development efforts associated with the project. An IPR&amp;D asset is considered abandoned when it ceases to be used (that is, research and development efforts associated with the asset have ceased, and there are no plans to sell or license the asset or derive defensive value from the asset). At that point, the asset is considered to be disposed of and is written off. Upon successful completion of each project, the Company will make a determination about the then remaining useful life of the intangible asset and begin amortization. The Company tests its indefinite-lived intangibles, IPR&amp;D assets, for impairment annually on November 30 and more frequently if events or changes in circumstances indicate that it is more likely than not that the asset is impaired. When testing indefinite-lived intangibles for impairment, the Company may assess qualitative factors for its indefinite-lived intangibles to determine whether it is more likely than not (that is, a likelihood of more than 50 percent) that the asset is impaired. Alternatively, the Company may bypass this qualitative assessment for some or all of its indefinite-lived intangibles and perform the quantitative impairment test that compares the fair value of the indefinite-lived intangible asset with the asset’s carrying amount.</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Impairment of MIN-301 In-process Research and Development Asset</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During 2021 the Company focused its resources on moving forward its lead drug candidate roluperidone and deferred the future development of MIN-301 until additional resources become available. As a result of the Company’s limited resources and development deferral combined with the overall market conditions, it has recognized a non-cash charge of $15.2 million as of December 31, 2021 related to the impairment of the intangible asset for MIN-301. The Company had previously recognized in-process research and development for MIN-301 in conjunction with the acquisition of MIN-301 during 2014.</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Company recognizes compensation cost relating to stock-based payment transactions using a fair-value measurement method, which requires all stock-based payments to employees, including grants of employee stock options, to be recognized in operating results as compensation expense based on fair value over the requisite service period of the awards. The Company determines the fair value of stock-based awards using the Black-Scholes option-pricing model which uses both historical and current market data to estimate fair value. The method incorporates various assumptions such as the risk-free interest rate, expected volatility, expected dividend yield, and expected life of the options. Forfeitures are recorded as they occur instead of estimating forfeitures that are expected to occur. The fair value of restricted stock units (“RSUs”) is equal to the closing price of the Company’s common stock on the date of grant. See Note 8 for information on the Company’s performance-based restricted stock units (“PRSU”) grants.</w:t>
      </w:r>
    </w:p>
    <w:p>
      <w:pPr>
        <w:spacing w:after="0" w:line="1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date of expense recognition for grants to non-employees is the earlier of the date at which a commitment for performance by the counterparty to earn the equity instrument is reached or the date at which the counterparty’s performance is complete. The Company determines the fair value of stock-based awards granted to non-employees similar to the way fair value of awards are determined for employees except that certain assumptions used in the Black-Scholes option-pricing model, such as expected life of the option, may be different.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6" w:name="page77"/>
    <w:bookmarkEnd w:id="76"/>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The Company’s functional currency is the U.S. Dollar. The Company pays certain vendor invoices in the respective foreign currency. The Company records an expense in U.S. Dollars at the time the liability is incurred. Changes in the applicable foreign currency rate between the date an expense is recorded and the payment date is recorded as a foreign currency gain or loss.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 Income per share</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(loss) income per share is computed by dividing net (loss) income by the weighted-average number of shares of common stock outstanding for the period. Diluted (loss) income per share reflects the potential dilution that could occur if securities or other contracts to issue common stock were exercised or converted into common stock or resulted in the issuance of common stock that shared in the earnings of the entity. The treasury stock method is used to determine the dilutive effect of the Company’s stock options and warrants.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tax assets and liabilities are determined based on differences between financial reporting and tax reporting bases of assets and liabilities and are measured using enacted tax rates and laws that are expected to be in effect when the differences are expected to reverse. Uncertain tax positions are evaluated and if appropriate, the amount of unrecognized tax benefits are recorded within deferred tax assets. Deferred tax assets are evaluated for realization based on a more-likely-than-not criterion in determining if a valuation allowance should be provided. Valuation allowances are established when necessary to reduce deferred tax assets to the amounts expected to be realized.</w:t>
      </w:r>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uses a recognition threshold and measurement attribute for the financial statement recognition and measurement of a tax position taken, or expected to be taken, in a tax return. The Company has elected to treat interest and penalties, to the extent they arise, as a component of income tax expense. There was no interest or penalties related to income taxes for the years ended December 31, 2021 or 2020. Income tax years beginning in 2012 for federal and state purposes are generally subject to examination by taxing authorities, although net operating losses from all prior years are subject to examinations and adjustments for at least three years following the year in which the tax attributes are utilized.</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00"/>
        <w:spacing w:after="0" w:line="275" w:lineRule="auto"/>
        <w:rPr>
          <w:sz w:val="20"/>
          <w:szCs w:val="20"/>
          <w:color w:val="auto"/>
        </w:rPr>
      </w:pPr>
      <w:r>
        <w:rPr>
          <w:rFonts w:ascii="Arial" w:cs="Arial" w:eastAsia="Arial" w:hAnsi="Arial"/>
          <w:sz w:val="17"/>
          <w:szCs w:val="17"/>
          <w:color w:val="auto"/>
        </w:rPr>
        <w:t>Financial instruments that potentially subject the Company to concentrations of credit risk are primarily cash, cash equivalents and marketable securities. The Company maintains its cash and cash equivalent balances in the form of business checking accounts and money market accounts, the balances of which, at times, may exceed federally insured limits. Exposure to cash and cash equivalents credit risk is reduced by placing such deposits with major financial institutions and monitoring their credit ratings. Marketable securities consist primarily of corporate bonds, with fixed interest rates. Exposure to credit risk of marketable securities is reduced by maintaining a diverse portfolio and monitoring their credit ratings.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Equipment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Equipment is stated at cost less accumulated depreciation. Equipment is depreciated on the straight-line basis over their estimated useful lives of three years. Expenditures for maintenance and repairs are charged to expense as incurred.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The Company accounts for capitalized software in accordance with the Financial Accounting Standards Board (“FASB”) Accounting Standards Codification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350-40”), which provides guidance for computer software developed or obtained for internal use. The Company is required to continually evaluate the stage of the implementation process to determine whether costs are expensed or capitalized. Costs incurred during the preliminary project phase or planning and research phase are expensed as incurred. Costs incurred during the development phase, such as material and direct services costs, compensation costs of employees associated with the development and interest cost, are capitalized as incurred. Costs incurred during the post-implementation or operation phase, such as training and maintenance costs, are expensed as incurred. In addition, costs incurred to modify existing software that result in additional functionality are capitalized as incurred. Capitalized costs are amortized over the expected useful life of the asset.</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 xml:space="preserve">In August 2018, the FASB issued ASU No. 2018-15, </w:t>
      </w:r>
      <w:r>
        <w:rPr>
          <w:rFonts w:ascii="Arial" w:cs="Arial" w:eastAsia="Arial" w:hAnsi="Arial"/>
          <w:sz w:val="18"/>
          <w:szCs w:val="18"/>
          <w:i w:val="1"/>
          <w:iCs w:val="1"/>
          <w:color w:val="auto"/>
        </w:rPr>
        <w:t>Intangibles - Goodwill and Other - Internal-Use Software (Subtopic 350-40), Customer’s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Implementation Costs Incurred in a Cloud Computing Arrangement That Is a Service Contract</w:t>
      </w:r>
      <w:r>
        <w:rPr>
          <w:rFonts w:ascii="Arial" w:cs="Arial" w:eastAsia="Arial" w:hAnsi="Arial"/>
          <w:sz w:val="18"/>
          <w:szCs w:val="18"/>
          <w:color w:val="auto"/>
        </w:rPr>
        <w:t>. This new guidance requires a customer in a cloud</w:t>
      </w:r>
      <w:r>
        <w:rPr>
          <w:rFonts w:ascii="Arial" w:cs="Arial" w:eastAsia="Arial" w:hAnsi="Arial"/>
          <w:sz w:val="18"/>
          <w:szCs w:val="18"/>
          <w:i w:val="1"/>
          <w:iCs w:val="1"/>
          <w:color w:val="auto"/>
        </w:rPr>
        <w:t xml:space="preserve"> </w:t>
      </w:r>
      <w:r>
        <w:rPr>
          <w:rFonts w:ascii="Arial" w:cs="Arial" w:eastAsia="Arial" w:hAnsi="Arial"/>
          <w:sz w:val="18"/>
          <w:szCs w:val="18"/>
          <w:color w:val="auto"/>
        </w:rPr>
        <w:t>computing arrangement (i.e., hosting arrangement) that is a service contract to follow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7" w:name="page78"/>
    <w:bookmarkEnd w:id="77"/>
    <w:p>
      <w:pPr>
        <w:spacing w:after="0" w:line="263" w:lineRule="auto"/>
        <w:rPr>
          <w:sz w:val="20"/>
          <w:szCs w:val="20"/>
          <w:color w:val="auto"/>
        </w:rPr>
      </w:pPr>
      <w:r>
        <w:rPr>
          <w:rFonts w:ascii="Arial" w:cs="Arial" w:eastAsia="Arial" w:hAnsi="Arial"/>
          <w:sz w:val="18"/>
          <w:szCs w:val="18"/>
          <w:color w:val="auto"/>
        </w:rPr>
        <w:t>internal-use software guidance in ASC 350-40 to determine which implementation costs to capitalize as assets or expense as incurred. Also, capitalized implementation costs related to a hosting arrangement that is a service contract will be amortized over the term of the hosting arrangement, beginning when the module or component of the hosting arrangement is ready for its intended use.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the unique facts and circumstances present in the arrangement. Most leases with a term greater than one year are recognized on the balance sheet as right-of-use assets and short-term and long-term lease liabilities, as applicable. The Company has elected not to recognize on the balance sheet leases with terms of 12 months or less. The Company typically only includes an initial lease term in its assessment of a lease arrangement. Options to renew a lease are not included in the Company’s assessment unless there is reasonable certainty that the Company will renew. The Company monitors its plans to renew its material leases on a quarterly basis.</w:t>
      </w:r>
    </w:p>
    <w:p>
      <w:pPr>
        <w:spacing w:after="0" w:line="192"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Operating lease liabilities and their corresponding right-of-use assets are recorded based on the present value of lease payments over the expected remaining lease term. Certain adjustments to the right-of-use asset may be required for items such as incentives received. The interest rate implicit in the Company’s leases is typically not readily determinable. As a result, the Company utilizes its incremental borrowing rate, which reflects the fixed rate at which the Company could borrow on a collateralized basis the amount of the lease payments in the same currency, for a similar term and in a similar economic environment. In transition to FASB ASC Topic 842, Leases (“ASC 842”), the Company utilized the remaining lease term of its leases in determining the appropriate incremental borrowing rates.</w:t>
      </w:r>
    </w:p>
    <w:p>
      <w:pPr>
        <w:spacing w:after="0" w:line="192"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In accordance with ASC 842, components of a lease should be allocated between lease components (e.g., land, building, etc.) and non-lease components (e.g., common area maintenance, consumables, etc.). The fixed and in-substance fixed contract consideration (including any consideration related to non-components) must be allocated based on the respective relative fair values to the lease components and non-lease components.</w:t>
      </w:r>
    </w:p>
    <w:p>
      <w:pPr>
        <w:spacing w:after="0" w:line="14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Although separation of lease and non-lease components is required, certain expedients are available. Entities may elect the practical expedient to not separate lease and non-lease components by class of underlying asset where entities would account for each lease component and the related non-lease component together as a single component. For new and amended leases beginning in 2019 and after, the Company has elected to account for the lease and non-lease components for leases for classes of all underlying assets and allocate all of the contract consideration to the lease component only.</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The Company reviews the recoverability of all long-lived assets, including the related useful lives, whenever events or changes in circumstances indicate that the carrying amount of a long-lived asset might not be recoverable. If required, the Company compares the estimated undiscounted future net cash flows to the related asset’s carrying value to determine whether there has been an impairment. If an asset is considered impaired, the asset is written down to fair value, which is based either on discounted cash flows or appraised values in the period the impairment becomes known. The Company believes that all long-lived assets are recoverable, and no impairment was deemed necessary at December 31, 2021 and 2020.</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tests its goodwill for impairment annually, or whenever events or changes in circumstances indicate an impairment may have occurred, by comparing its reporting unit’s carrying value to its fair value. Impairment may result from, among other things, deterioration in the performance of the acquired business, adverse market conditions, adverse changes in applicable laws or regulations and a variety of other circumstances. If the Company determines that an impairment has occurred, it is required to record a write-down of the carrying value and charge the impairment as an operating expense in the period the determination is made. In evaluating the recoverability of the carrying value of goodwill, the Company must make assumptions regarding estimated future cash flows and other factors to determine the fair value of the acquired assets. Changes in strategy or market conditions could significantly impact those judgments in the future and require an adjustment to the recorded balances. The Company tested its goodwill for impairment as of November 30, 2021. There was no impairment of goodwill for the years ended December 31, 2021 or 2020.</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8" w:name="page79"/>
    <w:bookmarkEnd w:id="78"/>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9"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Level 1 — 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Level 2 —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that reflect the Company’s estimates of the assumptions that market participants would use in pricing the asset or liability.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develops these inputs based on the best information available, including its own data.</w:t>
      </w:r>
    </w:p>
    <w:p>
      <w:pPr>
        <w:spacing w:after="0" w:line="211"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following tables present information about the Company’s cash equivalents and marketable securities as of December 31, 2021 and 2020, measured at fair value on a recurring basis and indicates the fair value hierarchy of the valuation techniques the Company utilized to determine such fair value: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13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54,003,831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54,003,831</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Total fair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54,003,831</w:t>
            </w:r>
          </w:p>
        </w:tc>
        <w:tc>
          <w:tcPr>
            <w:tcW w:w="3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54,003,831</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r>
        <w:trPr>
          <w:trHeight w:val="391"/>
        </w:trPr>
        <w:tc>
          <w:tcPr>
            <w:tcW w:w="3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6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3"/>
                <w:szCs w:val="13"/>
                <w:color w:val="auto"/>
              </w:rPr>
            </w:pPr>
          </w:p>
        </w:tc>
        <w:tc>
          <w:tcPr>
            <w:tcW w:w="1300" w:type="dxa"/>
            <w:vAlign w:val="bottom"/>
          </w:tcPr>
          <w:p>
            <w:pPr>
              <w:jc w:val="right"/>
              <w:ind w:right="539"/>
              <w:spacing w:after="0" w:line="155" w:lineRule="exact"/>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ind w:left="8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ind w:left="240"/>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r>
      <w:tr>
        <w:trPr>
          <w:trHeight w:val="223"/>
        </w:trPr>
        <w:tc>
          <w:tcPr>
            <w:tcW w:w="3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equivalents</w:t>
            </w: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21,992,701</w:t>
            </w:r>
          </w:p>
        </w:tc>
        <w:tc>
          <w:tcPr>
            <w:tcW w:w="28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3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Total fair value</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21,992,701</w:t>
            </w:r>
          </w:p>
        </w:tc>
        <w:tc>
          <w:tcPr>
            <w:tcW w:w="3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21,992,701</w:t>
            </w:r>
          </w:p>
        </w:tc>
        <w:tc>
          <w:tcPr>
            <w:tcW w:w="28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300" w:type="dxa"/>
            <w:vAlign w:val="bottom"/>
          </w:tcPr>
          <w:p>
            <w:pPr>
              <w:ind w:left="110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r>
    </w:tbl>
    <w:p>
      <w:pPr>
        <w:spacing w:after="0" w:line="22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8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Company’s financial instruments consist of cash and cash equivalents, restricted cash, accounts payable, accrued expenses and liabilities related to the sale of future royalties. The carrying amounts of cash and cash equivalents, restricted cash, accounts payable, and accrued expenses approximate fair value because of their short-term nature.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 xml:space="preserve">The Company applies the revenue recognition guidance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Revenue is recognized when persuasive evidence of an arrangement exists, delivery has occurred and title has passed, the price is fixed or determinable, and collectability is reasonably assured. The Company is a development stage company and has had no revenues from product sales to date.</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When the Company enters into an arrangement that meets the definition of a collaboration under ASC 808, </w:t>
      </w:r>
      <w:r>
        <w:rPr>
          <w:rFonts w:ascii="Arial" w:cs="Arial" w:eastAsia="Arial" w:hAnsi="Arial"/>
          <w:sz w:val="17"/>
          <w:szCs w:val="17"/>
          <w:i w:val="1"/>
          <w:iCs w:val="1"/>
          <w:color w:val="auto"/>
        </w:rPr>
        <w:t>Collaborative Arrangements</w:t>
      </w:r>
      <w:r>
        <w:rPr>
          <w:rFonts w:ascii="Arial" w:cs="Arial" w:eastAsia="Arial" w:hAnsi="Arial"/>
          <w:sz w:val="17"/>
          <w:szCs w:val="17"/>
          <w:color w:val="auto"/>
        </w:rPr>
        <w:t>, the Company recognizes revenue as research and development is performed and its respective share of the expenses are incurred. The Company assesses whether the arrangement contains multiple elements or deliverables, which may include (1) licenses to the Company's technology, (2) research and development activities performed for the collaboration partner, and (3) participation on Joint Steering Committees. Payments may include non-refundable, upfront payments, milestone payments upon achieving significant development events, and royalties on future sales. Each required deliverable is evaluated to determine whether it qualifies as a separate unit of accounting based on whether the deliverable has “stand-alone value” to the customer. The arrangement’s consideration is then allocated to each separate unit of accounting based on the relative selling price of each deliverable. The estimated selling price of each deliverable is determined using the following hierarchy of values: (i) vendor-specific objective evidence of fair value, (ii) third-party evidence of selling price, and (iii) best estimate of selling price. The best estimate of selling price reflects the Company’s best estimate of what the selling price would be if the deliverable was regularly sold by the Company on a stand-alone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79" w:name="page80"/>
    <w:bookmarkEnd w:id="79"/>
    <w:p>
      <w:pPr>
        <w:ind w:right="120"/>
        <w:spacing w:after="0" w:line="275" w:lineRule="auto"/>
        <w:rPr>
          <w:sz w:val="20"/>
          <w:szCs w:val="20"/>
          <w:color w:val="auto"/>
        </w:rPr>
      </w:pPr>
      <w:r>
        <w:rPr>
          <w:rFonts w:ascii="Arial" w:cs="Arial" w:eastAsia="Arial" w:hAnsi="Arial"/>
          <w:sz w:val="17"/>
          <w:szCs w:val="17"/>
          <w:color w:val="auto"/>
        </w:rPr>
        <w:t>basis. The consideration allocated to each unit of accounting is then recognized as the related goods or services are delivered, limited to the consideration that is not contingent upon future deliverables. Supply or service transactions may involve the charge of a nonrefundable initial fee with subsequent periodic payments for future products or services. The up-front fees, even if nonrefundable, are recognized as revenue as the products and/or services are delivered and performed over the term of the arrangement. During the year ended December 31, 2020, the Company recognized $41.2 million in collaborative revenue as a result of opting out of its agreement with Janssen (see Note 5).</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Liability related to the sale of future royalties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treats the sale of future royalties to Royalty Pharma as a debt financing, as the Company has significant continuing involvement in facilitating the transfer of royalties to Royalty Pharma and Royalty Pharma has recourse against the Company relating to the payments due from Janssen. As a result, the Company recorded the upfront payment of $60 million from this transaction as a liability related to the sale of future royalties, and up to an additional $95 million in potential milestone payments will also be recorded as a liability related to the sale of future royalties and amortized as interest expense over the estimated remaining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w:t>
      </w:r>
    </w:p>
    <w:p>
      <w:pPr>
        <w:spacing w:after="0" w:line="1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liability related to sale of future royalties and the related interest expense is based on our current estimates of future royalties expected to be paid over the life of the arrangement. The Company will periodically assess the expected royalty payments using a combination of internal projections and forecasts from external sources. To the extent the Company’s future estimates of royalty payments are greater or less than previous estimates or the estimated timing of such payments is materially different than its previous estimates, the Company will prospectively recognize related non-cash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For further discussion of the sale of future royalties, please refer to Note 6, Sale of Future Royalties.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Operating segments are defined as components of an enterprise (business activity from which it earns revenue and incurs expenses) about which discrete financial information is available and regularly reviewed by the chief operating decision maker in deciding how to allocate resources and in assessing performance. The Company’s chief decision maker, who is the Chief Executive Officer, reviews operating results to make decisions about allocating resources and assessing performance for the entire Company. The Company views its operations and manages its business as one operating segment.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no items of comprehensive loss other than its net loss for each period presented.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From time to time, new accounting pronouncements are issued by the FASB and are adopted by the Company as of the specified effective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Arial" w:cs="Arial" w:eastAsia="Arial" w:hAnsi="Arial"/>
                <w:sz w:val="18"/>
                <w:szCs w:val="18"/>
                <w:b w:val="1"/>
                <w:bCs w:val="1"/>
                <w:color w:val="auto"/>
              </w:rPr>
              <w:t>NOTE 3</w:t>
            </w:r>
          </w:p>
        </w:tc>
        <w:tc>
          <w:tcPr>
            <w:tcW w:w="5800" w:type="dxa"/>
            <w:vAlign w:val="bottom"/>
            <w:gridSpan w:val="2"/>
          </w:tcPr>
          <w:p>
            <w:pPr>
              <w:ind w:left="20"/>
              <w:spacing w:after="0"/>
              <w:rPr>
                <w:sz w:val="20"/>
                <w:szCs w:val="20"/>
                <w:color w:val="auto"/>
              </w:rPr>
            </w:pPr>
            <w:r>
              <w:rPr>
                <w:rFonts w:ascii="Arial" w:cs="Arial" w:eastAsia="Arial" w:hAnsi="Arial"/>
                <w:sz w:val="18"/>
                <w:szCs w:val="18"/>
                <w:b w:val="1"/>
                <w:bCs w:val="1"/>
                <w:color w:val="auto"/>
              </w:rPr>
              <w:t>— ACCRUED EXPENSES AND OTHER LIABILITIES</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80" w:type="dxa"/>
            <w:vAlign w:val="bottom"/>
            <w:gridSpan w:val="3"/>
          </w:tcPr>
          <w:p>
            <w:pPr>
              <w:spacing w:after="0"/>
              <w:rPr>
                <w:sz w:val="20"/>
                <w:szCs w:val="20"/>
                <w:color w:val="auto"/>
              </w:rPr>
            </w:pPr>
            <w:r>
              <w:rPr>
                <w:rFonts w:ascii="Arial" w:cs="Arial" w:eastAsia="Arial" w:hAnsi="Arial"/>
                <w:sz w:val="18"/>
                <w:szCs w:val="18"/>
                <w:color w:val="auto"/>
              </w:rPr>
              <w:t>Accrued expenses and other liabilities consist of the following:</w:t>
            </w: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6"/>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 and other accrued expenses</w:t>
            </w:r>
          </w:p>
        </w:tc>
        <w:tc>
          <w:tcPr>
            <w:tcW w:w="8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902,803</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1,880,552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Accrued severance</w:t>
            </w: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31,876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Professional fees</w:t>
            </w:r>
          </w:p>
        </w:tc>
        <w:tc>
          <w:tcPr>
            <w:tcW w:w="8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62,936</w:t>
            </w:r>
          </w:p>
        </w:tc>
        <w:tc>
          <w:tcPr>
            <w:tcW w:w="2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140,981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0" w:type="dxa"/>
            <w:vAlign w:val="bottom"/>
          </w:tcPr>
          <w:p>
            <w:pPr>
              <w:spacing w:after="0"/>
              <w:rPr>
                <w:sz w:val="19"/>
                <w:szCs w:val="19"/>
                <w:color w:val="auto"/>
              </w:rPr>
            </w:pPr>
          </w:p>
        </w:tc>
        <w:tc>
          <w:tcPr>
            <w:tcW w:w="5800" w:type="dxa"/>
            <w:vAlign w:val="bottom"/>
            <w:gridSpan w:val="2"/>
          </w:tcPr>
          <w:p>
            <w:pPr>
              <w:ind w:left="460"/>
              <w:spacing w:after="0"/>
              <w:rPr>
                <w:sz w:val="20"/>
                <w:szCs w:val="20"/>
                <w:color w:val="auto"/>
              </w:rPr>
            </w:pPr>
            <w:r>
              <w:rPr>
                <w:rFonts w:ascii="Arial" w:cs="Arial" w:eastAsia="Arial" w:hAnsi="Arial"/>
                <w:sz w:val="18"/>
                <w:szCs w:val="18"/>
                <w:color w:val="auto"/>
              </w:rPr>
              <w:t>Accrued expenses and other current liabilities</w:t>
            </w:r>
          </w:p>
        </w:tc>
        <w:tc>
          <w:tcPr>
            <w:tcW w:w="820" w:type="dxa"/>
            <w:vAlign w:val="bottom"/>
          </w:tcPr>
          <w:p>
            <w:pPr>
              <w:spacing w:after="0"/>
              <w:rPr>
                <w:sz w:val="19"/>
                <w:szCs w:val="19"/>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965,739</w:t>
            </w:r>
          </w:p>
        </w:tc>
        <w:tc>
          <w:tcPr>
            <w:tcW w:w="2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2,053,409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Arial" w:cs="Arial" w:eastAsia="Arial" w:hAnsi="Arial"/>
                <w:sz w:val="18"/>
                <w:szCs w:val="18"/>
                <w:b w:val="1"/>
                <w:bCs w:val="1"/>
                <w:color w:val="auto"/>
              </w:rPr>
              <w:t>NOTE 4</w:t>
            </w:r>
          </w:p>
        </w:tc>
        <w:tc>
          <w:tcPr>
            <w:tcW w:w="58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NET (LOSS) INCOME PER SHARE OF COMMON STOCK</w:t>
            </w:r>
          </w:p>
        </w:tc>
        <w:tc>
          <w:tcPr>
            <w:tcW w:w="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80" w:type="dxa"/>
            <w:vAlign w:val="bottom"/>
            <w:vMerge w:val="continue"/>
          </w:tcPr>
          <w:p>
            <w:pPr>
              <w:spacing w:after="0"/>
              <w:rPr>
                <w:sz w:val="24"/>
                <w:szCs w:val="24"/>
                <w:color w:val="auto"/>
              </w:rPr>
            </w:pPr>
          </w:p>
        </w:tc>
        <w:tc>
          <w:tcPr>
            <w:tcW w:w="580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Basic (loss) income per share is calculated by dividing the net (loss) income by the weighted average number of shares of common stock outstanding. Diluted (loss) income per share is computed by dividing the net (loss) income by the weighted average number of shares of common stock outstanding, plus potential outstanding common stock for the period. Potential outstanding common stock</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80" w:name="page81"/>
    <w:bookmarkEnd w:id="80"/>
    <w:p>
      <w:pPr>
        <w:ind w:right="100"/>
        <w:spacing w:after="0" w:line="277" w:lineRule="auto"/>
        <w:rPr>
          <w:sz w:val="20"/>
          <w:szCs w:val="20"/>
          <w:color w:val="auto"/>
        </w:rPr>
      </w:pPr>
      <w:r>
        <w:rPr>
          <w:rFonts w:ascii="Arial" w:cs="Arial" w:eastAsia="Arial" w:hAnsi="Arial"/>
          <w:sz w:val="18"/>
          <w:szCs w:val="18"/>
          <w:color w:val="auto"/>
        </w:rPr>
        <w:t>includes stock options and shares underlying RSUs, but only to the extent that their inclusion is dilutive. The following table sets forth the computation of basic and diluted (loss) income per share for common stockholders:</w:t>
      </w:r>
    </w:p>
    <w:p>
      <w:pPr>
        <w:spacing w:after="0" w:line="31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ind w:left="3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5380" w:type="dxa"/>
            <w:vAlign w:val="bottom"/>
            <w:tcBorders>
              <w:bottom w:val="single" w:sz="8" w:color="CFF0FC"/>
            </w:tcBorders>
          </w:tcPr>
          <w:p>
            <w:pPr>
              <w:spacing w:after="0"/>
              <w:rPr>
                <w:sz w:val="13"/>
                <w:szCs w:val="13"/>
                <w:color w:val="auto"/>
              </w:rPr>
            </w:pPr>
          </w:p>
        </w:tc>
        <w:tc>
          <w:tcPr>
            <w:tcW w:w="7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(49,905,952)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1,940,771</w:t>
            </w: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Weighted average shares of common stock outstanding - basic</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42,721,566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40,823,717</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Dilutive effect</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93,154</w:t>
            </w:r>
          </w:p>
        </w:tc>
        <w:tc>
          <w:tcPr>
            <w:tcW w:w="100" w:type="dxa"/>
            <w:vAlign w:val="bottom"/>
            <w:shd w:val="clear" w:color="auto" w:fill="CFF0FC"/>
          </w:tcPr>
          <w:p>
            <w:pPr>
              <w:spacing w:after="0"/>
              <w:rPr>
                <w:sz w:val="19"/>
                <w:szCs w:val="19"/>
                <w:color w:val="auto"/>
              </w:rPr>
            </w:pPr>
          </w:p>
        </w:tc>
      </w:tr>
      <w:tr>
        <w:trPr>
          <w:trHeight w:val="223"/>
        </w:trPr>
        <w:tc>
          <w:tcPr>
            <w:tcW w:w="5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 average shares of common stock outstanding - diluted</w:t>
            </w:r>
          </w:p>
        </w:tc>
        <w:tc>
          <w:tcPr>
            <w:tcW w:w="7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42,721,566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40,916,871</w:t>
            </w:r>
          </w:p>
        </w:tc>
        <w:tc>
          <w:tcPr>
            <w:tcW w:w="100" w:type="dxa"/>
            <w:vAlign w:val="bottom"/>
            <w:tcBorders>
              <w:bottom w:val="single" w:sz="8" w:color="CFF0FC"/>
            </w:tcBorders>
          </w:tcPr>
          <w:p>
            <w:pPr>
              <w:spacing w:after="0"/>
              <w:rPr>
                <w:sz w:val="19"/>
                <w:szCs w:val="19"/>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per ordinary share:</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380" w:type="dxa"/>
            <w:vAlign w:val="bottom"/>
          </w:tcPr>
          <w:p>
            <w:pPr>
              <w:spacing w:after="0"/>
              <w:rPr>
                <w:sz w:val="20"/>
                <w:szCs w:val="20"/>
                <w:color w:val="auto"/>
              </w:rPr>
            </w:pPr>
            <w:r>
              <w:rPr>
                <w:rFonts w:ascii="Arial" w:cs="Arial" w:eastAsia="Arial" w:hAnsi="Arial"/>
                <w:sz w:val="18"/>
                <w:szCs w:val="18"/>
                <w:color w:val="auto"/>
              </w:rPr>
              <w:t>Basic</w:t>
            </w:r>
          </w:p>
        </w:tc>
        <w:tc>
          <w:tcPr>
            <w:tcW w:w="10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(1.17)</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r>
      <w:tr>
        <w:trPr>
          <w:trHeight w:val="223"/>
        </w:trPr>
        <w:tc>
          <w:tcPr>
            <w:tcW w:w="5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Diluted</w:t>
            </w:r>
          </w:p>
        </w:tc>
        <w:tc>
          <w:tcPr>
            <w:tcW w:w="7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securities outstanding at December 31, 2021 and 2020 have been excluded from the calculation of weighted average shares outstanding as their effect on the calculation of (loss) income per share is antidilutive:</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780" w:type="dxa"/>
            <w:vAlign w:val="bottom"/>
            <w:gridSpan w:val="4"/>
          </w:tcPr>
          <w:p>
            <w:pPr>
              <w:ind w:left="520"/>
              <w:spacing w:after="0"/>
              <w:rPr>
                <w:sz w:val="20"/>
                <w:szCs w:val="20"/>
                <w:color w:val="auto"/>
              </w:rPr>
            </w:pPr>
            <w:r>
              <w:rPr>
                <w:rFonts w:ascii="Arial" w:cs="Arial" w:eastAsia="Arial" w:hAnsi="Arial"/>
                <w:sz w:val="14"/>
                <w:szCs w:val="14"/>
                <w:b w:val="1"/>
                <w:bCs w:val="1"/>
                <w:color w:val="auto"/>
              </w:rPr>
              <w:t>Year Ended December 31,</w:t>
            </w:r>
          </w:p>
        </w:tc>
      </w:tr>
      <w:tr>
        <w:trPr>
          <w:trHeight w:val="155"/>
        </w:trPr>
        <w:tc>
          <w:tcPr>
            <w:tcW w:w="620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2,119,467</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8,602,722</w:t>
            </w:r>
          </w:p>
        </w:tc>
        <w:tc>
          <w:tcPr>
            <w:tcW w:w="100" w:type="dxa"/>
            <w:vAlign w:val="bottom"/>
            <w:shd w:val="clear" w:color="auto" w:fill="CFF0FC"/>
          </w:tcPr>
          <w:p>
            <w:pPr>
              <w:spacing w:after="0"/>
              <w:rPr>
                <w:sz w:val="19"/>
                <w:szCs w:val="19"/>
                <w:color w:val="auto"/>
              </w:rPr>
            </w:pPr>
          </w:p>
        </w:tc>
      </w:tr>
      <w:tr>
        <w:trPr>
          <w:trHeight w:val="229"/>
        </w:trPr>
        <w:tc>
          <w:tcPr>
            <w:tcW w:w="6200" w:type="dxa"/>
            <w:vAlign w:val="bottom"/>
          </w:tcPr>
          <w:p>
            <w:pPr>
              <w:spacing w:after="0"/>
              <w:rPr>
                <w:sz w:val="20"/>
                <w:szCs w:val="20"/>
                <w:color w:val="auto"/>
              </w:rPr>
            </w:pPr>
            <w:r>
              <w:rPr>
                <w:rFonts w:ascii="Arial" w:cs="Arial" w:eastAsia="Arial" w:hAnsi="Arial"/>
                <w:sz w:val="18"/>
                <w:szCs w:val="18"/>
                <w:color w:val="auto"/>
              </w:rPr>
              <w:t>Performance-based restricted stock units</w:t>
            </w:r>
          </w:p>
        </w:tc>
        <w:tc>
          <w:tcPr>
            <w:tcW w:w="1220" w:type="dxa"/>
            <w:vAlign w:val="bottom"/>
          </w:tcPr>
          <w:p>
            <w:pPr>
              <w:jc w:val="right"/>
              <w:spacing w:after="0"/>
              <w:rPr>
                <w:sz w:val="20"/>
                <w:szCs w:val="20"/>
                <w:color w:val="auto"/>
              </w:rPr>
            </w:pPr>
            <w:r>
              <w:rPr>
                <w:rFonts w:ascii="Arial" w:cs="Arial" w:eastAsia="Arial" w:hAnsi="Arial"/>
                <w:sz w:val="18"/>
                <w:szCs w:val="18"/>
                <w:color w:val="auto"/>
              </w:rPr>
              <w:t>3,651,403</w:t>
            </w:r>
          </w:p>
        </w:tc>
        <w:tc>
          <w:tcPr>
            <w:tcW w:w="220" w:type="dxa"/>
            <w:vAlign w:val="bottom"/>
          </w:tcPr>
          <w:p>
            <w:pPr>
              <w:spacing w:after="0"/>
              <w:rPr>
                <w:sz w:val="19"/>
                <w:szCs w:val="19"/>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40,790</w:t>
            </w:r>
          </w:p>
        </w:tc>
        <w:tc>
          <w:tcPr>
            <w:tcW w:w="100" w:type="dxa"/>
            <w:vAlign w:val="bottom"/>
            <w:shd w:val="clear" w:color="auto" w:fill="CFF0FC"/>
          </w:tcPr>
          <w:p>
            <w:pPr>
              <w:spacing w:after="0"/>
              <w:rPr>
                <w:sz w:val="19"/>
                <w:szCs w:val="19"/>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CO-DEVELOPMENT AND LICENSE AGREEMENT</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February 13, 2014, the Company signed a co-development and license agreement (the “Agreement”) with Janssen, which became effective upon completion of the Company’s initial public offering and provided for the payment of a $22.0 million license fee by the Company. Under the Agreement, Janssen granted the Company an exclusive license to certain patent and patent applications to sell products containing any orexin 2 compound, controlled by Janssen, and to seltorexant for any use in humans.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 Agreement as a joint risk-sharing collaboration in accordance with ASC 808, Collaborative Arrangements.</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During 2017, the Company entered into an amendment (the “Amendment”) to the Agreement whereby Janssen waived its right to royalties on seltorexant insomnia sales in the Minerva Territory, made an upfront payment to the Company of $30 million and agreed to waive development payments from the Company until completion of the Phase 2b development milestone, referred to as “Decision Point 4”.</w:t>
      </w:r>
    </w:p>
    <w:p>
      <w:pPr>
        <w:spacing w:after="0" w:line="18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Subsequent to the results reported from three Phase 2b trials of seltorexant, in June 2020 the Company exercised its right to opt out of the Agreement with Janssen under a Settlement Agreement pursuant to which the Company and Janssen resolved certain disputes under the Agreement. As a result of the exercise of its right to opt out of the Agreement with Janssen, the Company was entitled to collect a royalty on potential worldwide sales of seltorexant in certain indications in the mid-single digits, with no further financial obligations to Janssen.</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result of opting out of the Agreement with Janssen, the Company recognized $41.2 million in collaborative revenue during the second quarter of 2020 which had previously been included on the balance sheet under deferred revenue. The $41.2 million in collaborative revenue represents the $30 million payment made by Janssen and $11.2 million in previously accrued collaborative expenses forgiven by Janssen upon the effective date of the Amendment. The Company does not have any future performance obligations under the agreement and would recognize any future royalty revenues in the periods of the sale of the related products. In January 2021, the Company sold its rights to these potential royalties to Royalty Pharma. Please refer to Note 6 further discussion of the sale of future royalties.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SALE OF FUTURE ROYALTIES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the Company has significant continuing involvement in facilitating the transfer of royalties to Royalty Pharma and Royalty Pharma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81" w:name="page82"/>
    <w:bookmarkEnd w:id="81"/>
    <w:p>
      <w:pPr>
        <w:spacing w:after="0" w:line="293" w:lineRule="auto"/>
        <w:rPr>
          <w:sz w:val="20"/>
          <w:szCs w:val="20"/>
          <w:color w:val="auto"/>
        </w:rPr>
      </w:pPr>
      <w:r>
        <w:rPr>
          <w:rFonts w:ascii="Arial" w:cs="Arial" w:eastAsia="Arial" w:hAnsi="Arial"/>
          <w:sz w:val="16"/>
          <w:szCs w:val="16"/>
          <w:color w:val="auto"/>
        </w:rPr>
        <w:t>has recourse against the Company relating to the payments due from Janssen. As such, the Company applied the debt recognition guidance under ASC 470, Debt, and recorded the upfront payment of $60 million as a liability related to the sale of future royalties (“Royalty Obligation”), which will be amortized under the interest method over the estimated life of the agreement. Under the terms of the agreement, all payments from Royalty Pharma to the Company, including the initial upfront payment of $60 million as well as amortized interest expense and potential milestone payments, are not repayable to Royalty Pharma in the event that Janssen discontinues the clinical development of seltorexant or ceases to pursue its commercialization at a future date for any reason. In addition, in accordance with ASC 470, Debt, the Company will account for any royalties received in the future as non-cash royalty revenue.</w:t>
      </w:r>
    </w:p>
    <w:p>
      <w:pPr>
        <w:spacing w:after="0" w:line="164"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As royalties are remitted to the Company from Janssen and subsequently passed onto Royalty Pharma, the balance of the Royalty Obligation will be effectively repaid over the life of the co-development and license agreement (the “Agreement”) with Janssen. In order to determine the amortization of the Royalty Obligation, the Company is required to estimate the total amount of future royalty payments to Royalty Pharma over the life of the Agreement. In addition to the $60 million upfront payment, up to an additional $95 million in potential milestone payments will also be recorded as a liability related to the sale of future royalties and amortized as interest expense over the estimated remaining life of the agreement. At execution, the Company’s estimate of this total interest expense resulted in an effective annual interest rate of approximately 10.5%. As of December 31, 2021, the Company estimated the effective annual interest rate to be approximately 10.7%. This estimate contains significant assumptions that impact both the amount recorded at execution and the interest expense that will be recognized over the royalty period. The Company will periodically assess the estimated royalty payments to Royalty Payments from Janssen and to the extent the amount or timing of such payments is materially different than the original estimates, an adjustment will be recorded prospectively to increase or decrease interest expense. There are a number of factors that could materially affect the amount and timing of royalty payments to Royalty Pharma from Janssen, and correspondingly, the amount of interest expense recorded by the Company, most of which are not within the Company’s control. Such factors include, but are not limited to, delays or discontinuation of development of seltorexant, regulatory approval, changing standards of care, the introduction of competing products, manufacturing or other delays, generic competition, intellectual property matters, adverse events that result in governmental health authority imposed restrictions on the use of the drug products, significant changes in foreign exchange rates as the royalties remitted to Royalty Pharma are made in U.S. dollars (“USD”) while the underlying sales of seltorexant will be made in currencies other than USD, the ongoing COVID-19 pandemic, and other events or circumstances that are not currently foreseen. Changes to any of these factors could result in increases or decreases to both royalty revenues and interest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activity of the Royalty Obligation since the transaction inception through December 31, 2021:</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2021</w:t>
            </w:r>
          </w:p>
        </w:tc>
      </w:tr>
      <w:tr>
        <w:trPr>
          <w:trHeight w:val="223"/>
        </w:trPr>
        <w:tc>
          <w:tcPr>
            <w:tcW w:w="7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Upfront payment from the sale of future royalties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60,000,000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73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Non-cash interest expense associated with the sale of future royalties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6,327,321</w:t>
            </w:r>
          </w:p>
        </w:tc>
        <w:tc>
          <w:tcPr>
            <w:tcW w:w="80" w:type="dxa"/>
            <w:vAlign w:val="bottom"/>
            <w:tcBorders>
              <w:bottom w:val="single" w:sz="8" w:color="CFF0FC"/>
            </w:tcBorders>
          </w:tcPr>
          <w:p>
            <w:pPr>
              <w:spacing w:after="0"/>
              <w:rPr>
                <w:sz w:val="19"/>
                <w:szCs w:val="19"/>
                <w:color w:val="auto"/>
              </w:rPr>
            </w:pPr>
          </w:p>
        </w:tc>
      </w:tr>
      <w:tr>
        <w:trPr>
          <w:trHeight w:val="223"/>
        </w:trPr>
        <w:tc>
          <w:tcPr>
            <w:tcW w:w="7380" w:type="dxa"/>
            <w:vAlign w:val="bottom"/>
            <w:shd w:val="clear" w:color="auto" w:fill="CFF0FC"/>
          </w:tcPr>
          <w:p>
            <w:pPr>
              <w:spacing w:after="0"/>
              <w:rPr>
                <w:sz w:val="20"/>
                <w:szCs w:val="20"/>
                <w:color w:val="auto"/>
              </w:rPr>
            </w:pPr>
            <w:r>
              <w:rPr>
                <w:rFonts w:ascii="Arial" w:cs="Arial" w:eastAsia="Arial" w:hAnsi="Arial"/>
                <w:sz w:val="18"/>
                <w:szCs w:val="18"/>
                <w:color w:val="auto"/>
              </w:rPr>
              <w:t>Liability related to the sale of future royalties</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66,327,321</w:t>
            </w:r>
          </w:p>
        </w:tc>
        <w:tc>
          <w:tcPr>
            <w:tcW w:w="80" w:type="dxa"/>
            <w:vAlign w:val="bottom"/>
            <w:shd w:val="clear" w:color="auto" w:fill="CFF0FC"/>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At-the-Market Equity Offering Program</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August 10, 2018, the Company entered into the Sales Agreement with Jefferies pursuant to which the Company may offer and sell, from time to time, through Jefferies, up to $50.0 million in shares of the Company's common stock, by any method permitted by law deemed to be an “at-the-market” offering as defined in Rule 415 promulgated under the Securities Act of 1933, as amended. During the year ended December 31, 2020, the Company issued and sold 3,381,608 shares of the Company's common stock under the Sales Agreement. The shares were sold at an average price of $3.7113 per share for aggregate net proceeds to the Company of approximately $12.1 million, after deducting sales commissions and offering costs payable by the Company. During the year ended December 31, 2021, no shares of our common stock were issued or sold under the Sales Agreement.</w:t>
      </w:r>
    </w:p>
    <w:p>
      <w:pPr>
        <w:spacing w:after="0" w:line="16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Term Loan Warrants</w:t>
      </w:r>
    </w:p>
    <w:p>
      <w:pPr>
        <w:spacing w:after="0" w:line="20"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In connection with the Company’s former Loan and Security Agreement with Oxford Finance LLC and Silicon Valley Bank (the “Lenders”), which provided for term loans to the Company in an aggregate principal amount of up to $15 million in two tranches on January 15, 2016, the Company issued the Lenders warrants to purchase 40,790 shares of common stock at a per share exercise price of $5.516. The warrants were immediately exercisable upon issuance, and other than in connection with certain mergers or acquisitions, will expire on the ten-year anniversary of the date of issuance. The fair value of the warrants was estimated at $0.2 million using a Black-Scholes model and assuming: (i) expected volatility of 100.8%, (ii) risk free interest rate of 1.83%, (iii) an expected life of 10 years and (iv) no dividend payments. The fair value of the warrants was included as a discount to the term loans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2" w:name="page83"/>
    <w:bookmarkEnd w:id="82"/>
    <w:p>
      <w:pPr>
        <w:ind w:right="320"/>
        <w:spacing w:after="0" w:line="308" w:lineRule="auto"/>
        <w:rPr>
          <w:sz w:val="20"/>
          <w:szCs w:val="20"/>
          <w:color w:val="auto"/>
        </w:rPr>
      </w:pPr>
      <w:r>
        <w:rPr>
          <w:rFonts w:ascii="Arial" w:cs="Arial" w:eastAsia="Arial" w:hAnsi="Arial"/>
          <w:sz w:val="17"/>
          <w:szCs w:val="17"/>
          <w:color w:val="auto"/>
        </w:rPr>
        <w:t>drawn at such time and also as a component of additional paid-in capital and were amortized to interest expense over the term of the loan. Although the term loans were repaid in August 2018, all related warrants were outstanding and exercisable as of December 31,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STOCK AWARD PLAN AND STOCK-BASED COMPENSATION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December 2013, the Company adopted the 2013 Equity Incentive Plan (as subsequently amended and restated, the “Plan”), which provides for the issuance of options, stock appreciation rights, stock awards and stock units. Pursuant to Nasdaq listing rules, the Company issued inducement awards in December 2017 to the Company’s President outside of the Plan in the form of an option to purchase 775,000 shares of the Company’s common stock and a RSU award to purchase 40,000 shares of the Company’s common stock. As of September 30, 2020, all remaining inducement awards have been canceled or expired. In June 2020, the Company increased the aggregate number of shares of common stock authorized for issuance under the Plan by 2,000,000 shares.</w:t>
      </w:r>
    </w:p>
    <w:p>
      <w:pPr>
        <w:spacing w:after="0" w:line="1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Option Exchange Program</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June 11, 2021, the Company’s stockholders, upon recommendation of the board of directors of the Company, approved a one-time stock option exchange program (the “Exchange Program”) for certain employee option holders (including its named executive officers) (the “Eligible Participants”) who remained employed by the Company through the completion of the Exchange Program. The Exchange Program permitted Eligible Participants to surrender stock options issued and outstanding under the Plan granted before July 1, 2020, with a per-share exercise price of $4.47 or greater (the “Eligible Options”), in exchange for a grant of performance-based restricted stock units (“PRSUs”) that will settle in shares of the Company’s common stock upon vesting. 50% of the new PRSUs will vest upon the U.S. Food and Drug Administration’s (“FDA”) acceptance of a new drug application for roluperidone, provided that such acceptance is not “over protest” and occurs within three years after the grant date. The remaining new PRSUs will vest upon roluperidone receiving FDA marketing approval provided that such approval occurs within five years after the grant date.</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July 6, 2021, the Company filed with the SEC a Tender Offer Statement on Schedule TO disclosing the terms and conditions of the Exchange Program. The Exchange Program closed on August 3, 2021. On August 6, 2021, options to purchase 7,631,844 shares of the Company’s common stock were exchanged for 3,813,150 PRSUs. Options surrendered in the Exchange Program were cancelled and shares subject to the cancelled options again became available for issuance under the Plan.</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non-cash incremental stock-based compensation cost associated with the Exchange Program was $0.5 million. This incremental cost was measured as the excess of the fair value of each new PRSU, measured as of the date the new PRSUs were granted, over the fair value of the stock options surrendered in exchange for the new PRSU, measured immediately prior to the cancellation. This incremental compensation cost will be recognized when it is deemed probable that the two vesting conditions of the PRSUs will be achieved.</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activity for employees and non-employees for the year ended December 31, 2021 is as follows:</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 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Issuable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Pursuant to</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Stock Options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Terms (years)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January 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10,050,523</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ind w:left="8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Granted</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465,000</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Exercised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Cancelled/Forfeited</w:t>
            </w:r>
            <w:r>
              <w:rPr>
                <w:rFonts w:ascii="Arial" w:cs="Arial" w:eastAsia="Arial" w:hAnsi="Arial"/>
                <w:sz w:val="15"/>
                <w:szCs w:val="15"/>
                <w:color w:val="auto"/>
              </w:rPr>
              <w:t>(1)</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(8,396,056)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December 31, 2021</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2,119,467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FF0FC"/>
              <w:bottom w:val="single" w:sz="8" w:color="CFF0FC"/>
            </w:tcBorders>
            <w:gridSpan w:val="2"/>
            <w:shd w:val="clear" w:color="auto" w:fill="CFF0FC"/>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8"/>
                <w:szCs w:val="18"/>
                <w:color w:val="auto"/>
              </w:rPr>
              <w:t>Exercisable December 31, 2021</w:t>
            </w: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5.39</w:t>
            </w:r>
          </w:p>
        </w:tc>
        <w:tc>
          <w:tcPr>
            <w:tcW w:w="20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7.0</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50"/>
        </w:trPr>
        <w:tc>
          <w:tcPr>
            <w:tcW w:w="3920" w:type="dxa"/>
            <w:vAlign w:val="bottom"/>
            <w:gridSpan w:val="2"/>
            <w:vMerge w:val="continue"/>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1,206,966</w:t>
            </w:r>
          </w:p>
        </w:tc>
        <w:tc>
          <w:tcPr>
            <w:tcW w:w="12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1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Available for future grant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4,437,269</w:t>
            </w:r>
          </w:p>
        </w:tc>
        <w:tc>
          <w:tcPr>
            <w:tcW w:w="1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00" w:hanging="492"/>
        <w:spacing w:after="0"/>
        <w:tabs>
          <w:tab w:leader="none" w:pos="5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7,631,844 </w:t>
      </w:r>
      <w:r>
        <w:rPr>
          <w:rFonts w:ascii="Arial" w:cs="Arial" w:eastAsia="Arial" w:hAnsi="Arial"/>
          <w:sz w:val="21"/>
          <w:szCs w:val="21"/>
          <w:color w:val="auto"/>
        </w:rPr>
        <w:t>shares of the Company’s common stock were cancelled during the Exchange Program.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83" w:name="page84"/>
    <w:bookmarkEnd w:id="83"/>
    <w:p>
      <w:pPr>
        <w:ind w:right="100"/>
        <w:spacing w:after="0" w:line="259" w:lineRule="auto"/>
        <w:rPr>
          <w:sz w:val="20"/>
          <w:szCs w:val="20"/>
          <w:color w:val="auto"/>
        </w:rPr>
      </w:pPr>
      <w:r>
        <w:rPr>
          <w:rFonts w:ascii="Arial" w:cs="Arial" w:eastAsia="Arial" w:hAnsi="Arial"/>
          <w:sz w:val="18"/>
          <w:szCs w:val="18"/>
          <w:color w:val="auto"/>
        </w:rPr>
        <w:t>The weighted average grant-date fair value of stock options outstanding on December 31, 2021 was $2.84 per share. Total unrecognized compensation costs related to non-vested stock options at December 31, 2021 were approximately $1.6 million and are expected to be recognized within future operating results over a weighted-average period of 1.6 years. The total intrinsic value of the options exercised during the years ended December 31, 2021 and 2020 was approximately zero and $0.9 million, respectively.</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 xml:space="preserve">The expected term of the employee-related options was estimated using the “simplified” method as defined by the SEC’s Staff Accounting Bulletin No. 107, </w:t>
      </w:r>
      <w:r>
        <w:rPr>
          <w:rFonts w:ascii="Arial" w:cs="Arial" w:eastAsia="Arial" w:hAnsi="Arial"/>
          <w:sz w:val="16"/>
          <w:szCs w:val="16"/>
          <w:i w:val="1"/>
          <w:iCs w:val="1"/>
          <w:color w:val="auto"/>
        </w:rPr>
        <w:t>Share-Based Payment</w:t>
      </w:r>
      <w:r>
        <w:rPr>
          <w:rFonts w:ascii="Arial" w:cs="Arial" w:eastAsia="Arial" w:hAnsi="Arial"/>
          <w:sz w:val="16"/>
          <w:szCs w:val="16"/>
          <w:color w:val="auto"/>
        </w:rPr>
        <w:t>. The volatility assumption was determined by examining the historical volatilities for industry peer companies, as the Company did not have sufficient trading history for its common stock.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purposes of estimating the fair value of the options</w:t>
      </w:r>
    </w:p>
    <w:p>
      <w:pPr>
        <w:spacing w:after="0" w:line="16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uses the Black-Scholes model to estimate the fair value of stock options granted. For stock options granted during the years ended December 31, 2021 and 2020, the Company utilized the following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46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55"/>
              <w:spacing w:after="0" w:line="155" w:lineRule="exact"/>
              <w:rPr>
                <w:sz w:val="20"/>
                <w:szCs w:val="20"/>
                <w:color w:val="auto"/>
              </w:rPr>
            </w:pPr>
            <w:r>
              <w:rPr>
                <w:rFonts w:ascii="Arial" w:cs="Arial" w:eastAsia="Arial" w:hAnsi="Arial"/>
                <w:sz w:val="14"/>
                <w:szCs w:val="14"/>
                <w:b w:val="1"/>
                <w:bCs w:val="1"/>
                <w:color w:val="auto"/>
                <w:w w:val="96"/>
              </w:rPr>
              <w:t>2021</w:t>
            </w:r>
          </w:p>
        </w:tc>
        <w:tc>
          <w:tcPr>
            <w:tcW w:w="2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center"/>
              <w:ind w:right="53"/>
              <w:spacing w:after="0" w:line="155" w:lineRule="exact"/>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0"/>
              </w:rPr>
              <w:t>5.5-6.25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90"/>
              </w:rPr>
              <w:t>5.5-6.25</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55"/>
              <w:spacing w:after="0"/>
              <w:rPr>
                <w:sz w:val="20"/>
                <w:szCs w:val="20"/>
                <w:color w:val="auto"/>
              </w:rPr>
            </w:pPr>
            <w:r>
              <w:rPr>
                <w:rFonts w:ascii="Arial" w:cs="Arial" w:eastAsia="Arial" w:hAnsi="Arial"/>
                <w:sz w:val="18"/>
                <w:szCs w:val="18"/>
                <w:color w:val="auto"/>
                <w:w w:val="90"/>
              </w:rPr>
              <w:t>0.86%-1.14%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0.37%-0.54%</w:t>
            </w:r>
          </w:p>
        </w:tc>
        <w:tc>
          <w:tcPr>
            <w:tcW w:w="10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Volatility</w:t>
            </w:r>
          </w:p>
        </w:tc>
        <w:tc>
          <w:tcPr>
            <w:tcW w:w="7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shd w:val="clear" w:color="auto" w:fill="CFF0FC"/>
          </w:tcPr>
          <w:p>
            <w:pPr>
              <w:jc w:val="center"/>
              <w:ind w:right="35"/>
              <w:spacing w:after="0"/>
              <w:rPr>
                <w:sz w:val="20"/>
                <w:szCs w:val="20"/>
                <w:color w:val="auto"/>
              </w:rPr>
            </w:pPr>
            <w:r>
              <w:rPr>
                <w:rFonts w:ascii="Arial" w:cs="Arial" w:eastAsia="Arial" w:hAnsi="Arial"/>
                <w:sz w:val="18"/>
                <w:szCs w:val="18"/>
                <w:color w:val="auto"/>
                <w:w w:val="92"/>
              </w:rPr>
              <w:t>75%-97%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jc w:val="center"/>
              <w:ind w:right="53"/>
              <w:spacing w:after="0"/>
              <w:rPr>
                <w:sz w:val="20"/>
                <w:szCs w:val="20"/>
                <w:color w:val="auto"/>
              </w:rPr>
            </w:pPr>
            <w:r>
              <w:rPr>
                <w:rFonts w:ascii="Arial" w:cs="Arial" w:eastAsia="Arial" w:hAnsi="Arial"/>
                <w:sz w:val="18"/>
                <w:szCs w:val="18"/>
                <w:color w:val="auto"/>
                <w:w w:val="92"/>
              </w:rPr>
              <w:t>68%-72%</w:t>
            </w:r>
          </w:p>
        </w:tc>
        <w:tc>
          <w:tcPr>
            <w:tcW w:w="10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right="35"/>
              <w:spacing w:after="0"/>
              <w:rPr>
                <w:sz w:val="20"/>
                <w:szCs w:val="20"/>
                <w:color w:val="auto"/>
              </w:rPr>
            </w:pPr>
            <w:r>
              <w:rPr>
                <w:rFonts w:ascii="Arial" w:cs="Arial" w:eastAsia="Arial" w:hAnsi="Arial"/>
                <w:sz w:val="18"/>
                <w:szCs w:val="18"/>
                <w:color w:val="auto"/>
                <w:w w:val="92"/>
              </w:rPr>
              <w:t>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53"/>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29"/>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grant date fair value per share of common stock</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5"/>
              <w:spacing w:after="0"/>
              <w:rPr>
                <w:sz w:val="20"/>
                <w:szCs w:val="20"/>
                <w:color w:val="auto"/>
              </w:rPr>
            </w:pPr>
            <w:r>
              <w:rPr>
                <w:rFonts w:ascii="Arial" w:cs="Arial" w:eastAsia="Arial" w:hAnsi="Arial"/>
                <w:sz w:val="18"/>
                <w:szCs w:val="18"/>
                <w:color w:val="auto"/>
              </w:rPr>
              <w:t>1.41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RSUs awarded to employees generally vest one-fourth per year over four years from the anniversary of the date of grant, provided the employee remains continuously employed with the Company. Shares of the Company’s stock are delivered to the employee upon vesting, subject to payment of applicable withholding taxes. The fair value of RSUs is equal to the closing price of the Company’s common stock on the date of grant. The total unrecognized compensation costs related to non-vested RSUs at December 31, 2021 was zero. There were no unvested RSUs as of December 31, 2021 and 2020. The total fair value of RSUs vested, as of their respective vesting dates, during the years ended December 31, 2021 and 2020 was zero and approximately $0.2 million, respectively.</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August 6, 2021, the Company granted 3,813,150 PRSUs through the Exchange Program. The Exchange Program was treated as a Type II modification (Probable-to improbable) under ASC 718. The total PRSUs outstanding at December 31, 2021 was 3,651,403. The Company will recognize the unrecognized grant-date fair value of the pre-modification stock options as well as any incremental non-cash compensation cost of the PRSUs granted in the Exchange Program, if the vesting conditions of the PRSUs are achieved or if they become probable. The Company is using the pre-modification stock options for determining the compensation cost related to the PRSUs as the vesting conditions remain uncertain for the new PRSUs. The total unrecognized compensation costs related to non-vested stock options at December 31, 2021 were approximately $3.6 million and are expected to be recognized within future operating results over a weighted-average period of 1.4 years. As of December 31, 2021, no PRSUs have vested and 161,747 have been cancelled.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stock-based compensation expense included in the Company’s consolidated statements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40" w:type="dxa"/>
            <w:vAlign w:val="bottom"/>
            <w:gridSpan w:val="5"/>
          </w:tcPr>
          <w:p>
            <w:pPr>
              <w:ind w:left="26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120" w:type="dxa"/>
            <w:vAlign w:val="bottom"/>
            <w:tcBorders>
              <w:bottom w:val="single" w:sz="8" w:color="CFF0FC"/>
            </w:tcBorders>
          </w:tcPr>
          <w:p>
            <w:pPr>
              <w:spacing w:after="0"/>
              <w:rPr>
                <w:sz w:val="13"/>
                <w:szCs w:val="13"/>
                <w:color w:val="auto"/>
              </w:rPr>
            </w:pPr>
          </w:p>
        </w:tc>
        <w:tc>
          <w:tcPr>
            <w:tcW w:w="304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15"/>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0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2,414,040</w:t>
            </w: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3,026,056</w:t>
            </w:r>
          </w:p>
        </w:tc>
        <w:tc>
          <w:tcPr>
            <w:tcW w:w="10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0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2,804,954</w:t>
            </w: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6,678,173</w:t>
            </w:r>
          </w:p>
        </w:tc>
        <w:tc>
          <w:tcPr>
            <w:tcW w:w="10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30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5,218,994</w:t>
            </w:r>
          </w:p>
        </w:tc>
        <w:tc>
          <w:tcPr>
            <w:tcW w:w="2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9,704,229</w:t>
            </w:r>
          </w:p>
        </w:tc>
        <w:tc>
          <w:tcPr>
            <w:tcW w:w="10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20" w:type="dxa"/>
            <w:vAlign w:val="bottom"/>
            <w:gridSpan w:val="2"/>
          </w:tcPr>
          <w:p>
            <w:pPr>
              <w:jc w:val="right"/>
              <w:ind w:right="1707"/>
              <w:spacing w:after="0"/>
              <w:rPr>
                <w:sz w:val="20"/>
                <w:szCs w:val="20"/>
                <w:color w:val="auto"/>
              </w:rPr>
            </w:pPr>
            <w:r>
              <w:rPr>
                <w:rFonts w:ascii="Arial" w:cs="Arial" w:eastAsia="Arial" w:hAnsi="Arial"/>
                <w:sz w:val="18"/>
                <w:szCs w:val="18"/>
                <w:color w:val="auto"/>
              </w:rPr>
              <w:t>F-17</w:t>
            </w: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12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9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foreign and state income taxes for the years ended December 31, 2021 and 2020 are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5920" w:type="dxa"/>
            <w:vAlign w:val="bottom"/>
            <w:tcBorders>
              <w:bottom w:val="single" w:sz="8" w:color="CFF0FC"/>
            </w:tcBorders>
          </w:tcPr>
          <w:p>
            <w:pPr>
              <w:spacing w:after="0"/>
              <w:rPr>
                <w:sz w:val="20"/>
                <w:szCs w:val="20"/>
                <w:color w:val="auto"/>
              </w:rPr>
            </w:pPr>
          </w:p>
        </w:tc>
        <w:tc>
          <w:tcPr>
            <w:tcW w:w="240" w:type="dxa"/>
            <w:vAlign w:val="bottom"/>
            <w:tcBorders>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20"/>
                <w:szCs w:val="20"/>
                <w:color w:val="auto"/>
              </w:rPr>
            </w:pPr>
          </w:p>
        </w:tc>
        <w:tc>
          <w:tcPr>
            <w:tcW w:w="20" w:type="dxa"/>
            <w:vAlign w:val="bottom"/>
            <w:tcBorders>
              <w:top w:val="single" w:sz="8" w:color="auto"/>
              <w:bottom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Current income tax provision (benefit)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 provision (benefit)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(638,400)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State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(1,164,956)</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income tax provision (benefit)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(1,803,356)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w w:val="93"/>
              </w:rPr>
              <w:t>Net deferred tax assets (liabilities) as of December 31, 2021 and 2020 consist of the following:</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1140" w:type="dxa"/>
            <w:vAlign w:val="bottom"/>
          </w:tcPr>
          <w:p>
            <w:pPr>
              <w:spacing w:after="0"/>
              <w:rPr>
                <w:sz w:val="13"/>
                <w:szCs w:val="13"/>
                <w:color w:val="auto"/>
              </w:rPr>
            </w:pPr>
          </w:p>
        </w:tc>
        <w:tc>
          <w:tcPr>
            <w:tcW w:w="592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19,129,605</w:t>
            </w:r>
          </w:p>
        </w:tc>
        <w:tc>
          <w:tcPr>
            <w:tcW w:w="200" w:type="dxa"/>
            <w:vAlign w:val="bottom"/>
          </w:tcPr>
          <w:p>
            <w:pPr>
              <w:spacing w:after="0"/>
              <w:rPr>
                <w:sz w:val="19"/>
                <w:szCs w:val="19"/>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27,962,495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tax credits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145,115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Capitalized research and development costs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30,884,326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31,036,403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8,947,268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9,507,000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Deferred start-up and license costs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4,122,178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4,724,696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Sale of royalties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18,120,624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1,372</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deferred tax assets</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81,350,488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73,378,647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Deferred tax asset valuation allowance</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(81,350,488)</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(71,028,174)</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deferred tax assets</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2,350,473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gridSpan w:val="2"/>
          </w:tcPr>
          <w:p>
            <w:pPr>
              <w:ind w:left="1140"/>
              <w:spacing w:after="0"/>
              <w:rPr>
                <w:sz w:val="20"/>
                <w:szCs w:val="20"/>
                <w:color w:val="auto"/>
              </w:rPr>
            </w:pPr>
            <w:r>
              <w:rPr>
                <w:rFonts w:ascii="Arial" w:cs="Arial" w:eastAsia="Arial" w:hAnsi="Arial"/>
                <w:sz w:val="18"/>
                <w:szCs w:val="18"/>
                <w:color w:val="auto"/>
              </w:rPr>
              <w:t>Deferred tax liabilities: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In-process research and development</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(4,152,640)</w:t>
            </w: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(1,189)</w:t>
            </w: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(4,153,829)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(1,803,356)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the Company’s effective tax rate and the federal statutory rate for the years ended December 31, 2021 and 2020 are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0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Year Ended December 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40" w:type="dxa"/>
            <w:vAlign w:val="bottom"/>
          </w:tcPr>
          <w:p>
            <w:pPr>
              <w:spacing w:after="0"/>
              <w:rPr>
                <w:sz w:val="13"/>
                <w:szCs w:val="13"/>
                <w:color w:val="auto"/>
              </w:rPr>
            </w:pPr>
          </w:p>
        </w:tc>
        <w:tc>
          <w:tcPr>
            <w:tcW w:w="3620" w:type="dxa"/>
            <w:vAlign w:val="bottom"/>
            <w:tcBorders>
              <w:bottom w:val="single" w:sz="8" w:color="CFF0FC"/>
            </w:tcBorders>
          </w:tcPr>
          <w:p>
            <w:pPr>
              <w:spacing w:after="0"/>
              <w:rPr>
                <w:sz w:val="13"/>
                <w:szCs w:val="13"/>
                <w:color w:val="auto"/>
              </w:rPr>
            </w:pPr>
          </w:p>
        </w:tc>
        <w:tc>
          <w:tcPr>
            <w:tcW w:w="234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auto"/>
              </w:rPr>
              <w:t>2021</w:t>
            </w:r>
          </w:p>
        </w:tc>
        <w:tc>
          <w:tcPr>
            <w:tcW w:w="360" w:type="dxa"/>
            <w:vAlign w:val="bottom"/>
            <w:tcBorders>
              <w:top w:val="single" w:sz="8" w:color="auto"/>
              <w:bottom w:val="single" w:sz="8" w:color="CFF0FC"/>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Federal statutory rate</w:t>
            </w:r>
          </w:p>
        </w:tc>
        <w:tc>
          <w:tcPr>
            <w:tcW w:w="234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Permanent differences</w:t>
            </w:r>
          </w:p>
        </w:tc>
        <w:tc>
          <w:tcPr>
            <w:tcW w:w="3920" w:type="dxa"/>
            <w:vAlign w:val="bottom"/>
            <w:gridSpan w:val="3"/>
          </w:tcPr>
          <w:p>
            <w:pPr>
              <w:jc w:val="right"/>
              <w:ind w:right="160"/>
              <w:spacing w:after="0"/>
              <w:rPr>
                <w:sz w:val="20"/>
                <w:szCs w:val="20"/>
                <w:color w:val="auto"/>
              </w:rPr>
            </w:pPr>
            <w:r>
              <w:rPr>
                <w:rFonts w:ascii="Arial" w:cs="Arial" w:eastAsia="Arial" w:hAnsi="Arial"/>
                <w:sz w:val="18"/>
                <w:szCs w:val="18"/>
                <w:color w:val="auto"/>
              </w:rPr>
              <w:t>(0.30%)</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State income taxes, net of federal benefit</w:t>
            </w:r>
          </w:p>
        </w:tc>
        <w:tc>
          <w:tcPr>
            <w:tcW w:w="392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0.00%</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Valuation allowance</w:t>
            </w:r>
          </w:p>
        </w:tc>
        <w:tc>
          <w:tcPr>
            <w:tcW w:w="234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Arial" w:cs="Arial" w:eastAsia="Arial" w:hAnsi="Arial"/>
                <w:sz w:val="18"/>
                <w:szCs w:val="18"/>
                <w:color w:val="auto"/>
              </w:rPr>
              <w:t>(17.22%)</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(25.38%)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Effective tax rate</w:t>
            </w:r>
          </w:p>
        </w:tc>
        <w:tc>
          <w:tcPr>
            <w:tcW w:w="2340" w:type="dxa"/>
            <w:vAlign w:val="bottom"/>
            <w:vMerge w:val="restart"/>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3620" w:type="dxa"/>
            <w:vAlign w:val="bottom"/>
            <w:vMerge w:val="continue"/>
            <w:shd w:val="clear" w:color="auto" w:fill="CFF0FC"/>
          </w:tcPr>
          <w:p>
            <w:pPr>
              <w:spacing w:after="0"/>
              <w:rPr>
                <w:sz w:val="19"/>
                <w:szCs w:val="19"/>
                <w:color w:val="auto"/>
              </w:rPr>
            </w:pPr>
          </w:p>
        </w:tc>
        <w:tc>
          <w:tcPr>
            <w:tcW w:w="2340" w:type="dxa"/>
            <w:vAlign w:val="bottom"/>
            <w:vMerge w:val="continue"/>
            <w:shd w:val="clear" w:color="auto" w:fill="CFF0FC"/>
          </w:tcPr>
          <w:p>
            <w:pPr>
              <w:spacing w:after="0"/>
              <w:rPr>
                <w:sz w:val="19"/>
                <w:szCs w:val="19"/>
                <w:color w:val="auto"/>
              </w:rPr>
            </w:pPr>
          </w:p>
        </w:tc>
        <w:tc>
          <w:tcPr>
            <w:tcW w:w="1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3.49%</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0.00%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620" w:type="dxa"/>
            <w:vAlign w:val="bottom"/>
            <w:tcBorders>
              <w:top w:val="single" w:sz="8" w:color="CFF0FC"/>
            </w:tcBorders>
          </w:tcPr>
          <w:p>
            <w:pPr>
              <w:spacing w:after="0" w:line="20" w:lineRule="exact"/>
              <w:rPr>
                <w:sz w:val="1"/>
                <w:szCs w:val="1"/>
                <w:color w:val="auto"/>
              </w:rPr>
            </w:pPr>
          </w:p>
        </w:tc>
        <w:tc>
          <w:tcPr>
            <w:tcW w:w="234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3920" w:type="dxa"/>
            <w:vAlign w:val="bottom"/>
            <w:gridSpan w:val="3"/>
          </w:tcPr>
          <w:p>
            <w:pPr>
              <w:jc w:val="right"/>
              <w:ind w:right="2880"/>
              <w:spacing w:after="0"/>
              <w:rPr>
                <w:sz w:val="20"/>
                <w:szCs w:val="20"/>
                <w:color w:val="auto"/>
              </w:rPr>
            </w:pPr>
            <w:r>
              <w:rPr>
                <w:rFonts w:ascii="Arial" w:cs="Arial" w:eastAsia="Arial" w:hAnsi="Arial"/>
                <w:sz w:val="18"/>
                <w:szCs w:val="18"/>
                <w:color w:val="auto"/>
              </w:rPr>
              <w:t>F-18</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5" w:name="page86"/>
    <w:bookmarkEnd w:id="85"/>
    <w:p>
      <w:pPr>
        <w:spacing w:after="0" w:line="271"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the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losses and the uncertainty of future taxable income over the periods which the Company will realize the benefits of its net deferred tax assets, management believes it is more likely than not that the Company will not realize the benefits on the balance of its net deferred tax asset and, accordingly, the Company has established a full valuation allowance on its net deferred tax assets. The valuation allowance increased by approximately $10.3 million and decreased by approximately $1.3 million during the years ended December 31, 2021 and 2020, respectively.</w:t>
      </w:r>
    </w:p>
    <w:p>
      <w:pPr>
        <w:spacing w:after="0" w:line="2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December 31, 2021, the Company had approximately $70.5 million of federal net operating losses that will begin to expire in 2030. Of the total federal net operating loss, approximately $49.0 million has an unlimited carryforward and therefore will not expire. As of December 31, 2021, the Company had approximately $7.7 million of New Jersey and approximately $58.6 million of Massachusetts operating losses that will begin to expire in 2029 and 2037, respectively. As of December 31, 2021, the Company had $0.1 million of federal research and development credits that will begin to expire in 2027.</w:t>
      </w:r>
    </w:p>
    <w:p>
      <w:pPr>
        <w:spacing w:after="0" w:line="188" w:lineRule="exact"/>
        <w:rPr>
          <w:sz w:val="20"/>
          <w:szCs w:val="20"/>
          <w:color w:val="auto"/>
        </w:rPr>
      </w:pPr>
    </w:p>
    <w:p>
      <w:pPr>
        <w:ind w:right="100"/>
        <w:spacing w:after="0" w:line="296" w:lineRule="auto"/>
        <w:rPr>
          <w:sz w:val="20"/>
          <w:szCs w:val="20"/>
          <w:color w:val="auto"/>
        </w:rPr>
      </w:pPr>
      <w:r>
        <w:rPr>
          <w:rFonts w:ascii="Arial" w:cs="Arial" w:eastAsia="Arial" w:hAnsi="Arial"/>
          <w:sz w:val="16"/>
          <w:szCs w:val="16"/>
          <w:color w:val="auto"/>
        </w:rPr>
        <w:t>The Coronavirus Aid, Relief and Economic Security Act (the "CARES Act") was enacted in the United States on March 27, 2020. The CARES act is a $2 trillion relief package comprising a combination of tax provisions and other stimulus measures, including provisions relating to refundable payroll tax credits, deferment of employer side social security payments, net operating loss carry back periods, alternative minimum tax credit refunds, modifications to the interest deduction limitations and technical corrections to tax depreciation methods for qualified improvement property. For the year ended December 31, 2021, the company did not require application or modification of its tax positions in relation to the tax provisions of the CARES Act.</w:t>
      </w:r>
    </w:p>
    <w:p>
      <w:pPr>
        <w:spacing w:after="0" w:line="16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and subject to adjustment under statute from 2017 to present.</w:t>
      </w:r>
    </w:p>
    <w:p>
      <w:pPr>
        <w:spacing w:after="0" w:line="18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As of December 31, 2021 and 2020, the Company had no liability recorded for unrecognized tax benefit. The Company classifies penalties and interest expense related to income tax liabilities as an income tax expense. There were no interest and penalties recognized in the statements of operations for the years ended December 31, 2021 and 2020, or accrued on the balance sheets as of December 31, 2021 and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On December 8, 2020 and January 11, 2021, purported stockholders of the Company filed two putative securities class action complaints in the United States District Court for the District of Massachusetts, entitled </w:t>
      </w:r>
      <w:r>
        <w:rPr>
          <w:rFonts w:ascii="Arial" w:cs="Arial" w:eastAsia="Arial" w:hAnsi="Arial"/>
          <w:sz w:val="16"/>
          <w:szCs w:val="16"/>
          <w:i w:val="1"/>
          <w:iCs w:val="1"/>
          <w:color w:val="auto"/>
        </w:rPr>
        <w:t>McCoy v. Minerva Neurosciences, Inc., et al., No. 1:20-cv-12176</w:t>
      </w:r>
      <w:r>
        <w:rPr>
          <w:rFonts w:ascii="Arial" w:cs="Arial" w:eastAsia="Arial" w:hAnsi="Arial"/>
          <w:sz w:val="16"/>
          <w:szCs w:val="16"/>
          <w:color w:val="auto"/>
        </w:rPr>
        <w:t xml:space="preserve"> and </w:t>
      </w:r>
      <w:r>
        <w:rPr>
          <w:rFonts w:ascii="Arial" w:cs="Arial" w:eastAsia="Arial" w:hAnsi="Arial"/>
          <w:sz w:val="16"/>
          <w:szCs w:val="16"/>
          <w:i w:val="1"/>
          <w:iCs w:val="1"/>
          <w:color w:val="auto"/>
        </w:rPr>
        <w:t>Ao v.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Neurosciences, Inc. et al., No. 1:21-cv-10051</w:t>
      </w:r>
      <w:r>
        <w:rPr>
          <w:rFonts w:ascii="Arial" w:cs="Arial" w:eastAsia="Arial" w:hAnsi="Arial"/>
          <w:sz w:val="16"/>
          <w:szCs w:val="16"/>
          <w:color w:val="auto"/>
        </w:rPr>
        <w:t>, respectively, against the Company and the Company’s Chairman and Chief Executive Officer (collectively,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“Defendants"). The complaints are nearly identical and allege that the Defendants made material false and/or misleading statements regarding the development of the Company’s drug candidate roluperidone purportedly causing losses to investors who acquired the Company’s common stock between May 15, 2017 and November 30, 2020. The complaints do not quantify any alleged damages but, in addition to attorneys' fees and costs, plaintiffs seek to recover damages on behalf of themselves and others who acquired the Company’s stock during the putative class period at allegedly inflated prices and purportedly suffered financial harm as a result. On March 5, 2021, the Court entered an order consolidating the actions into a case captioned </w:t>
      </w:r>
      <w:r>
        <w:rPr>
          <w:rFonts w:ascii="Arial" w:cs="Arial" w:eastAsia="Arial" w:hAnsi="Arial"/>
          <w:sz w:val="16"/>
          <w:szCs w:val="16"/>
          <w:i w:val="1"/>
          <w:iCs w:val="1"/>
          <w:color w:val="auto"/>
        </w:rPr>
        <w:t>In re Minerva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Neurosciences, Inc. Securities Litigation, No. 1:20-cv-12176 </w:t>
      </w:r>
      <w:r>
        <w:rPr>
          <w:rFonts w:ascii="Arial" w:cs="Arial" w:eastAsia="Arial" w:hAnsi="Arial"/>
          <w:sz w:val="16"/>
          <w:szCs w:val="16"/>
          <w:color w:val="auto"/>
        </w:rPr>
        <w:t>and appointing lead plaintiffs and their counsel. On March 19, 2021, the parties filed a</w:t>
      </w:r>
      <w:r>
        <w:rPr>
          <w:rFonts w:ascii="Arial" w:cs="Arial" w:eastAsia="Arial" w:hAnsi="Arial"/>
          <w:sz w:val="16"/>
          <w:szCs w:val="16"/>
          <w:i w:val="1"/>
          <w:iCs w:val="1"/>
          <w:color w:val="auto"/>
        </w:rPr>
        <w:t xml:space="preserve"> </w:t>
      </w:r>
      <w:r>
        <w:rPr>
          <w:rFonts w:ascii="Arial" w:cs="Arial" w:eastAsia="Arial" w:hAnsi="Arial"/>
          <w:sz w:val="16"/>
          <w:szCs w:val="16"/>
          <w:color w:val="auto"/>
        </w:rPr>
        <w:t>stipulated proposed order with the Court staying the Defendants’ response to the complaint until after plaintiffs file an amended complaint. On May 5, 2021, the parties filed a stipulation and proposed order voluntarily dismissing the lawsuit on behalf of the appointed lead plaintiffs. Also on May 5, 2021, a second plaintiff filed a motion for appointment as lead plaintiff, which the Court granted on May 21, 2021. On June 9, 2021, before the lead plaintiff’s deadline to amend the complaint and before defendants filed any response to the complaint, the parties stipulated to voluntary dismissal of the lawsuit on behalf of the appointed lead plaintiff. The Court entered the parties’ stipulation of dismissal on July 9, 2021 and closed the case.</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11, for the Company’s current lease commitments.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NOTE 11 — LEASES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25"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On October 2, 2017, the Company entered into an office sublease agreement (the “Sublease”) with Profitect, Inc. (the “Sublandlord”) to sublease approximately 5,923 rentable square feet of office space located at 1601 Trapelo Road, Waltham, MA 02451 (the “Premises”). The term of the Sublease began on November 1, 2017 and expired on July 31, 2021 (the “Term”), with a monthly rental rate starting at $14,808 and escalating to a maximum monthly rental rate of $16,288 in the final 12 months of the Term. The Sublandlord provided the Premises to the Company free of charge for the first two months of the Term. The Company recognized the expense in accordance with ASC 842.</w:t>
      </w:r>
    </w:p>
    <w:p>
      <w:pPr>
        <w:spacing w:after="0" w:line="176"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Throughout the Term, the Company was responsible for paying certain costs and expenses, in addition to the rent, as specified in the Sublease, including a proportionate share of applicable taxes, operating expenses and utilities. In applying the ASC 842 transition guidance, the Company retained the classification of this Sublease as operating and recorded a lease liability and a right-of-use asset on the ASC 842 effective date.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contains a summary of the Sublease costs recognized under ASC 842 and other information pertaining to the Company’s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Sublease for the years ended December 31, 2021:</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December 31, 2021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Sublease cost</w:t>
            </w:r>
          </w:p>
        </w:tc>
        <w:tc>
          <w:tcPr>
            <w:tcW w:w="1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Operating Sublease cost</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104,574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cost</w:t>
            </w:r>
          </w:p>
        </w:tc>
        <w:tc>
          <w:tcPr>
            <w:tcW w:w="17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104,574</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Other information</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Operating cash flows used for operating Sublease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(114,018)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FF0FC"/>
          </w:tcPr>
          <w:p>
            <w:pPr>
              <w:ind w:left="220"/>
              <w:spacing w:after="0"/>
              <w:rPr>
                <w:sz w:val="20"/>
                <w:szCs w:val="20"/>
                <w:color w:val="auto"/>
              </w:rPr>
            </w:pPr>
            <w:r>
              <w:rPr>
                <w:rFonts w:ascii="Arial" w:cs="Arial" w:eastAsia="Arial" w:hAnsi="Arial"/>
                <w:sz w:val="18"/>
                <w:szCs w:val="18"/>
                <w:color w:val="auto"/>
              </w:rPr>
              <w:t>Weighted average remaining Sublease term</w:t>
            </w:r>
          </w:p>
        </w:tc>
        <w:tc>
          <w:tcPr>
            <w:tcW w:w="1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1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The Sublease agreement expired on July 31, 2021 and there were no future minimum payments under the Sublease agreement as of December 31,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Sublease payments under the Company’s non-cancelable operating Sublease as of December 31, 2020 were as follows:</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120" w:type="dxa"/>
            <w:vAlign w:val="bottom"/>
            <w:vMerge w:val="restart"/>
          </w:tcPr>
          <w:p>
            <w:pPr>
              <w:spacing w:after="0"/>
              <w:rPr>
                <w:sz w:val="20"/>
                <w:szCs w:val="20"/>
                <w:color w:val="auto"/>
              </w:rPr>
            </w:pPr>
            <w:r>
              <w:rPr>
                <w:rFonts w:ascii="Arial" w:cs="Arial" w:eastAsia="Arial" w:hAnsi="Arial"/>
                <w:sz w:val="14"/>
                <w:szCs w:val="14"/>
                <w:b w:val="1"/>
                <w:bCs w:val="1"/>
                <w:color w:val="auto"/>
              </w:rPr>
              <w:t>Future Operating Sublease Payments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7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Sublease payments</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114,018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23"/>
        </w:trPr>
        <w:tc>
          <w:tcPr>
            <w:tcW w:w="7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operating Sublease liabilities at December 31, 2020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111,229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On May 5, 2021, the Company entered into an office lease agreement with BP Reservoir Place to lease approximately 5,923 rentable square feet of office space located at 1601 Trapelo Road, Waltham, MA 02451. The term of the lease agreement began on August 1, 2021 and will expire on July 31, 2022, with an annual rate of $239,881.50 payable in equal monthly installments. The Company has elected to not recognize the lease agreement on the balance sheet as the term of the agreement is 12 months or less. Please refer to Note 2 for additional information on ASC 842, </w:t>
      </w:r>
      <w:r>
        <w:rPr>
          <w:rFonts w:ascii="Arial" w:cs="Arial" w:eastAsia="Arial" w:hAnsi="Arial"/>
          <w:sz w:val="18"/>
          <w:szCs w:val="18"/>
          <w:i w:val="1"/>
          <w:iCs w:val="1"/>
          <w:color w:val="auto"/>
        </w:rPr>
        <w:t>Leases</w:t>
      </w:r>
      <w:r>
        <w:rPr>
          <w:rFonts w:ascii="Arial" w:cs="Arial" w:eastAsia="Arial" w:hAnsi="Arial"/>
          <w:sz w:val="18"/>
          <w:szCs w:val="18"/>
          <w:color w:val="auto"/>
        </w:rPr>
        <w:t>. The total operating lease costs during the year ended December 31, 2021 were $99,951.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the Company’s non-cancelable operating lease as of December 31, 2021 were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Future Operating Lease Payments</w:t>
            </w: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20" w:type="dxa"/>
            <w:vAlign w:val="bottom"/>
            <w:gridSpan w:val="2"/>
            <w:vMerge w:val="continue"/>
          </w:tcPr>
          <w:p>
            <w:pPr>
              <w:spacing w:after="0"/>
              <w:rPr>
                <w:sz w:val="14"/>
                <w:szCs w:val="14"/>
                <w:color w:val="auto"/>
              </w:rPr>
            </w:pPr>
          </w:p>
        </w:tc>
        <w:tc>
          <w:tcPr>
            <w:tcW w:w="3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2021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140" w:type="dxa"/>
            <w:vAlign w:val="bottom"/>
            <w:vMerge w:val="restart"/>
          </w:tcPr>
          <w:p>
            <w:pPr>
              <w:spacing w:after="0"/>
              <w:rPr>
                <w:sz w:val="20"/>
                <w:szCs w:val="20"/>
                <w:color w:val="auto"/>
              </w:rPr>
            </w:pPr>
          </w:p>
        </w:tc>
        <w:tc>
          <w:tcPr>
            <w:tcW w:w="4080" w:type="dxa"/>
            <w:vAlign w:val="bottom"/>
            <w:tcBorders>
              <w:top w:val="single" w:sz="8" w:color="auto"/>
            </w:tcBorders>
            <w:shd w:val="clear" w:color="auto" w:fill="CFF0FC"/>
          </w:tcPr>
          <w:p>
            <w:pPr>
              <w:spacing w:after="0"/>
              <w:rPr>
                <w:sz w:val="20"/>
                <w:szCs w:val="20"/>
                <w:color w:val="auto"/>
              </w:rPr>
            </w:pPr>
          </w:p>
        </w:tc>
        <w:tc>
          <w:tcPr>
            <w:tcW w:w="3040" w:type="dxa"/>
            <w:vAlign w:val="bottom"/>
            <w:tcBorders>
              <w:top w:val="single" w:sz="8" w:color="auto"/>
            </w:tcBorders>
            <w:shd w:val="clear" w:color="auto" w:fill="CFF0FC"/>
          </w:tcPr>
          <w:p>
            <w:pPr>
              <w:spacing w:after="0"/>
              <w:rPr>
                <w:sz w:val="20"/>
                <w:szCs w:val="20"/>
                <w:color w:val="auto"/>
              </w:rPr>
            </w:pPr>
          </w:p>
        </w:tc>
        <w:tc>
          <w:tcPr>
            <w:tcW w:w="160" w:type="dxa"/>
            <w:vAlign w:val="bottom"/>
            <w:tcBorders>
              <w:top w:val="single" w:sz="8" w:color="CFF0FC"/>
            </w:tcBorders>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2022</w:t>
            </w:r>
          </w:p>
        </w:tc>
        <w:tc>
          <w:tcPr>
            <w:tcW w:w="3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139,931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40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3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ind w:left="1140"/>
              <w:spacing w:after="0"/>
              <w:rPr>
                <w:sz w:val="20"/>
                <w:szCs w:val="20"/>
                <w:color w:val="auto"/>
              </w:rPr>
            </w:pPr>
            <w:r>
              <w:rPr>
                <w:rFonts w:ascii="Arial" w:cs="Arial" w:eastAsia="Arial" w:hAnsi="Arial"/>
                <w:sz w:val="18"/>
                <w:szCs w:val="18"/>
                <w:color w:val="auto"/>
                <w:w w:val="95"/>
              </w:rPr>
              <w:t>Total operating lease liabilities at December 31, 2021</w:t>
            </w:r>
          </w:p>
        </w:tc>
        <w:tc>
          <w:tcPr>
            <w:tcW w:w="30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139,931</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340" w:type="dxa"/>
            <w:vAlign w:val="bottom"/>
            <w:gridSpan w:val="3"/>
          </w:tcPr>
          <w:p>
            <w:pPr>
              <w:jc w:val="right"/>
              <w:ind w:right="2687"/>
              <w:spacing w:after="0"/>
              <w:rPr>
                <w:sz w:val="20"/>
                <w:szCs w:val="20"/>
                <w:color w:val="auto"/>
              </w:rPr>
            </w:pPr>
            <w:r>
              <w:rPr>
                <w:rFonts w:ascii="Arial" w:cs="Arial" w:eastAsia="Arial" w:hAnsi="Arial"/>
                <w:sz w:val="18"/>
                <w:szCs w:val="18"/>
                <w:color w:val="auto"/>
              </w:rPr>
              <w:t>F-20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4080" w:type="dxa"/>
            <w:vAlign w:val="bottom"/>
            <w:tcBorders>
              <w:bottom w:val="single" w:sz="8" w:color="9A9A9A"/>
            </w:tcBorders>
          </w:tcPr>
          <w:p>
            <w:pPr>
              <w:spacing w:after="0"/>
              <w:rPr>
                <w:sz w:val="10"/>
                <w:szCs w:val="10"/>
                <w:color w:val="auto"/>
              </w:rPr>
            </w:pPr>
          </w:p>
        </w:tc>
        <w:tc>
          <w:tcPr>
            <w:tcW w:w="3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3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37" w:right="1440" w:bottom="1440" w:gutter="0" w:footer="0" w:header="0"/>
        </w:sectPr>
      </w:pPr>
    </w:p>
    <w:bookmarkStart w:id="88" w:name="page89"/>
    <w:bookmarkEnd w:id="88"/>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maintain “disclosure controls and procedures,” as defined in Rules 13a-15(e) and 15d-15(e) under the Securities Exchange Act of 1934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management, with the participation of our Chief Executive Officer (principal executive officer) and Chief Financial Officer (principal financial officer), evaluated the effectiveness of our disclosure controls and procedures as of December 31, 2021. Based on the evaluation of our disclosure controls and procedures as of December 31, 2021, our Chief Executive Officer and Chief Financial Officer concluded that, as of such date, our disclosure controls and procedures were effective at a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Internal control over financial reporting is a process designed under the supervision and with the participation of our management, including our principal executive officer and principal financial officer, to provide reasonable assurance regarding the reliability of financial reporting and the preparation of financial statements for external purposes in accordance with accounting principles generally accepted in the United States of America.</w:t>
      </w:r>
    </w:p>
    <w:p>
      <w:pPr>
        <w:spacing w:after="0" w:line="15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As of December 31, 2021, our management assessed the effectiveness of our internal control over financial reporting using the criteria set forth by the Committee of Sponsoring Organizations of the Treadway Commission in Internal Control-Integrated Framework (2013 Framework). Based on this assessment, our management concluded that, as of December 31, 2021, our internal control over financial reporting was effective based on those criteria.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7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annual report does not include an attestation report of our registered public accounting firm due to the Securities and Exchange Commission adopted amendments to the accelerated filer and large accelerated filer definitions on March 12, 2020. Following the adoption of the amendments, smaller reporting companies with less than $100 million in revenues will continue to be required to establish and maintain effective internal control over financial reporting (“ICFR”) but, will no longer be required to obtain a separate attestation of their ICFR from an outside auditor.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internal control over financial reporting during the fourth quarter that would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89" w:name="page90"/>
    <w:bookmarkEnd w:id="89"/>
    <w:p>
      <w:pPr>
        <w:ind w:left="532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this Item 10 will be contained in the sections entitled “Election of Directors,” “Corporate Governance” and</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“Section 16(a) Beneficial Ownership Reporting Compliance” appearing in the definitive proxy statement we will file in connection with our 2022 Annual Meeting of Stockholders and is incorporated by reference herein. The information required by this item relating to executive officers may be found in Part I, Item 1 of this report under the heading “Business—Executive Officers” and is incorporated herein by reference.</w:t>
      </w:r>
    </w:p>
    <w:p>
      <w:pPr>
        <w:spacing w:after="0" w:line="16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required by this Item 11 will be contained in the sections entitled “Executive and Director Compensation,” “Executive and Director Compensation—Compensation Committee Interlocks and Insider Participation” and “Executive and Director Compensation—Compensation Committee Report” appearing in the definitive proxy statement we will file in connection with our 2022 Annual Meeting of Stockholders and is incorporated by reference herein.</w:t>
      </w:r>
    </w:p>
    <w:p>
      <w:pPr>
        <w:spacing w:after="0" w:line="18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12 will be contained in the sections entitled “Ownership of Our Common Stock” and “Executive and Director Compensation—Equity Compensation Plan Information” appearing in the definitive proxy statement we will file in connection with our 2022 Annual Meeting of Stockholders and is incorporated by reference herein.</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Person Transactions, and Director Independence</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information required by this Item 13 will be contained in the sections entitled “Certain Relationships and Related Person Transactions” appearing in the definitive proxy statement we will file in connection with our 2022 Annual Meeting of Stockholders and is incorporated by reference herein.</w:t>
      </w:r>
    </w:p>
    <w:p>
      <w:pPr>
        <w:spacing w:after="0" w:line="12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information required by this Item 14 will be contained in the section entitled “Corporate Governance—Principal Accountant Fees and Services” appearing in the definitive proxy statement we will file in connection with our 2022 Annual Meeting of Stockholders and is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90" w:name="page91"/>
    <w:bookmarkEnd w:id="90"/>
    <w:p>
      <w:pPr>
        <w:ind w:left="53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Documents filed as part of Form 10-K.</w:t>
      </w:r>
    </w:p>
    <w:p>
      <w:pPr>
        <w:spacing w:after="0" w:line="117" w:lineRule="exact"/>
        <w:rPr>
          <w:rFonts w:ascii="Arial" w:cs="Arial" w:eastAsia="Arial" w:hAnsi="Arial"/>
          <w:sz w:val="18"/>
          <w:szCs w:val="18"/>
          <w:color w:val="auto"/>
        </w:rPr>
      </w:pPr>
    </w:p>
    <w:p>
      <w:pPr>
        <w:ind w:left="260"/>
        <w:spacing w:after="0"/>
        <w:rPr>
          <w:rFonts w:ascii="Arial" w:cs="Arial" w:eastAsia="Arial" w:hAnsi="Arial"/>
          <w:sz w:val="18"/>
          <w:szCs w:val="18"/>
          <w:color w:val="auto"/>
        </w:rPr>
      </w:pPr>
      <w:r>
        <w:rPr>
          <w:rFonts w:ascii="Arial" w:cs="Arial" w:eastAsia="Arial" w:hAnsi="Arial"/>
          <w:sz w:val="18"/>
          <w:szCs w:val="18"/>
          <w:color w:val="auto"/>
        </w:rPr>
        <w:t>(1) Financial Statements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Balance Sheets as of December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Operations for the Years Ended December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Stockholders’ Equity for the Years Ended December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Consolidated Statements of Cash Flows for the Years Ended December 31, 2021 and 2020</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(2) Schedules</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Schedules have been omitted as all required information has been disclosed in the financial statements and related footnotes.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(3) Exhibits</w:t>
      </w:r>
    </w:p>
    <w:p>
      <w:pPr>
        <w:spacing w:after="0" w:line="25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53" w:right="1440"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The following exhibits are filed as part of this Annual Report on Form 10-K or are incorporated herein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60" w:type="dxa"/>
            <w:vAlign w:val="bottom"/>
            <w:gridSpan w:val="18"/>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8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8"/>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4"/>
                <w:szCs w:val="24"/>
                <w:color w:val="auto"/>
              </w:rPr>
            </w:pPr>
          </w:p>
        </w:tc>
        <w:tc>
          <w:tcPr>
            <w:tcW w:w="4480" w:type="dxa"/>
            <w:vAlign w:val="bottom"/>
            <w:gridSpan w:val="23"/>
          </w:tcPr>
          <w:p>
            <w:pPr>
              <w:spacing w:after="0"/>
              <w:rPr>
                <w:rFonts w:ascii="Arial" w:cs="Arial" w:eastAsia="Arial" w:hAnsi="Arial"/>
                <w:sz w:val="18"/>
                <w:szCs w:val="18"/>
                <w:color w:val="0000EE"/>
                <w:w w:val="95"/>
              </w:rPr>
            </w:pPr>
            <w:hyperlink r:id="rId114">
              <w:r>
                <w:rPr>
                  <w:rFonts w:ascii="Arial" w:cs="Arial" w:eastAsia="Arial" w:hAnsi="Arial"/>
                  <w:sz w:val="18"/>
                  <w:szCs w:val="18"/>
                  <w:color w:val="0000EE"/>
                  <w:w w:val="95"/>
                </w:rPr>
                <w:t>Agreement and Plan of Merger of Sonkei Pharmaceuticals,</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40" w:type="dxa"/>
            <w:vAlign w:val="bottom"/>
            <w:tcBorders>
              <w:top w:val="single" w:sz="8" w:color="0000EE"/>
            </w:tcBorders>
            <w:gridSpan w:val="18"/>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Inc. with and into Cyrenaic Pharmaceuticals, Inc., dated as</w:t>
              </w:r>
            </w:hyperlink>
          </w:p>
        </w:tc>
        <w:tc>
          <w:tcPr>
            <w:tcW w:w="24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of November 12, 2013</w:t>
              </w:r>
            </w:hyperlink>
          </w:p>
        </w:tc>
        <w:tc>
          <w:tcPr>
            <w:tcW w:w="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4"/>
                <w:szCs w:val="24"/>
                <w:color w:val="auto"/>
              </w:rPr>
            </w:pPr>
          </w:p>
        </w:tc>
        <w:tc>
          <w:tcPr>
            <w:tcW w:w="4480" w:type="dxa"/>
            <w:vAlign w:val="bottom"/>
            <w:gridSpan w:val="23"/>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Certificate of Merger Merging Sonkei Pharmaceuticals, Inc.</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with and into Cyrenaic Pharmaceuticals, Inc., dated as of</w:t>
              </w:r>
            </w:hyperlink>
          </w:p>
        </w:tc>
        <w:tc>
          <w:tcPr>
            <w:tcW w:w="200" w:type="dxa"/>
            <w:vAlign w:val="bottom"/>
            <w:tcBorders>
              <w:top w:val="single" w:sz="8" w:color="0000EE"/>
            </w:tcBorders>
            <w:gridSpan w:val="6"/>
          </w:tcPr>
          <w:p>
            <w:pPr>
              <w:spacing w:after="0"/>
              <w:rPr>
                <w:sz w:val="17"/>
                <w:szCs w:val="17"/>
                <w:color w:val="auto"/>
              </w:rPr>
            </w:pPr>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15">
              <w:r>
                <w:rPr>
                  <w:rFonts w:ascii="Arial" w:cs="Arial" w:eastAsia="Arial" w:hAnsi="Arial"/>
                  <w:sz w:val="18"/>
                  <w:szCs w:val="18"/>
                  <w:color w:val="0000EE"/>
                  <w:w w:val="89"/>
                </w:rPr>
                <w:t>November 12, 2013</w:t>
              </w:r>
            </w:hyperlink>
          </w:p>
        </w:tc>
        <w:tc>
          <w:tcPr>
            <w:tcW w:w="3040" w:type="dxa"/>
            <w:vAlign w:val="bottom"/>
            <w:gridSpan w:val="19"/>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24"/>
                <w:szCs w:val="24"/>
                <w:color w:val="auto"/>
              </w:rPr>
            </w:pPr>
          </w:p>
        </w:tc>
        <w:tc>
          <w:tcPr>
            <w:tcW w:w="4160" w:type="dxa"/>
            <w:vAlign w:val="bottom"/>
            <w:tcBorders>
              <w:bottom w:val="single" w:sz="8" w:color="0000EE"/>
            </w:tcBorders>
            <w:gridSpan w:val="15"/>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Amended and Restated Certificate of Incorporation of the</w:t>
              </w:r>
            </w:hyperlink>
          </w:p>
        </w:tc>
        <w:tc>
          <w:tcPr>
            <w:tcW w:w="320" w:type="dxa"/>
            <w:vAlign w:val="bottom"/>
            <w:gridSpan w:val="8"/>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Registrant</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4"/>
                <w:szCs w:val="24"/>
                <w:color w:val="auto"/>
              </w:rPr>
            </w:pPr>
          </w:p>
        </w:tc>
        <w:tc>
          <w:tcPr>
            <w:tcW w:w="3500" w:type="dxa"/>
            <w:vAlign w:val="bottom"/>
            <w:tcBorders>
              <w:bottom w:val="single" w:sz="8" w:color="0000EE"/>
            </w:tcBorders>
            <w:gridSpan w:val="10"/>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Amended and Restated Bylaws of the Registrant</w:t>
              </w:r>
            </w:hyperlink>
          </w:p>
        </w:tc>
        <w:tc>
          <w:tcPr>
            <w:tcW w:w="980" w:type="dxa"/>
            <w:vAlign w:val="bottom"/>
            <w:gridSpan w:val="13"/>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4,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2560" w:type="dxa"/>
            <w:vAlign w:val="bottom"/>
            <w:tcBorders>
              <w:bottom w:val="single" w:sz="8" w:color="0000EE"/>
            </w:tcBorders>
            <w:gridSpan w:val="7"/>
          </w:tcPr>
          <w:p>
            <w:pPr>
              <w:spacing w:after="0"/>
              <w:rPr>
                <w:rFonts w:ascii="Arial" w:cs="Arial" w:eastAsia="Arial" w:hAnsi="Arial"/>
                <w:sz w:val="18"/>
                <w:szCs w:val="18"/>
                <w:color w:val="0000EE"/>
                <w:w w:val="91"/>
              </w:rPr>
            </w:pPr>
            <w:hyperlink r:id="rId118">
              <w:r>
                <w:rPr>
                  <w:rFonts w:ascii="Arial" w:cs="Arial" w:eastAsia="Arial" w:hAnsi="Arial"/>
                  <w:sz w:val="18"/>
                  <w:szCs w:val="18"/>
                  <w:color w:val="0000EE"/>
                  <w:w w:val="91"/>
                </w:rPr>
                <w:t>Form of Common Stock Certificate</w:t>
              </w:r>
            </w:hyperlink>
          </w:p>
        </w:tc>
        <w:tc>
          <w:tcPr>
            <w:tcW w:w="1920" w:type="dxa"/>
            <w:vAlign w:val="bottom"/>
            <w:gridSpan w:val="16"/>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4"/>
                <w:szCs w:val="24"/>
                <w:color w:val="auto"/>
              </w:rPr>
            </w:pPr>
          </w:p>
        </w:tc>
        <w:tc>
          <w:tcPr>
            <w:tcW w:w="4480" w:type="dxa"/>
            <w:vAlign w:val="bottom"/>
            <w:gridSpan w:val="23"/>
          </w:tcPr>
          <w:p>
            <w:pPr>
              <w:spacing w:after="0"/>
              <w:rPr>
                <w:rFonts w:ascii="Arial" w:cs="Arial" w:eastAsia="Arial" w:hAnsi="Arial"/>
                <w:sz w:val="18"/>
                <w:szCs w:val="18"/>
                <w:color w:val="0000EE"/>
              </w:rPr>
            </w:pPr>
            <w:hyperlink r:id="rId119">
              <w:r>
                <w:rPr>
                  <w:rFonts w:ascii="Arial" w:cs="Arial" w:eastAsia="Arial" w:hAnsi="Arial"/>
                  <w:sz w:val="18"/>
                  <w:szCs w:val="18"/>
                  <w:color w:val="0000EE"/>
                </w:rPr>
                <w:t>Investor Rights Agreement among the Registrant f/k/a</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3"/>
          </w:tcPr>
          <w:p>
            <w:pPr>
              <w:spacing w:after="0" w:line="196" w:lineRule="exact"/>
              <w:rPr>
                <w:rFonts w:ascii="Arial" w:cs="Arial" w:eastAsia="Arial" w:hAnsi="Arial"/>
                <w:sz w:val="18"/>
                <w:szCs w:val="18"/>
                <w:color w:val="0000EE"/>
                <w:w w:val="98"/>
              </w:rPr>
            </w:pPr>
            <w:hyperlink r:id="rId119">
              <w:r>
                <w:rPr>
                  <w:rFonts w:ascii="Arial" w:cs="Arial" w:eastAsia="Arial" w:hAnsi="Arial"/>
                  <w:sz w:val="18"/>
                  <w:szCs w:val="18"/>
                  <w:color w:val="0000EE"/>
                  <w:w w:val="98"/>
                </w:rPr>
                <w:t>Cyrenaic Pharmaceuticals, Inc. and certain of its security</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holders, dated as of August 29, 2007</w:t>
              </w:r>
            </w:hyperlink>
          </w:p>
        </w:tc>
        <w:tc>
          <w:tcPr>
            <w:tcW w:w="1460" w:type="dxa"/>
            <w:vAlign w:val="bottom"/>
            <w:tcBorders>
              <w:top w:val="single" w:sz="8" w:color="0000EE"/>
            </w:tcBorders>
            <w:gridSpan w:val="5"/>
          </w:tcPr>
          <w:p>
            <w:pPr>
              <w:spacing w:after="0"/>
              <w:rPr>
                <w:sz w:val="17"/>
                <w:szCs w:val="17"/>
                <w:color w:val="auto"/>
              </w:rPr>
            </w:pPr>
          </w:p>
        </w:tc>
        <w:tc>
          <w:tcPr>
            <w:tcW w:w="38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4320" w:type="dxa"/>
            <w:vAlign w:val="bottom"/>
            <w:tcBorders>
              <w:bottom w:val="single" w:sz="8" w:color="0000EE"/>
            </w:tcBorders>
            <w:gridSpan w:val="20"/>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Amendment No. 1 to Investor Rights Agreement among the</w:t>
              </w:r>
            </w:hyperlink>
          </w:p>
        </w:tc>
        <w:tc>
          <w:tcPr>
            <w:tcW w:w="160" w:type="dxa"/>
            <w:vAlign w:val="bottom"/>
            <w:gridSpan w:val="3"/>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3"/>
          </w:tcPr>
          <w:p>
            <w:pPr>
              <w:spacing w:after="0" w:line="196"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Registrant and certain of its security holders, dated as of</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20">
              <w:r>
                <w:rPr>
                  <w:rFonts w:ascii="Arial" w:cs="Arial" w:eastAsia="Arial" w:hAnsi="Arial"/>
                  <w:sz w:val="18"/>
                  <w:szCs w:val="18"/>
                  <w:color w:val="0000EE"/>
                  <w:w w:val="88"/>
                </w:rPr>
                <w:t>December 20, 2013</w:t>
              </w:r>
            </w:hyperlink>
          </w:p>
        </w:tc>
        <w:tc>
          <w:tcPr>
            <w:tcW w:w="262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42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98">
              <w:r>
                <w:rPr>
                  <w:rFonts w:ascii="Arial" w:cs="Arial" w:eastAsia="Arial" w:hAnsi="Arial"/>
                  <w:sz w:val="18"/>
                  <w:szCs w:val="18"/>
                  <w:color w:val="0000EE"/>
                  <w:w w:val="90"/>
                </w:rPr>
                <w:t>Description of Securities Registered Pursuant to Section 12</w:t>
              </w:r>
            </w:hyperlink>
          </w:p>
        </w:tc>
        <w:tc>
          <w:tcPr>
            <w:tcW w:w="20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3"/>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of the Securities Exchange Act of 1934</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1100" w:type="dxa"/>
            <w:vAlign w:val="bottom"/>
            <w:gridSpan w:val="3"/>
            <w:shd w:val="clear" w:color="auto" w:fill="0000EE"/>
          </w:tcPr>
          <w:p>
            <w:pPr>
              <w:spacing w:after="0" w:line="20" w:lineRule="exact"/>
              <w:rPr>
                <w:sz w:val="1"/>
                <w:szCs w:val="1"/>
                <w:color w:val="auto"/>
              </w:rPr>
            </w:pPr>
          </w:p>
        </w:tc>
        <w:tc>
          <w:tcPr>
            <w:tcW w:w="130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4"/>
                <w:szCs w:val="24"/>
                <w:color w:val="auto"/>
              </w:rPr>
            </w:pPr>
          </w:p>
        </w:tc>
        <w:tc>
          <w:tcPr>
            <w:tcW w:w="4480" w:type="dxa"/>
            <w:vAlign w:val="bottom"/>
            <w:gridSpan w:val="23"/>
          </w:tcPr>
          <w:p>
            <w:pPr>
              <w:spacing w:after="0"/>
              <w:rPr>
                <w:rFonts w:ascii="Arial" w:cs="Arial" w:eastAsia="Arial" w:hAnsi="Arial"/>
                <w:sz w:val="18"/>
                <w:szCs w:val="18"/>
                <w:color w:val="0000EE"/>
                <w:w w:val="95"/>
              </w:rPr>
            </w:pPr>
            <w:hyperlink r:id="rId121">
              <w:r>
                <w:rPr>
                  <w:rFonts w:ascii="Arial" w:cs="Arial" w:eastAsia="Arial" w:hAnsi="Arial"/>
                  <w:sz w:val="18"/>
                  <w:szCs w:val="18"/>
                  <w:color w:val="0000EE"/>
                  <w:w w:val="95"/>
                </w:rPr>
                <w:t>Share Purchase Agreement between the Registrant, Mind-</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3"/>
          </w:tcPr>
          <w:p>
            <w:pPr>
              <w:spacing w:after="0" w:line="196" w:lineRule="exact"/>
              <w:rPr>
                <w:rFonts w:ascii="Arial" w:cs="Arial" w:eastAsia="Arial" w:hAnsi="Arial"/>
                <w:sz w:val="18"/>
                <w:szCs w:val="18"/>
                <w:color w:val="0000EE"/>
                <w:w w:val="92"/>
              </w:rPr>
            </w:pPr>
            <w:hyperlink r:id="rId121">
              <w:r>
                <w:rPr>
                  <w:rFonts w:ascii="Arial" w:cs="Arial" w:eastAsia="Arial" w:hAnsi="Arial"/>
                  <w:sz w:val="18"/>
                  <w:szCs w:val="18"/>
                  <w:color w:val="0000EE"/>
                  <w:w w:val="92"/>
                </w:rPr>
                <w:t>NRG SA and Various Shareholders dated as of February 11,</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1">
              <w:r>
                <w:rPr>
                  <w:rFonts w:ascii="Arial" w:cs="Arial" w:eastAsia="Arial" w:hAnsi="Arial"/>
                  <w:sz w:val="18"/>
                  <w:szCs w:val="18"/>
                  <w:color w:val="0000EE"/>
                  <w:w w:val="84"/>
                </w:rPr>
                <w:t>2014</w:t>
              </w:r>
            </w:hyperlink>
          </w:p>
        </w:tc>
        <w:tc>
          <w:tcPr>
            <w:tcW w:w="3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24"/>
                <w:szCs w:val="24"/>
                <w:color w:val="auto"/>
              </w:rPr>
            </w:pPr>
          </w:p>
        </w:tc>
        <w:tc>
          <w:tcPr>
            <w:tcW w:w="4480" w:type="dxa"/>
            <w:vAlign w:val="bottom"/>
            <w:gridSpan w:val="23"/>
          </w:tcPr>
          <w:p>
            <w:pPr>
              <w:spacing w:after="0"/>
              <w:rPr>
                <w:rFonts w:ascii="Arial" w:cs="Arial" w:eastAsia="Arial" w:hAnsi="Arial"/>
                <w:sz w:val="18"/>
                <w:szCs w:val="18"/>
                <w:color w:val="0000EE"/>
                <w:w w:val="96"/>
              </w:rPr>
            </w:pPr>
            <w:hyperlink r:id="rId122">
              <w:r>
                <w:rPr>
                  <w:rFonts w:ascii="Arial" w:cs="Arial" w:eastAsia="Arial" w:hAnsi="Arial"/>
                  <w:sz w:val="18"/>
                  <w:szCs w:val="18"/>
                  <w:color w:val="0000EE"/>
                  <w:w w:val="96"/>
                </w:rPr>
                <w:t>Common Stock Purchase Agreement between Johnson &amp;</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S-1</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10.14</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April 9,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gridSpan w:val="6"/>
            <w:shd w:val="clear" w:color="auto" w:fill="0000EE"/>
          </w:tcPr>
          <w:p>
            <w:pPr>
              <w:spacing w:after="0" w:line="20" w:lineRule="exact"/>
              <w:rPr>
                <w:sz w:val="1"/>
                <w:szCs w:val="1"/>
                <w:color w:val="auto"/>
              </w:rPr>
            </w:pPr>
          </w:p>
        </w:tc>
        <w:tc>
          <w:tcPr>
            <w:tcW w:w="2400" w:type="dxa"/>
            <w:vAlign w:val="bottom"/>
            <w:gridSpan w:val="8"/>
            <w:shd w:val="clear" w:color="auto" w:fill="0000EE"/>
          </w:tcPr>
          <w:p>
            <w:pPr>
              <w:spacing w:after="0" w:line="20" w:lineRule="exact"/>
              <w:rPr>
                <w:sz w:val="1"/>
                <w:szCs w:val="1"/>
                <w:color w:val="auto"/>
              </w:rPr>
            </w:pPr>
          </w:p>
        </w:tc>
        <w:tc>
          <w:tcPr>
            <w:tcW w:w="2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22">
              <w:r>
                <w:rPr>
                  <w:rFonts w:ascii="Arial" w:cs="Arial" w:eastAsia="Arial" w:hAnsi="Arial"/>
                  <w:sz w:val="18"/>
                  <w:szCs w:val="18"/>
                  <w:color w:val="0000EE"/>
                  <w:w w:val="89"/>
                </w:rPr>
                <w:t>Johnson Development Corporation and the Registrant, dated</w:t>
              </w:r>
            </w:hyperlink>
          </w:p>
        </w:tc>
        <w:tc>
          <w:tcPr>
            <w:tcW w:w="1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Borders>
              <w:bottom w:val="single" w:sz="8" w:color="0000EE"/>
            </w:tcBorders>
            <w:gridSpan w:val="6"/>
          </w:tcPr>
          <w:p>
            <w:pPr>
              <w:spacing w:after="0" w:line="196" w:lineRule="exact"/>
              <w:rPr>
                <w:rFonts w:ascii="Arial" w:cs="Arial" w:eastAsia="Arial" w:hAnsi="Arial"/>
                <w:sz w:val="18"/>
                <w:szCs w:val="18"/>
                <w:color w:val="0000EE"/>
                <w:w w:val="88"/>
              </w:rPr>
            </w:pPr>
            <w:hyperlink r:id="rId122">
              <w:r>
                <w:rPr>
                  <w:rFonts w:ascii="Arial" w:cs="Arial" w:eastAsia="Arial" w:hAnsi="Arial"/>
                  <w:sz w:val="18"/>
                  <w:szCs w:val="18"/>
                  <w:color w:val="0000EE"/>
                  <w:w w:val="88"/>
                </w:rPr>
                <w:t>as of February 13, 2014</w:t>
              </w:r>
            </w:hyperlink>
          </w:p>
        </w:tc>
        <w:tc>
          <w:tcPr>
            <w:tcW w:w="276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ectPr>
          <w:pgSz w:w="11900" w:h="16838" w:orient="portrait"/>
          <w:cols w:equalWidth="0" w:num="1">
            <w:col w:w="11240"/>
          </w:cols>
          <w:pgMar w:left="320" w:top="773"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10.3</w:t>
            </w:r>
          </w:p>
        </w:tc>
        <w:tc>
          <w:tcPr>
            <w:tcW w:w="4080" w:type="dxa"/>
            <w:vAlign w:val="bottom"/>
            <w:tcBorders>
              <w:bottom w:val="single" w:sz="8" w:color="0000EE"/>
            </w:tcBorders>
            <w:gridSpan w:val="3"/>
          </w:tcPr>
          <w:p>
            <w:pPr>
              <w:spacing w:after="0"/>
              <w:rPr>
                <w:rFonts w:ascii="Arial" w:cs="Arial" w:eastAsia="Arial" w:hAnsi="Arial"/>
                <w:sz w:val="18"/>
                <w:szCs w:val="18"/>
                <w:color w:val="0000EE"/>
                <w:w w:val="89"/>
              </w:rPr>
            </w:pPr>
            <w:hyperlink r:id="rId123">
              <w:r>
                <w:rPr>
                  <w:rFonts w:ascii="Arial" w:cs="Arial" w:eastAsia="Arial" w:hAnsi="Arial"/>
                  <w:sz w:val="18"/>
                  <w:szCs w:val="18"/>
                  <w:color w:val="0000EE"/>
                  <w:w w:val="89"/>
                </w:rPr>
                <w:t>Loan Agreement by and among certain stockholders and</w:t>
              </w:r>
            </w:hyperlink>
          </w:p>
        </w:tc>
        <w:tc>
          <w:tcPr>
            <w:tcW w:w="240" w:type="dxa"/>
            <w:vAlign w:val="bottom"/>
            <w:gridSpan w:val="2"/>
          </w:tcPr>
          <w:p>
            <w:pPr>
              <w:spacing w:after="0"/>
              <w:rPr>
                <w:sz w:val="18"/>
                <w:szCs w:val="18"/>
                <w:color w:val="auto"/>
              </w:rPr>
            </w:pPr>
          </w:p>
        </w:tc>
      </w:tr>
      <w:tr>
        <w:trPr>
          <w:trHeight w:val="196"/>
        </w:trPr>
        <w:tc>
          <w:tcPr>
            <w:tcW w:w="1020" w:type="dxa"/>
            <w:vAlign w:val="bottom"/>
          </w:tcPr>
          <w:p>
            <w:pPr>
              <w:spacing w:after="0"/>
              <w:rPr>
                <w:sz w:val="17"/>
                <w:szCs w:val="17"/>
                <w:color w:val="auto"/>
              </w:rPr>
            </w:pPr>
          </w:p>
        </w:tc>
        <w:tc>
          <w:tcPr>
            <w:tcW w:w="4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123">
              <w:r>
                <w:rPr>
                  <w:rFonts w:ascii="Arial" w:cs="Arial" w:eastAsia="Arial" w:hAnsi="Arial"/>
                  <w:sz w:val="18"/>
                  <w:szCs w:val="18"/>
                  <w:color w:val="0000EE"/>
                  <w:w w:val="90"/>
                </w:rPr>
                <w:t>their affiliates and the Registrant, dated as of April 30, 2014</w:t>
              </w:r>
            </w:hyperlink>
          </w:p>
        </w:tc>
      </w:tr>
      <w:tr>
        <w:trPr>
          <w:trHeight w:val="3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10.4</w:t>
            </w:r>
          </w:p>
        </w:tc>
        <w:tc>
          <w:tcPr>
            <w:tcW w:w="4080" w:type="dxa"/>
            <w:vAlign w:val="bottom"/>
            <w:tcBorders>
              <w:bottom w:val="single" w:sz="8" w:color="0000EE"/>
            </w:tcBorders>
            <w:gridSpan w:val="3"/>
          </w:tcPr>
          <w:p>
            <w:pPr>
              <w:spacing w:after="0"/>
              <w:rPr>
                <w:rFonts w:ascii="Arial" w:cs="Arial" w:eastAsia="Arial" w:hAnsi="Arial"/>
                <w:sz w:val="18"/>
                <w:szCs w:val="18"/>
                <w:color w:val="0000EE"/>
                <w:w w:val="89"/>
              </w:rPr>
            </w:pPr>
            <w:hyperlink r:id="rId124">
              <w:r>
                <w:rPr>
                  <w:rFonts w:ascii="Arial" w:cs="Arial" w:eastAsia="Arial" w:hAnsi="Arial"/>
                  <w:sz w:val="18"/>
                  <w:szCs w:val="18"/>
                  <w:color w:val="0000EE"/>
                  <w:w w:val="89"/>
                </w:rPr>
                <w:t>Loan Agreement by and among certain stockholders and</w:t>
              </w:r>
            </w:hyperlink>
          </w:p>
        </w:tc>
        <w:tc>
          <w:tcPr>
            <w:tcW w:w="24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428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their affiliates and the Registrant, dated as of May 23, 2014</w:t>
              </w:r>
            </w:hyperlink>
          </w:p>
        </w:tc>
        <w:tc>
          <w:tcPr>
            <w:tcW w:w="40" w:type="dxa"/>
            <w:vAlign w:val="bottom"/>
          </w:tcPr>
          <w:p>
            <w:pPr>
              <w:spacing w:after="0"/>
              <w:rPr>
                <w:sz w:val="17"/>
                <w:szCs w:val="17"/>
                <w:color w:val="auto"/>
              </w:rPr>
            </w:pPr>
          </w:p>
        </w:tc>
      </w:tr>
      <w:tr>
        <w:trPr>
          <w:trHeight w:val="318"/>
        </w:trPr>
        <w:tc>
          <w:tcPr>
            <w:tcW w:w="1020" w:type="dxa"/>
            <w:vAlign w:val="bottom"/>
          </w:tcPr>
          <w:p>
            <w:pPr>
              <w:jc w:val="right"/>
              <w:ind w:right="610"/>
              <w:spacing w:after="0"/>
              <w:rPr>
                <w:sz w:val="20"/>
                <w:szCs w:val="20"/>
                <w:color w:val="auto"/>
              </w:rPr>
            </w:pPr>
            <w:r>
              <w:rPr>
                <w:rFonts w:ascii="Arial" w:cs="Arial" w:eastAsia="Arial" w:hAnsi="Arial"/>
                <w:sz w:val="18"/>
                <w:szCs w:val="18"/>
                <w:color w:val="auto"/>
                <w:w w:val="85"/>
              </w:rPr>
              <w:t>10.5</w:t>
            </w:r>
          </w:p>
        </w:tc>
        <w:tc>
          <w:tcPr>
            <w:tcW w:w="4320" w:type="dxa"/>
            <w:vAlign w:val="bottom"/>
            <w:gridSpan w:val="5"/>
          </w:tcPr>
          <w:p>
            <w:pPr>
              <w:spacing w:after="0"/>
              <w:rPr>
                <w:rFonts w:ascii="Arial" w:cs="Arial" w:eastAsia="Arial" w:hAnsi="Arial"/>
                <w:sz w:val="18"/>
                <w:szCs w:val="18"/>
                <w:color w:val="0000EE"/>
              </w:rPr>
            </w:pPr>
            <w:hyperlink r:id="rId125">
              <w:r>
                <w:rPr>
                  <w:rFonts w:ascii="Arial" w:cs="Arial" w:eastAsia="Arial" w:hAnsi="Arial"/>
                  <w:sz w:val="18"/>
                  <w:szCs w:val="18"/>
                  <w:color w:val="0000EE"/>
                </w:rPr>
                <w:t>Stock Purchase Agreement between Care Capital</w:t>
              </w:r>
            </w:hyperlink>
          </w:p>
        </w:tc>
      </w:tr>
      <w:tr>
        <w:trPr>
          <w:trHeight w:val="20"/>
        </w:trPr>
        <w:tc>
          <w:tcPr>
            <w:tcW w:w="10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320" w:type="dxa"/>
            <w:vAlign w:val="bottom"/>
            <w:gridSpan w:val="5"/>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Investments III LP, Index Ventures III L.P. and the</w:t>
              </w:r>
            </w:hyperlink>
          </w:p>
        </w:tc>
      </w:tr>
      <w:tr>
        <w:trPr>
          <w:trHeight w:val="20"/>
        </w:trPr>
        <w:tc>
          <w:tcPr>
            <w:tcW w:w="1020" w:type="dxa"/>
            <w:vAlign w:val="bottom"/>
          </w:tcPr>
          <w:p>
            <w:pPr>
              <w:spacing w:after="0" w:line="20" w:lineRule="exact"/>
              <w:rPr>
                <w:sz w:val="1"/>
                <w:szCs w:val="1"/>
                <w:color w:val="auto"/>
              </w:rPr>
            </w:pPr>
          </w:p>
        </w:tc>
        <w:tc>
          <w:tcPr>
            <w:tcW w:w="35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 w:lineRule="exact"/>
        <w:rPr>
          <w:sz w:val="20"/>
          <w:szCs w:val="20"/>
          <w:color w:val="auto"/>
        </w:rPr>
      </w:pPr>
    </w:p>
    <w:p>
      <w:pPr>
        <w:ind w:left="1020" w:right="60"/>
        <w:spacing w:after="0" w:line="277" w:lineRule="auto"/>
        <w:rPr>
          <w:rFonts w:ascii="Arial" w:cs="Arial" w:eastAsia="Arial" w:hAnsi="Arial"/>
          <w:sz w:val="18"/>
          <w:szCs w:val="18"/>
          <w:u w:val="single" w:color="auto"/>
          <w:color w:val="0000EE"/>
        </w:rPr>
      </w:pPr>
      <w:hyperlink r:id="rId125">
        <w:r>
          <w:rPr>
            <w:rFonts w:ascii="Arial" w:cs="Arial" w:eastAsia="Arial" w:hAnsi="Arial"/>
            <w:sz w:val="18"/>
            <w:szCs w:val="18"/>
            <w:u w:val="single" w:color="auto"/>
            <w:color w:val="0000EE"/>
          </w:rPr>
          <w:t>Registrant f/k/a Cyrenaic Pharmaceuticals, Inc., dated as of</w:t>
        </w:r>
      </w:hyperlink>
      <w:r>
        <w:rPr>
          <w:rFonts w:ascii="Arial" w:cs="Arial" w:eastAsia="Arial" w:hAnsi="Arial"/>
          <w:sz w:val="18"/>
          <w:szCs w:val="18"/>
          <w:u w:val="single" w:color="auto"/>
          <w:color w:val="0000EE"/>
        </w:rPr>
        <w:t xml:space="preserve"> </w:t>
      </w:r>
      <w:hyperlink r:id="rId125">
        <w:r>
          <w:rPr>
            <w:rFonts w:ascii="Arial" w:cs="Arial" w:eastAsia="Arial" w:hAnsi="Arial"/>
            <w:sz w:val="18"/>
            <w:szCs w:val="18"/>
            <w:u w:val="single" w:color="auto"/>
            <w:color w:val="0000EE"/>
          </w:rPr>
          <w:t>August 29, 2007</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10.26</w:t>
            </w:r>
          </w:p>
        </w:tc>
        <w:tc>
          <w:tcPr>
            <w:tcW w:w="1320" w:type="dxa"/>
            <w:vAlign w:val="bottom"/>
          </w:tcPr>
          <w:p>
            <w:pPr>
              <w:ind w:left="320"/>
              <w:spacing w:after="0"/>
              <w:rPr>
                <w:sz w:val="20"/>
                <w:szCs w:val="20"/>
                <w:color w:val="auto"/>
              </w:rPr>
            </w:pPr>
            <w:r>
              <w:rPr>
                <w:rFonts w:ascii="Arial" w:cs="Arial" w:eastAsia="Arial" w:hAnsi="Arial"/>
                <w:sz w:val="18"/>
                <w:szCs w:val="18"/>
                <w:color w:val="auto"/>
                <w:w w:val="85"/>
              </w:rPr>
              <w:t>June 10, 2014</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10.27</w:t>
            </w:r>
          </w:p>
        </w:tc>
        <w:tc>
          <w:tcPr>
            <w:tcW w:w="1320" w:type="dxa"/>
            <w:vAlign w:val="bottom"/>
          </w:tcPr>
          <w:p>
            <w:pPr>
              <w:ind w:left="320"/>
              <w:spacing w:after="0"/>
              <w:rPr>
                <w:sz w:val="20"/>
                <w:szCs w:val="20"/>
                <w:color w:val="auto"/>
              </w:rPr>
            </w:pPr>
            <w:r>
              <w:rPr>
                <w:rFonts w:ascii="Arial" w:cs="Arial" w:eastAsia="Arial" w:hAnsi="Arial"/>
                <w:sz w:val="18"/>
                <w:szCs w:val="18"/>
                <w:color w:val="auto"/>
                <w:w w:val="85"/>
              </w:rPr>
              <w:t>June 10, 2014</w:t>
            </w:r>
          </w:p>
        </w:tc>
      </w:tr>
      <w:tr>
        <w:trPr>
          <w:trHeight w:val="553"/>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10.19</w:t>
            </w:r>
          </w:p>
        </w:tc>
        <w:tc>
          <w:tcPr>
            <w:tcW w:w="1320" w:type="dxa"/>
            <w:vAlign w:val="bottom"/>
          </w:tcPr>
          <w:p>
            <w:pPr>
              <w:ind w:left="340"/>
              <w:spacing w:after="0"/>
              <w:rPr>
                <w:sz w:val="20"/>
                <w:szCs w:val="20"/>
                <w:color w:val="auto"/>
              </w:rPr>
            </w:pPr>
            <w:r>
              <w:rPr>
                <w:rFonts w:ascii="Arial" w:cs="Arial" w:eastAsia="Arial" w:hAnsi="Arial"/>
                <w:sz w:val="18"/>
                <w:szCs w:val="18"/>
                <w:color w:val="auto"/>
                <w:w w:val="94"/>
              </w:rPr>
              <w:t>April 9, 2014</w:t>
            </w:r>
          </w:p>
        </w:tc>
      </w:tr>
    </w:tbl>
    <w:p>
      <w:pPr>
        <w:spacing w:after="0" w:line="738" w:lineRule="exact"/>
        <w:rPr>
          <w:sz w:val="20"/>
          <w:szCs w:val="20"/>
          <w:color w:val="auto"/>
        </w:rPr>
      </w:pPr>
    </w:p>
    <w:p>
      <w:pPr>
        <w:sectPr>
          <w:pgSz w:w="11900" w:h="16838" w:orient="portrait"/>
          <w:cols w:equalWidth="0" w:num="2">
            <w:col w:w="5340" w:space="380"/>
            <w:col w:w="5520"/>
          </w:cols>
          <w:pgMar w:left="320" w:top="773"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10.6</w:t>
            </w:r>
          </w:p>
        </w:tc>
        <w:tc>
          <w:tcPr>
            <w:tcW w:w="4160" w:type="dxa"/>
            <w:vAlign w:val="bottom"/>
            <w:tcBorders>
              <w:bottom w:val="single" w:sz="8" w:color="0000EE"/>
            </w:tcBorders>
            <w:gridSpan w:val="8"/>
          </w:tcPr>
          <w:p>
            <w:pPr>
              <w:spacing w:after="0"/>
              <w:rPr>
                <w:rFonts w:ascii="Arial" w:cs="Arial" w:eastAsia="Arial" w:hAnsi="Arial"/>
                <w:sz w:val="18"/>
                <w:szCs w:val="18"/>
                <w:color w:val="0000EE"/>
                <w:w w:val="89"/>
              </w:rPr>
            </w:pPr>
            <w:hyperlink r:id="rId126">
              <w:r>
                <w:rPr>
                  <w:rFonts w:ascii="Arial" w:cs="Arial" w:eastAsia="Arial" w:hAnsi="Arial"/>
                  <w:sz w:val="18"/>
                  <w:szCs w:val="18"/>
                  <w:color w:val="0000EE"/>
                  <w:w w:val="89"/>
                </w:rPr>
                <w:t>Amendment No. 1 to Stock Purchase Agreement between</w:t>
              </w:r>
            </w:hyperlink>
          </w:p>
        </w:tc>
        <w:tc>
          <w:tcPr>
            <w:tcW w:w="280" w:type="dxa"/>
            <w:vAlign w:val="bottom"/>
            <w:gridSpan w:val="5"/>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10.20</w:t>
            </w:r>
          </w:p>
        </w:tc>
        <w:tc>
          <w:tcPr>
            <w:tcW w:w="262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196"/>
        </w:trPr>
        <w:tc>
          <w:tcPr>
            <w:tcW w:w="10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w w:val="93"/>
              </w:rPr>
            </w:pPr>
            <w:hyperlink r:id="rId126">
              <w:r>
                <w:rPr>
                  <w:rFonts w:ascii="Arial" w:cs="Arial" w:eastAsia="Arial" w:hAnsi="Arial"/>
                  <w:sz w:val="18"/>
                  <w:szCs w:val="18"/>
                  <w:color w:val="0000EE"/>
                  <w:w w:val="93"/>
                </w:rPr>
                <w:t>Care Capital Investments III LP, Index Ventures III L.P. and</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4300" w:type="dxa"/>
            <w:vAlign w:val="bottom"/>
            <w:tcBorders>
              <w:top w:val="single" w:sz="8" w:color="0000EE"/>
            </w:tcBorders>
            <w:gridSpan w:val="10"/>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the Registrant and various Shareholders, dated as of March</w:t>
              </w:r>
            </w:hyperlink>
          </w:p>
        </w:tc>
        <w:tc>
          <w:tcPr>
            <w:tcW w:w="140" w:type="dxa"/>
            <w:vAlign w:val="bottom"/>
            <w:gridSpan w:val="3"/>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6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8"/>
              </w:rPr>
            </w:pPr>
            <w:hyperlink r:id="rId126">
              <w:r>
                <w:rPr>
                  <w:rFonts w:ascii="Arial" w:cs="Arial" w:eastAsia="Arial" w:hAnsi="Arial"/>
                  <w:sz w:val="18"/>
                  <w:szCs w:val="18"/>
                  <w:color w:val="0000EE"/>
                  <w:w w:val="88"/>
                </w:rPr>
                <w:t>28, 2014</w:t>
              </w:r>
            </w:hyperlink>
          </w:p>
        </w:tc>
        <w:tc>
          <w:tcPr>
            <w:tcW w:w="2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10.7</w:t>
            </w:r>
            <w:r>
              <w:rPr>
                <w:rFonts w:ascii="Arial" w:cs="Arial" w:eastAsia="Arial" w:hAnsi="Arial"/>
                <w:sz w:val="14"/>
                <w:szCs w:val="14"/>
                <w:color w:val="auto"/>
              </w:rPr>
              <w:t>†</w:t>
            </w:r>
          </w:p>
        </w:tc>
        <w:tc>
          <w:tcPr>
            <w:tcW w:w="4020" w:type="dxa"/>
            <w:vAlign w:val="bottom"/>
            <w:tcBorders>
              <w:bottom w:val="single" w:sz="8" w:color="0000EE"/>
            </w:tcBorders>
            <w:gridSpan w:val="5"/>
          </w:tcPr>
          <w:p>
            <w:pPr>
              <w:spacing w:after="0"/>
              <w:rPr>
                <w:rFonts w:ascii="Arial" w:cs="Arial" w:eastAsia="Arial" w:hAnsi="Arial"/>
                <w:sz w:val="18"/>
                <w:szCs w:val="18"/>
                <w:color w:val="0000EE"/>
                <w:w w:val="91"/>
              </w:rPr>
            </w:pPr>
            <w:hyperlink r:id="rId127">
              <w:r>
                <w:rPr>
                  <w:rFonts w:ascii="Arial" w:cs="Arial" w:eastAsia="Arial" w:hAnsi="Arial"/>
                  <w:sz w:val="18"/>
                  <w:szCs w:val="18"/>
                  <w:color w:val="0000EE"/>
                  <w:w w:val="91"/>
                </w:rPr>
                <w:t>Employment Agreement between Remy Luthringer and</w:t>
              </w:r>
            </w:hyperlink>
          </w:p>
        </w:tc>
        <w:tc>
          <w:tcPr>
            <w:tcW w:w="42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10.22</w:t>
            </w:r>
          </w:p>
        </w:tc>
        <w:tc>
          <w:tcPr>
            <w:tcW w:w="262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196"/>
        </w:trPr>
        <w:tc>
          <w:tcPr>
            <w:tcW w:w="10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Mind-NRG SA, the Registrant's subsidiary, dated as of April</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5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6"/>
              </w:rPr>
            </w:pPr>
            <w:hyperlink r:id="rId127">
              <w:r>
                <w:rPr>
                  <w:rFonts w:ascii="Arial" w:cs="Arial" w:eastAsia="Arial" w:hAnsi="Arial"/>
                  <w:sz w:val="18"/>
                  <w:szCs w:val="18"/>
                  <w:color w:val="0000EE"/>
                  <w:w w:val="86"/>
                </w:rPr>
                <w:t>8, 2014</w:t>
              </w:r>
            </w:hyperlink>
          </w:p>
        </w:tc>
        <w:tc>
          <w:tcPr>
            <w:tcW w:w="10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317"/>
        </w:trPr>
        <w:tc>
          <w:tcPr>
            <w:tcW w:w="1020" w:type="dxa"/>
            <w:vAlign w:val="bottom"/>
          </w:tcPr>
          <w:p>
            <w:pPr>
              <w:spacing w:after="0"/>
              <w:rPr>
                <w:sz w:val="20"/>
                <w:szCs w:val="20"/>
                <w:color w:val="auto"/>
              </w:rPr>
            </w:pPr>
            <w:r>
              <w:rPr>
                <w:rFonts w:ascii="Arial" w:cs="Arial" w:eastAsia="Arial" w:hAnsi="Arial"/>
                <w:sz w:val="18"/>
                <w:szCs w:val="18"/>
                <w:color w:val="auto"/>
              </w:rPr>
              <w:t>10.8</w:t>
            </w:r>
            <w:r>
              <w:rPr>
                <w:rFonts w:ascii="Arial" w:cs="Arial" w:eastAsia="Arial" w:hAnsi="Arial"/>
                <w:sz w:val="14"/>
                <w:szCs w:val="14"/>
                <w:color w:val="auto"/>
              </w:rPr>
              <w:t>†</w:t>
            </w:r>
          </w:p>
        </w:tc>
        <w:tc>
          <w:tcPr>
            <w:tcW w:w="4440" w:type="dxa"/>
            <w:vAlign w:val="bottom"/>
            <w:gridSpan w:val="13"/>
          </w:tcPr>
          <w:p>
            <w:pPr>
              <w:spacing w:after="0"/>
              <w:rPr>
                <w:rFonts w:ascii="Arial" w:cs="Arial" w:eastAsia="Arial" w:hAnsi="Arial"/>
                <w:sz w:val="18"/>
                <w:szCs w:val="18"/>
                <w:color w:val="0000EE"/>
                <w:w w:val="98"/>
              </w:rPr>
            </w:pPr>
            <w:hyperlink r:id="rId128">
              <w:r>
                <w:rPr>
                  <w:rFonts w:ascii="Arial" w:cs="Arial" w:eastAsia="Arial" w:hAnsi="Arial"/>
                  <w:sz w:val="18"/>
                  <w:szCs w:val="18"/>
                  <w:color w:val="0000EE"/>
                  <w:w w:val="98"/>
                </w:rPr>
                <w:t>Employment Agreement between Geoff Race and Mind-</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93"/>
              </w:rPr>
              <w:t>10.23</w:t>
            </w:r>
          </w:p>
        </w:tc>
        <w:tc>
          <w:tcPr>
            <w:tcW w:w="2620" w:type="dxa"/>
            <w:vAlign w:val="bottom"/>
          </w:tcPr>
          <w:p>
            <w:pPr>
              <w:ind w:left="340"/>
              <w:spacing w:after="0"/>
              <w:rPr>
                <w:sz w:val="20"/>
                <w:szCs w:val="20"/>
                <w:color w:val="auto"/>
              </w:rPr>
            </w:pPr>
            <w:r>
              <w:rPr>
                <w:rFonts w:ascii="Arial" w:cs="Arial" w:eastAsia="Arial" w:hAnsi="Arial"/>
                <w:sz w:val="18"/>
                <w:szCs w:val="18"/>
                <w:color w:val="auto"/>
              </w:rPr>
              <w:t>April 9, 2014</w:t>
            </w:r>
          </w:p>
        </w:tc>
      </w:tr>
      <w:tr>
        <w:trPr>
          <w:trHeight w:val="20"/>
        </w:trPr>
        <w:tc>
          <w:tcPr>
            <w:tcW w:w="10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w w:val="98"/>
              </w:rPr>
            </w:pPr>
            <w:hyperlink r:id="rId128">
              <w:r>
                <w:rPr>
                  <w:rFonts w:ascii="Arial" w:cs="Arial" w:eastAsia="Arial" w:hAnsi="Arial"/>
                  <w:sz w:val="18"/>
                  <w:szCs w:val="18"/>
                  <w:color w:val="0000EE"/>
                  <w:w w:val="98"/>
                </w:rPr>
                <w:t>NRG SA, the Registrant's subsidiary, dated as of April 8,</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28">
              <w:r>
                <w:rPr>
                  <w:rFonts w:ascii="Arial" w:cs="Arial" w:eastAsia="Arial" w:hAnsi="Arial"/>
                  <w:sz w:val="18"/>
                  <w:szCs w:val="18"/>
                  <w:color w:val="0000EE"/>
                  <w:w w:val="84"/>
                </w:rPr>
                <w:t>2014</w:t>
              </w:r>
            </w:hyperlink>
          </w:p>
        </w:tc>
        <w:tc>
          <w:tcPr>
            <w:tcW w:w="1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7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318"/>
        </w:trPr>
        <w:tc>
          <w:tcPr>
            <w:tcW w:w="1020" w:type="dxa"/>
            <w:vAlign w:val="bottom"/>
          </w:tcPr>
          <w:p>
            <w:pPr>
              <w:spacing w:after="0"/>
              <w:rPr>
                <w:sz w:val="20"/>
                <w:szCs w:val="20"/>
                <w:color w:val="auto"/>
              </w:rPr>
            </w:pPr>
            <w:r>
              <w:rPr>
                <w:rFonts w:ascii="Arial" w:cs="Arial" w:eastAsia="Arial" w:hAnsi="Arial"/>
                <w:sz w:val="18"/>
                <w:szCs w:val="18"/>
                <w:color w:val="auto"/>
              </w:rPr>
              <w:t>10.9</w:t>
            </w:r>
            <w:r>
              <w:rPr>
                <w:rFonts w:ascii="Arial" w:cs="Arial" w:eastAsia="Arial" w:hAnsi="Arial"/>
                <w:sz w:val="14"/>
                <w:szCs w:val="14"/>
                <w:color w:val="auto"/>
              </w:rPr>
              <w:t>†</w:t>
            </w:r>
          </w:p>
        </w:tc>
        <w:tc>
          <w:tcPr>
            <w:tcW w:w="4320" w:type="dxa"/>
            <w:vAlign w:val="bottom"/>
            <w:tcBorders>
              <w:bottom w:val="single" w:sz="8" w:color="0000EE"/>
            </w:tcBorders>
            <w:gridSpan w:val="11"/>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Form of Indemnification Agreement between the Registrant</w:t>
              </w:r>
            </w:hyperlink>
          </w:p>
        </w:tc>
        <w:tc>
          <w:tcPr>
            <w:tcW w:w="120" w:type="dxa"/>
            <w:vAlign w:val="bottom"/>
            <w:gridSpan w:val="2"/>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7"/>
              </w:rPr>
              <w:t>S-1/A</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333-195169</w:t>
            </w:r>
          </w:p>
        </w:tc>
        <w:tc>
          <w:tcPr>
            <w:tcW w:w="960" w:type="dxa"/>
            <w:vAlign w:val="bottom"/>
          </w:tcPr>
          <w:p>
            <w:pPr>
              <w:jc w:val="center"/>
              <w:ind w:right="10"/>
              <w:spacing w:after="0"/>
              <w:rPr>
                <w:sz w:val="20"/>
                <w:szCs w:val="20"/>
                <w:color w:val="auto"/>
              </w:rPr>
            </w:pPr>
            <w:r>
              <w:rPr>
                <w:rFonts w:ascii="Arial" w:cs="Arial" w:eastAsia="Arial" w:hAnsi="Arial"/>
                <w:sz w:val="18"/>
                <w:szCs w:val="18"/>
                <w:color w:val="auto"/>
                <w:w w:val="85"/>
              </w:rPr>
              <w:t>10.1</w:t>
            </w:r>
          </w:p>
        </w:tc>
        <w:tc>
          <w:tcPr>
            <w:tcW w:w="2620" w:type="dxa"/>
            <w:vAlign w:val="bottom"/>
          </w:tcPr>
          <w:p>
            <w:pPr>
              <w:ind w:left="320"/>
              <w:spacing w:after="0"/>
              <w:rPr>
                <w:sz w:val="20"/>
                <w:szCs w:val="20"/>
                <w:color w:val="auto"/>
              </w:rPr>
            </w:pPr>
            <w:r>
              <w:rPr>
                <w:rFonts w:ascii="Arial" w:cs="Arial" w:eastAsia="Arial" w:hAnsi="Arial"/>
                <w:sz w:val="18"/>
                <w:szCs w:val="18"/>
                <w:color w:val="auto"/>
              </w:rPr>
              <w:t>June 10, 2014</w:t>
            </w:r>
          </w:p>
        </w:tc>
      </w:tr>
      <w:tr>
        <w:trPr>
          <w:trHeight w:val="196"/>
        </w:trPr>
        <w:tc>
          <w:tcPr>
            <w:tcW w:w="1020" w:type="dxa"/>
            <w:vAlign w:val="bottom"/>
          </w:tcPr>
          <w:p>
            <w:pPr>
              <w:spacing w:after="0"/>
              <w:rPr>
                <w:sz w:val="17"/>
                <w:szCs w:val="17"/>
                <w:color w:val="auto"/>
              </w:rPr>
            </w:pPr>
          </w:p>
        </w:tc>
        <w:tc>
          <w:tcPr>
            <w:tcW w:w="4440" w:type="dxa"/>
            <w:vAlign w:val="bottom"/>
            <w:gridSpan w:val="13"/>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and each of its directors and executive officers</w:t>
              </w:r>
            </w:hyperlink>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574"/>
        </w:trPr>
        <w:tc>
          <w:tcPr>
            <w:tcW w:w="102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70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550"/>
              <w:spacing w:after="0"/>
              <w:rPr>
                <w:sz w:val="20"/>
                <w:szCs w:val="20"/>
                <w:color w:val="auto"/>
              </w:rPr>
            </w:pPr>
            <w:r>
              <w:rPr>
                <w:rFonts w:ascii="Arial" w:cs="Arial" w:eastAsia="Arial" w:hAnsi="Arial"/>
                <w:sz w:val="18"/>
                <w:szCs w:val="18"/>
                <w:color w:val="auto"/>
              </w:rPr>
              <w:t>71</w:t>
            </w:r>
          </w:p>
        </w:tc>
        <w:tc>
          <w:tcPr>
            <w:tcW w:w="1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115"/>
        </w:trPr>
        <w:tc>
          <w:tcPr>
            <w:tcW w:w="10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27"/>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2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80" w:type="dxa"/>
            <w:vAlign w:val="bottom"/>
          </w:tcPr>
          <w:p>
            <w:pPr>
              <w:spacing w:after="0"/>
              <w:rPr>
                <w:sz w:val="24"/>
                <w:szCs w:val="24"/>
                <w:color w:val="auto"/>
              </w:rPr>
            </w:pPr>
          </w:p>
        </w:tc>
        <w:tc>
          <w:tcPr>
            <w:tcW w:w="4380" w:type="dxa"/>
            <w:vAlign w:val="bottom"/>
            <w:tcBorders>
              <w:bottom w:val="single" w:sz="8" w:color="0000EE"/>
            </w:tcBorders>
            <w:gridSpan w:val="31"/>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License Agreement between Mitsubishi Pharma Corporation</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2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and the Registrant f/k/a Cyrenaic Pharmaceuticals, Inc.,</w:t>
              </w:r>
            </w:hyperlink>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dated as of August 30, 2007</w:t>
              </w:r>
            </w:hyperlink>
          </w:p>
        </w:tc>
        <w:tc>
          <w:tcPr>
            <w:tcW w:w="23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rPr>
            </w:pPr>
            <w:hyperlink r:id="rId133">
              <w:r>
                <w:rPr>
                  <w:rFonts w:ascii="Arial" w:cs="Arial" w:eastAsia="Arial" w:hAnsi="Arial"/>
                  <w:sz w:val="18"/>
                  <w:szCs w:val="18"/>
                  <w:color w:val="0000EE"/>
                </w:rPr>
                <w:t>Amendment to License Agreement between Mitsubishi</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Tanabe Pharma Corporation and the Registrant f/k/a</w:t>
              </w:r>
            </w:hyperlink>
          </w:p>
        </w:tc>
        <w:tc>
          <w:tcPr>
            <w:tcW w:w="220" w:type="dxa"/>
            <w:vAlign w:val="bottom"/>
            <w:tcBorders>
              <w:top w:val="single" w:sz="8" w:color="0000EE"/>
            </w:tcBorders>
            <w:gridSpan w:val="2"/>
          </w:tcPr>
          <w:p>
            <w:pPr>
              <w:spacing w:after="0"/>
              <w:rPr>
                <w:sz w:val="17"/>
                <w:szCs w:val="17"/>
                <w:color w:val="auto"/>
              </w:rPr>
            </w:pPr>
          </w:p>
        </w:tc>
        <w:tc>
          <w:tcPr>
            <w:tcW w:w="42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60" w:type="dxa"/>
            <w:vAlign w:val="bottom"/>
            <w:tcBorders>
              <w:bottom w:val="single" w:sz="8" w:color="0000EE"/>
            </w:tcBorders>
            <w:gridSpan w:val="25"/>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Cyrenaic Pharmaceuticals, Inc., dated as of June 16, 2011</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rPr>
            </w:pPr>
            <w:hyperlink r:id="rId134">
              <w:r>
                <w:rPr>
                  <w:rFonts w:ascii="Arial" w:cs="Arial" w:eastAsia="Arial" w:hAnsi="Arial"/>
                  <w:sz w:val="18"/>
                  <w:szCs w:val="18"/>
                  <w:color w:val="0000EE"/>
                </w:rPr>
                <w:t>Second Amendment to License Agreement between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34">
              <w:r>
                <w:rPr>
                  <w:rFonts w:ascii="Arial" w:cs="Arial" w:eastAsia="Arial" w:hAnsi="Arial"/>
                  <w:sz w:val="18"/>
                  <w:szCs w:val="18"/>
                  <w:color w:val="0000EE"/>
                  <w:w w:val="90"/>
                </w:rPr>
                <w:t>Mitsubishi Tanabe Pharma Corporation and the Registrant,</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r:id="rId134">
              <w:r>
                <w:rPr>
                  <w:rFonts w:ascii="Arial" w:cs="Arial" w:eastAsia="Arial" w:hAnsi="Arial"/>
                  <w:sz w:val="18"/>
                  <w:szCs w:val="18"/>
                  <w:color w:val="0000EE"/>
                  <w:w w:val="87"/>
                </w:rPr>
                <w:t>dated as of January 20, 2014</w:t>
              </w:r>
            </w:hyperlink>
          </w:p>
        </w:tc>
        <w:tc>
          <w:tcPr>
            <w:tcW w:w="23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4"/>
                <w:szCs w:val="24"/>
                <w:color w:val="auto"/>
              </w:rPr>
            </w:pPr>
          </w:p>
        </w:tc>
        <w:tc>
          <w:tcPr>
            <w:tcW w:w="4020" w:type="dxa"/>
            <w:vAlign w:val="bottom"/>
            <w:tcBorders>
              <w:bottom w:val="single" w:sz="8" w:color="0000EE"/>
            </w:tcBorders>
            <w:gridSpan w:val="20"/>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License Agreement between Mitsubishi Tanabe Pharma</w:t>
              </w:r>
            </w:hyperlink>
          </w:p>
        </w:tc>
        <w:tc>
          <w:tcPr>
            <w:tcW w:w="3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Corporation and the Registrant as successor in interest to</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60" w:type="dxa"/>
            <w:vAlign w:val="bottom"/>
            <w:tcBorders>
              <w:bottom w:val="single" w:sz="8" w:color="0000EE"/>
            </w:tcBorders>
            <w:gridSpan w:val="30"/>
          </w:tcPr>
          <w:p>
            <w:pPr>
              <w:spacing w:after="0" w:line="196" w:lineRule="exact"/>
              <w:rPr>
                <w:rFonts w:ascii="Arial" w:cs="Arial" w:eastAsia="Arial" w:hAnsi="Arial"/>
                <w:sz w:val="18"/>
                <w:szCs w:val="18"/>
                <w:color w:val="0000EE"/>
                <w:w w:val="88"/>
              </w:rPr>
            </w:pPr>
            <w:hyperlink r:id="rId135">
              <w:r>
                <w:rPr>
                  <w:rFonts w:ascii="Arial" w:cs="Arial" w:eastAsia="Arial" w:hAnsi="Arial"/>
                  <w:sz w:val="18"/>
                  <w:szCs w:val="18"/>
                  <w:color w:val="0000EE"/>
                  <w:w w:val="88"/>
                </w:rPr>
                <w:t>Sonkei Pharmaceuticals, Inc., dated as of September 1, 2008</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rPr>
            </w:pPr>
            <w:hyperlink r:id="rId136">
              <w:r>
                <w:rPr>
                  <w:rFonts w:ascii="Arial" w:cs="Arial" w:eastAsia="Arial" w:hAnsi="Arial"/>
                  <w:sz w:val="18"/>
                  <w:szCs w:val="18"/>
                  <w:color w:val="0000EE"/>
                </w:rPr>
                <w:t>Amendment to License Agreement between Mitsubishi</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r:id="rId136">
              <w:r>
                <w:rPr>
                  <w:rFonts w:ascii="Arial" w:cs="Arial" w:eastAsia="Arial" w:hAnsi="Arial"/>
                  <w:sz w:val="18"/>
                  <w:szCs w:val="18"/>
                  <w:color w:val="0000EE"/>
                  <w:w w:val="88"/>
                </w:rPr>
                <w:t>Tanabe Pharma Corporation and the Registrant, dated as of</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136">
              <w:r>
                <w:rPr>
                  <w:rFonts w:ascii="Arial" w:cs="Arial" w:eastAsia="Arial" w:hAnsi="Arial"/>
                  <w:sz w:val="18"/>
                  <w:szCs w:val="18"/>
                  <w:color w:val="0000EE"/>
                  <w:w w:val="87"/>
                </w:rPr>
                <w:t>January 20, 2014</w:t>
              </w:r>
            </w:hyperlink>
          </w:p>
        </w:tc>
        <w:tc>
          <w:tcPr>
            <w:tcW w:w="31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10.15*</w:t>
            </w:r>
          </w:p>
        </w:tc>
        <w:tc>
          <w:tcPr>
            <w:tcW w:w="80" w:type="dxa"/>
            <w:vAlign w:val="bottom"/>
          </w:tcPr>
          <w:p>
            <w:pPr>
              <w:spacing w:after="0"/>
              <w:rPr>
                <w:sz w:val="24"/>
                <w:szCs w:val="24"/>
                <w:color w:val="auto"/>
              </w:rPr>
            </w:pPr>
          </w:p>
        </w:tc>
        <w:tc>
          <w:tcPr>
            <w:tcW w:w="4240" w:type="dxa"/>
            <w:vAlign w:val="bottom"/>
            <w:tcBorders>
              <w:bottom w:val="single" w:sz="8" w:color="0000EE"/>
            </w:tcBorders>
            <w:gridSpan w:val="27"/>
          </w:tcPr>
          <w:p>
            <w:pPr>
              <w:spacing w:after="0"/>
              <w:rPr>
                <w:rFonts w:ascii="Arial" w:cs="Arial" w:eastAsia="Arial" w:hAnsi="Arial"/>
                <w:sz w:val="18"/>
                <w:szCs w:val="18"/>
                <w:color w:val="0000EE"/>
                <w:w w:val="88"/>
              </w:rPr>
            </w:pPr>
            <w:hyperlink r:id="rId137">
              <w:r>
                <w:rPr>
                  <w:rFonts w:ascii="Arial" w:cs="Arial" w:eastAsia="Arial" w:hAnsi="Arial"/>
                  <w:sz w:val="18"/>
                  <w:szCs w:val="18"/>
                  <w:color w:val="0000EE"/>
                  <w:w w:val="88"/>
                </w:rPr>
                <w:t>Co-Development and License Agreement between Janssen</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tcBorders>
              <w:bottom w:val="single" w:sz="8" w:color="0000EE"/>
            </w:tcBorders>
            <w:gridSpan w:val="32"/>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Pharmaceutica, N.V. and the Registrant, dated as of February</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137">
              <w:r>
                <w:rPr>
                  <w:rFonts w:ascii="Arial" w:cs="Arial" w:eastAsia="Arial" w:hAnsi="Arial"/>
                  <w:sz w:val="18"/>
                  <w:szCs w:val="18"/>
                  <w:color w:val="0000EE"/>
                  <w:w w:val="88"/>
                </w:rPr>
                <w:t>13, 2014</w:t>
              </w:r>
            </w:hyperlink>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10.16</w:t>
            </w: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w w:val="98"/>
              </w:rPr>
            </w:pPr>
            <w:hyperlink r:id="rId138">
              <w:r>
                <w:rPr>
                  <w:rFonts w:ascii="Arial" w:cs="Arial" w:eastAsia="Arial" w:hAnsi="Arial"/>
                  <w:sz w:val="18"/>
                  <w:szCs w:val="18"/>
                  <w:color w:val="0000EE"/>
                  <w:w w:val="98"/>
                </w:rPr>
                <w:t>Employment Agreement between Joseph Reilly and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Registrant, dated as of December 23, 2013</w:t>
              </w:r>
            </w:hyperlink>
          </w:p>
        </w:tc>
        <w:tc>
          <w:tcPr>
            <w:tcW w:w="4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10.17</w:t>
            </w: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4140" w:type="dxa"/>
            <w:vAlign w:val="bottom"/>
            <w:tcBorders>
              <w:bottom w:val="single" w:sz="8" w:color="0000EE"/>
            </w:tcBorders>
            <w:gridSpan w:val="24"/>
          </w:tcPr>
          <w:p>
            <w:pPr>
              <w:spacing w:after="0"/>
              <w:rPr>
                <w:rFonts w:ascii="Arial" w:cs="Arial" w:eastAsia="Arial" w:hAnsi="Arial"/>
                <w:sz w:val="18"/>
                <w:szCs w:val="18"/>
                <w:color w:val="0000EE"/>
                <w:w w:val="90"/>
              </w:rPr>
            </w:pPr>
            <w:hyperlink r:id="rId139">
              <w:r>
                <w:rPr>
                  <w:rFonts w:ascii="Arial" w:cs="Arial" w:eastAsia="Arial" w:hAnsi="Arial"/>
                  <w:sz w:val="18"/>
                  <w:szCs w:val="18"/>
                  <w:color w:val="0000EE"/>
                  <w:w w:val="90"/>
                </w:rPr>
                <w:t>Amended and Restated 2013 Equity Incentive Plan of the</w:t>
              </w:r>
            </w:hyperlink>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24"/>
                <w:szCs w:val="24"/>
                <w:color w:val="auto"/>
              </w:rPr>
            </w:pPr>
          </w:p>
        </w:tc>
        <w:tc>
          <w:tcPr>
            <w:tcW w:w="4060" w:type="dxa"/>
            <w:vAlign w:val="bottom"/>
            <w:tcBorders>
              <w:bottom w:val="single" w:sz="8" w:color="0000EE"/>
            </w:tcBorders>
            <w:gridSpan w:val="22"/>
          </w:tcPr>
          <w:p>
            <w:pPr>
              <w:spacing w:after="0"/>
              <w:rPr>
                <w:rFonts w:ascii="Arial" w:cs="Arial" w:eastAsia="Arial" w:hAnsi="Arial"/>
                <w:sz w:val="18"/>
                <w:szCs w:val="18"/>
                <w:color w:val="0000EE"/>
                <w:w w:val="89"/>
              </w:rPr>
            </w:pPr>
            <w:hyperlink r:id="rId140">
              <w:r>
                <w:rPr>
                  <w:rFonts w:ascii="Arial" w:cs="Arial" w:eastAsia="Arial" w:hAnsi="Arial"/>
                  <w:sz w:val="18"/>
                  <w:szCs w:val="18"/>
                  <w:color w:val="0000EE"/>
                  <w:w w:val="89"/>
                </w:rPr>
                <w:t>Form of Securities Purchase Agreement between certain</w:t>
              </w:r>
            </w:hyperlink>
          </w:p>
        </w:tc>
        <w:tc>
          <w:tcPr>
            <w:tcW w:w="3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investors referenced therein and the Registrant, dated as of</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0">
              <w:r>
                <w:rPr>
                  <w:rFonts w:ascii="Arial" w:cs="Arial" w:eastAsia="Arial" w:hAnsi="Arial"/>
                  <w:sz w:val="18"/>
                  <w:szCs w:val="18"/>
                  <w:color w:val="0000EE"/>
                </w:rPr>
                <w:t>March 13, 2015</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w w:val="98"/>
              </w:rPr>
            </w:pPr>
            <w:hyperlink r:id="rId141">
              <w:r>
                <w:rPr>
                  <w:rFonts w:ascii="Arial" w:cs="Arial" w:eastAsia="Arial" w:hAnsi="Arial"/>
                  <w:sz w:val="18"/>
                  <w:szCs w:val="18"/>
                  <w:color w:val="0000EE"/>
                  <w:w w:val="98"/>
                </w:rPr>
                <w:t>Form of Registration Rights Agreement between certain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w w:val="92"/>
              </w:rPr>
            </w:pPr>
            <w:hyperlink r:id="rId141">
              <w:r>
                <w:rPr>
                  <w:rFonts w:ascii="Arial" w:cs="Arial" w:eastAsia="Arial" w:hAnsi="Arial"/>
                  <w:sz w:val="18"/>
                  <w:szCs w:val="18"/>
                  <w:color w:val="0000EE"/>
                  <w:w w:val="92"/>
                </w:rPr>
                <w:t>investors referenced therein and the Registrant, dated as of</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March 13, 2015</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24"/>
                <w:szCs w:val="24"/>
                <w:color w:val="auto"/>
              </w:rPr>
            </w:pPr>
          </w:p>
        </w:tc>
        <w:tc>
          <w:tcPr>
            <w:tcW w:w="4400" w:type="dxa"/>
            <w:vAlign w:val="bottom"/>
            <w:gridSpan w:val="32"/>
          </w:tcPr>
          <w:p>
            <w:pPr>
              <w:spacing w:after="0"/>
              <w:rPr>
                <w:rFonts w:ascii="Arial" w:cs="Arial" w:eastAsia="Arial" w:hAnsi="Arial"/>
                <w:sz w:val="18"/>
                <w:szCs w:val="18"/>
                <w:color w:val="0000EE"/>
              </w:rPr>
            </w:pPr>
            <w:hyperlink r:id="rId142">
              <w:r>
                <w:rPr>
                  <w:rFonts w:ascii="Arial" w:cs="Arial" w:eastAsia="Arial" w:hAnsi="Arial"/>
                  <w:sz w:val="18"/>
                  <w:szCs w:val="18"/>
                  <w:color w:val="0000EE"/>
                </w:rPr>
                <w:t>Second Amendment to License Agreement between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Mitsubishi Tanabe Pharma Corporation and the Registrant,</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dated as of April 21, 2015</w:t>
              </w:r>
            </w:hyperlink>
          </w:p>
        </w:tc>
        <w:tc>
          <w:tcPr>
            <w:tcW w:w="252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10.21</w:t>
            </w: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3460" w:type="dxa"/>
            <w:vAlign w:val="bottom"/>
            <w:tcBorders>
              <w:bottom w:val="single" w:sz="8" w:color="0000EE"/>
            </w:tcBorders>
            <w:gridSpan w:val="13"/>
          </w:tcPr>
          <w:p>
            <w:pPr>
              <w:spacing w:after="0"/>
              <w:rPr>
                <w:rFonts w:ascii="Arial" w:cs="Arial" w:eastAsia="Arial" w:hAnsi="Arial"/>
                <w:sz w:val="18"/>
                <w:szCs w:val="18"/>
                <w:color w:val="0000EE"/>
                <w:w w:val="90"/>
              </w:rPr>
            </w:pPr>
            <w:hyperlink r:id="rId143">
              <w:r>
                <w:rPr>
                  <w:rFonts w:ascii="Arial" w:cs="Arial" w:eastAsia="Arial" w:hAnsi="Arial"/>
                  <w:sz w:val="18"/>
                  <w:szCs w:val="18"/>
                  <w:color w:val="0000EE"/>
                  <w:w w:val="90"/>
                </w:rPr>
                <w:t>Amended and Restated Non-Employee Director</w:t>
              </w:r>
            </w:hyperlink>
          </w:p>
        </w:tc>
        <w:tc>
          <w:tcPr>
            <w:tcW w:w="60" w:type="dxa"/>
            <w:vAlign w:val="bottom"/>
          </w:tcPr>
          <w:p>
            <w:pPr>
              <w:spacing w:after="0"/>
              <w:rPr>
                <w:sz w:val="24"/>
                <w:szCs w:val="24"/>
                <w:color w:val="auto"/>
              </w:rPr>
            </w:pPr>
          </w:p>
        </w:tc>
        <w:tc>
          <w:tcPr>
            <w:tcW w:w="320" w:type="dxa"/>
            <w:vAlign w:val="bottom"/>
            <w:gridSpan w:val="3"/>
          </w:tcPr>
          <w:p>
            <w:pPr>
              <w:spacing w:after="0"/>
              <w:rPr>
                <w:sz w:val="24"/>
                <w:szCs w:val="24"/>
                <w:color w:val="auto"/>
              </w:rPr>
            </w:pPr>
          </w:p>
        </w:tc>
        <w:tc>
          <w:tcPr>
            <w:tcW w:w="520" w:type="dxa"/>
            <w:vAlign w:val="bottom"/>
            <w:gridSpan w:val="13"/>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Compensation Plan</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color w:val="auto"/>
              </w:rPr>
              <w:t>10.22</w:t>
            </w:r>
            <w:r>
              <w:rPr>
                <w:rFonts w:ascii="Arial" w:cs="Arial" w:eastAsia="Arial" w:hAnsi="Arial"/>
                <w:sz w:val="21"/>
                <w:szCs w:val="21"/>
                <w:color w:val="auto"/>
              </w:rPr>
              <w:t>†</w:t>
            </w:r>
          </w:p>
        </w:tc>
        <w:tc>
          <w:tcPr>
            <w:tcW w:w="8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040" w:type="dxa"/>
            <w:vAlign w:val="bottom"/>
            <w:tcBorders>
              <w:bottom w:val="single" w:sz="8" w:color="0000EE"/>
            </w:tcBorders>
            <w:gridSpan w:val="21"/>
          </w:tcPr>
          <w:p>
            <w:pPr>
              <w:spacing w:after="0"/>
              <w:rPr>
                <w:rFonts w:ascii="Arial" w:cs="Arial" w:eastAsia="Arial" w:hAnsi="Arial"/>
                <w:sz w:val="18"/>
                <w:szCs w:val="18"/>
                <w:color w:val="0000EE"/>
                <w:w w:val="90"/>
              </w:rPr>
            </w:pPr>
            <w:hyperlink r:id="rId144">
              <w:r>
                <w:rPr>
                  <w:rFonts w:ascii="Arial" w:cs="Arial" w:eastAsia="Arial" w:hAnsi="Arial"/>
                  <w:sz w:val="18"/>
                  <w:szCs w:val="18"/>
                  <w:color w:val="0000EE"/>
                  <w:w w:val="90"/>
                </w:rPr>
                <w:t>Employment Agreement between Fred Ahlholm and the</w:t>
              </w:r>
            </w:hyperlink>
          </w:p>
        </w:tc>
        <w:tc>
          <w:tcPr>
            <w:tcW w:w="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44">
              <w:r>
                <w:rPr>
                  <w:rFonts w:ascii="Arial" w:cs="Arial" w:eastAsia="Arial" w:hAnsi="Arial"/>
                  <w:sz w:val="18"/>
                  <w:szCs w:val="18"/>
                  <w:color w:val="0000EE"/>
                  <w:w w:val="89"/>
                </w:rPr>
                <w:t>Registrant, dated as of May 30, 2014</w:t>
              </w:r>
            </w:hyperlink>
          </w:p>
        </w:tc>
        <w:tc>
          <w:tcPr>
            <w:tcW w:w="174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80" w:type="dxa"/>
            <w:vAlign w:val="bottom"/>
          </w:tcPr>
          <w:p>
            <w:pPr>
              <w:spacing w:after="0"/>
              <w:rPr>
                <w:sz w:val="24"/>
                <w:szCs w:val="24"/>
                <w:color w:val="auto"/>
              </w:rPr>
            </w:pPr>
          </w:p>
        </w:tc>
        <w:tc>
          <w:tcPr>
            <w:tcW w:w="4380" w:type="dxa"/>
            <w:vAlign w:val="bottom"/>
            <w:tcBorders>
              <w:bottom w:val="single" w:sz="8" w:color="0000EE"/>
            </w:tcBorders>
            <w:gridSpan w:val="31"/>
          </w:tcPr>
          <w:p>
            <w:pPr>
              <w:spacing w:after="0"/>
              <w:rPr>
                <w:rFonts w:ascii="Arial" w:cs="Arial" w:eastAsia="Arial" w:hAnsi="Arial"/>
                <w:sz w:val="18"/>
                <w:szCs w:val="18"/>
                <w:color w:val="0000EE"/>
                <w:w w:val="89"/>
              </w:rPr>
            </w:pPr>
            <w:hyperlink r:id="rId145">
              <w:r>
                <w:rPr>
                  <w:rFonts w:ascii="Arial" w:cs="Arial" w:eastAsia="Arial" w:hAnsi="Arial"/>
                  <w:sz w:val="18"/>
                  <w:szCs w:val="18"/>
                  <w:color w:val="0000EE"/>
                  <w:w w:val="89"/>
                </w:rPr>
                <w:t>Common Stock Purchase Agreement, dated March 17, 2016,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rPr>
            </w:pPr>
            <w:hyperlink r:id="rId145">
              <w:r>
                <w:rPr>
                  <w:rFonts w:ascii="Arial" w:cs="Arial" w:eastAsia="Arial" w:hAnsi="Arial"/>
                  <w:sz w:val="18"/>
                  <w:szCs w:val="18"/>
                  <w:color w:val="0000EE"/>
                </w:rPr>
                <w:t>by and between David Kupfer and the Registrant</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color w:val="auto"/>
              </w:rPr>
              <w:t>10.24</w:t>
            </w:r>
            <w:r>
              <w:rPr>
                <w:rFonts w:ascii="Arial" w:cs="Arial" w:eastAsia="Arial" w:hAnsi="Arial"/>
                <w:sz w:val="21"/>
                <w:szCs w:val="21"/>
                <w:color w:val="auto"/>
              </w:rPr>
              <w:t>†</w:t>
            </w:r>
          </w:p>
        </w:tc>
        <w:tc>
          <w:tcPr>
            <w:tcW w:w="80" w:type="dxa"/>
            <w:vAlign w:val="bottom"/>
          </w:tcPr>
          <w:p>
            <w:pPr>
              <w:spacing w:after="0" w:line="20" w:lineRule="exact"/>
              <w:rPr>
                <w:sz w:val="1"/>
                <w:szCs w:val="1"/>
                <w:color w:val="auto"/>
              </w:rPr>
            </w:pPr>
          </w:p>
        </w:tc>
        <w:tc>
          <w:tcPr>
            <w:tcW w:w="3060" w:type="dxa"/>
            <w:vAlign w:val="bottom"/>
            <w:gridSpan w:val="10"/>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20" w:type="dxa"/>
            <w:vAlign w:val="bottom"/>
            <w:gridSpan w:val="1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bottom w:val="single" w:sz="8" w:color="0000EE"/>
            </w:tcBorders>
            <w:gridSpan w:val="30"/>
          </w:tcPr>
          <w:p>
            <w:pPr>
              <w:spacing w:after="0"/>
              <w:rPr>
                <w:rFonts w:ascii="Arial" w:cs="Arial" w:eastAsia="Arial" w:hAnsi="Arial"/>
                <w:sz w:val="18"/>
                <w:szCs w:val="18"/>
                <w:color w:val="0000EE"/>
                <w:w w:val="89"/>
              </w:rPr>
            </w:pPr>
            <w:hyperlink r:id="rId146">
              <w:r>
                <w:rPr>
                  <w:rFonts w:ascii="Arial" w:cs="Arial" w:eastAsia="Arial" w:hAnsi="Arial"/>
                  <w:sz w:val="18"/>
                  <w:szCs w:val="18"/>
                  <w:color w:val="0000EE"/>
                  <w:w w:val="89"/>
                </w:rPr>
                <w:t>Employment Agreement, dated as of August 1, 2016, by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between Mind-NRG SARL and Dr. Remy Luthringer</w:t>
              </w:r>
            </w:hyperlink>
          </w:p>
        </w:tc>
        <w:tc>
          <w:tcPr>
            <w:tcW w:w="0" w:type="dxa"/>
            <w:vAlign w:val="bottom"/>
          </w:tcPr>
          <w:p>
            <w:pPr>
              <w:spacing w:after="0"/>
              <w:rPr>
                <w:sz w:val="1"/>
                <w:szCs w:val="1"/>
                <w:color w:val="auto"/>
              </w:rPr>
            </w:pPr>
          </w:p>
        </w:tc>
      </w:tr>
      <w:tr>
        <w:trPr>
          <w:trHeight w:val="20"/>
        </w:trPr>
        <w:tc>
          <w:tcPr>
            <w:tcW w:w="940" w:type="dxa"/>
            <w:vAlign w:val="bottom"/>
            <w:vMerge w:val="restart"/>
          </w:tcPr>
          <w:p>
            <w:pPr>
              <w:spacing w:after="0"/>
              <w:rPr>
                <w:sz w:val="20"/>
                <w:szCs w:val="20"/>
                <w:color w:val="auto"/>
              </w:rPr>
            </w:pPr>
            <w:r>
              <w:rPr>
                <w:rFonts w:ascii="Arial" w:cs="Arial" w:eastAsia="Arial" w:hAnsi="Arial"/>
                <w:sz w:val="18"/>
                <w:szCs w:val="18"/>
                <w:color w:val="auto"/>
              </w:rPr>
              <w:t>10.25</w:t>
            </w:r>
            <w:r>
              <w:rPr>
                <w:rFonts w:ascii="Arial" w:cs="Arial" w:eastAsia="Arial" w:hAnsi="Arial"/>
                <w:sz w:val="21"/>
                <w:szCs w:val="21"/>
                <w:color w:val="auto"/>
              </w:rPr>
              <w:t>†</w:t>
            </w:r>
          </w:p>
        </w:tc>
        <w:tc>
          <w:tcPr>
            <w:tcW w:w="80" w:type="dxa"/>
            <w:vAlign w:val="bottom"/>
          </w:tcPr>
          <w:p>
            <w:pPr>
              <w:spacing w:after="0" w:line="20" w:lineRule="exact"/>
              <w:rPr>
                <w:sz w:val="1"/>
                <w:szCs w:val="1"/>
                <w:color w:val="auto"/>
              </w:rPr>
            </w:pPr>
          </w:p>
        </w:tc>
        <w:tc>
          <w:tcPr>
            <w:tcW w:w="3060" w:type="dxa"/>
            <w:vAlign w:val="bottom"/>
            <w:gridSpan w:val="10"/>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5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4360" w:type="dxa"/>
            <w:vAlign w:val="bottom"/>
            <w:tcBorders>
              <w:bottom w:val="single" w:sz="8" w:color="0000EE"/>
            </w:tcBorders>
            <w:gridSpan w:val="30"/>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Employment Agreement, dated as of August 1, 2016, by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147">
              <w:r>
                <w:rPr>
                  <w:rFonts w:ascii="Arial" w:cs="Arial" w:eastAsia="Arial" w:hAnsi="Arial"/>
                  <w:sz w:val="18"/>
                  <w:szCs w:val="18"/>
                  <w:color w:val="0000EE"/>
                  <w:w w:val="92"/>
                </w:rPr>
                <w:t>between Mind-NRG SARL and Geoffrey Race</w:t>
              </w:r>
            </w:hyperlink>
          </w:p>
        </w:tc>
        <w:tc>
          <w:tcPr>
            <w:tcW w:w="100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10.26</w:t>
            </w: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4360" w:type="dxa"/>
            <w:vAlign w:val="bottom"/>
            <w:tcBorders>
              <w:bottom w:val="single" w:sz="8" w:color="0000EE"/>
            </w:tcBorders>
            <w:gridSpan w:val="30"/>
          </w:tcPr>
          <w:p>
            <w:pPr>
              <w:spacing w:after="0"/>
              <w:rPr>
                <w:rFonts w:ascii="Arial" w:cs="Arial" w:eastAsia="Arial" w:hAnsi="Arial"/>
                <w:sz w:val="18"/>
                <w:szCs w:val="18"/>
                <w:color w:val="0000EE"/>
                <w:w w:val="89"/>
              </w:rPr>
            </w:pPr>
            <w:hyperlink r:id="rId148">
              <w:r>
                <w:rPr>
                  <w:rFonts w:ascii="Arial" w:cs="Arial" w:eastAsia="Arial" w:hAnsi="Arial"/>
                  <w:sz w:val="18"/>
                  <w:szCs w:val="18"/>
                  <w:color w:val="0000EE"/>
                  <w:w w:val="89"/>
                </w:rPr>
                <w:t>Employment Agreement, dated as of August 1, 2016, by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8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48">
              <w:r>
                <w:rPr>
                  <w:rFonts w:ascii="Arial" w:cs="Arial" w:eastAsia="Arial" w:hAnsi="Arial"/>
                  <w:sz w:val="18"/>
                  <w:szCs w:val="18"/>
                  <w:color w:val="0000EE"/>
                  <w:w w:val="90"/>
                </w:rPr>
                <w:t>between the Registrant and Frederick Ahlholm</w:t>
              </w:r>
            </w:hyperlink>
          </w:p>
        </w:tc>
        <w:tc>
          <w:tcPr>
            <w:tcW w:w="1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10.27</w:t>
            </w: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4360" w:type="dxa"/>
            <w:vAlign w:val="bottom"/>
            <w:tcBorders>
              <w:bottom w:val="single" w:sz="8" w:color="0000EE"/>
            </w:tcBorders>
            <w:gridSpan w:val="30"/>
          </w:tcPr>
          <w:p>
            <w:pPr>
              <w:spacing w:after="0"/>
              <w:rPr>
                <w:rFonts w:ascii="Arial" w:cs="Arial" w:eastAsia="Arial" w:hAnsi="Arial"/>
                <w:sz w:val="18"/>
                <w:szCs w:val="18"/>
                <w:color w:val="0000EE"/>
                <w:w w:val="89"/>
              </w:rPr>
            </w:pPr>
            <w:hyperlink r:id="rId149">
              <w:r>
                <w:rPr>
                  <w:rFonts w:ascii="Arial" w:cs="Arial" w:eastAsia="Arial" w:hAnsi="Arial"/>
                  <w:sz w:val="18"/>
                  <w:szCs w:val="18"/>
                  <w:color w:val="0000EE"/>
                  <w:w w:val="89"/>
                </w:rPr>
                <w:t>Employment Agreement, dated as of August 1, 2016, by and</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32"/>
          </w:tcPr>
          <w:p>
            <w:pPr>
              <w:spacing w:after="0" w:line="196" w:lineRule="exact"/>
              <w:rPr>
                <w:rFonts w:ascii="Arial" w:cs="Arial" w:eastAsia="Arial" w:hAnsi="Arial"/>
                <w:sz w:val="18"/>
                <w:szCs w:val="18"/>
                <w:color w:val="0000EE"/>
              </w:rPr>
            </w:pPr>
            <w:hyperlink r:id="rId149">
              <w:r>
                <w:rPr>
                  <w:rFonts w:ascii="Arial" w:cs="Arial" w:eastAsia="Arial" w:hAnsi="Arial"/>
                  <w:sz w:val="18"/>
                  <w:szCs w:val="18"/>
                  <w:color w:val="0000EE"/>
                </w:rPr>
                <w:t>between the Registrant and Mark S. Levine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S-1/A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333-195169</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10, 2014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99.1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11,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March 18,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March 18,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May 7,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2,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5, 2015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March 18,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ectPr>
          <w:pgSz w:w="11900" w:h="16838" w:orient="portrait"/>
          <w:cols w:equalWidth="0" w:num="2">
            <w:col w:w="5420" w:space="80"/>
            <w:col w:w="5740"/>
          </w:cols>
          <w:pgMar w:left="320" w:top="320"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93" w:name="page94"/>
    <w:bookmarkEnd w:id="93"/>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960" w:type="dxa"/>
            <w:vAlign w:val="bottom"/>
            <w:gridSpan w:val="26"/>
            <w:vMerge w:val="restart"/>
          </w:tcPr>
          <w:p>
            <w:pPr>
              <w:ind w:left="8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2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10.28</w:t>
            </w: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4360" w:type="dxa"/>
            <w:vAlign w:val="bottom"/>
            <w:tcBorders>
              <w:bottom w:val="single" w:sz="8" w:color="0000EE"/>
            </w:tcBorders>
            <w:gridSpan w:val="28"/>
          </w:tcPr>
          <w:p>
            <w:pPr>
              <w:spacing w:after="0"/>
              <w:rPr>
                <w:rFonts w:ascii="Arial" w:cs="Arial" w:eastAsia="Arial" w:hAnsi="Arial"/>
                <w:sz w:val="18"/>
                <w:szCs w:val="18"/>
                <w:color w:val="0000EE"/>
                <w:w w:val="89"/>
              </w:rPr>
            </w:pPr>
            <w:hyperlink r:id="rId151">
              <w:r>
                <w:rPr>
                  <w:rFonts w:ascii="Arial" w:cs="Arial" w:eastAsia="Arial" w:hAnsi="Arial"/>
                  <w:sz w:val="18"/>
                  <w:szCs w:val="18"/>
                  <w:color w:val="0000EE"/>
                  <w:w w:val="89"/>
                </w:rPr>
                <w:t>Employment Agreement, dated as of August 1, 2016, by and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r:id="rId151">
              <w:r>
                <w:rPr>
                  <w:rFonts w:ascii="Arial" w:cs="Arial" w:eastAsia="Arial" w:hAnsi="Arial"/>
                  <w:sz w:val="18"/>
                  <w:szCs w:val="18"/>
                  <w:color w:val="0000EE"/>
                  <w:w w:val="89"/>
                </w:rPr>
                <w:t>between the Registrant and Joseph Reilly</w:t>
              </w:r>
            </w:hyperlink>
          </w:p>
        </w:tc>
        <w:tc>
          <w:tcPr>
            <w:tcW w:w="14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10.29†</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rPr>
            </w:pPr>
            <w:hyperlink r:id="rId152">
              <w:r>
                <w:rPr>
                  <w:rFonts w:ascii="Arial" w:cs="Arial" w:eastAsia="Arial" w:hAnsi="Arial"/>
                  <w:sz w:val="18"/>
                  <w:szCs w:val="18"/>
                  <w:color w:val="0000EE"/>
                </w:rPr>
                <w:t>Form of Restricted Stock Unit Agreement under the</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r:id="rId152">
              <w:r>
                <w:rPr>
                  <w:rFonts w:ascii="Arial" w:cs="Arial" w:eastAsia="Arial" w:hAnsi="Arial"/>
                  <w:sz w:val="18"/>
                  <w:szCs w:val="18"/>
                  <w:color w:val="0000EE"/>
                  <w:w w:val="90"/>
                </w:rPr>
                <w:t>Amended and Restated 2013 Equity Incentive Plan of the</w:t>
              </w:r>
            </w:hyperlink>
          </w:p>
        </w:tc>
        <w:tc>
          <w:tcPr>
            <w:tcW w:w="2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52">
              <w:r>
                <w:rPr>
                  <w:rFonts w:ascii="Arial" w:cs="Arial" w:eastAsia="Arial" w:hAnsi="Arial"/>
                  <w:sz w:val="18"/>
                  <w:szCs w:val="18"/>
                  <w:color w:val="0000EE"/>
                </w:rPr>
                <w:t>Registrant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10.30†</w:t>
            </w:r>
          </w:p>
        </w:tc>
        <w:tc>
          <w:tcPr>
            <w:tcW w:w="80" w:type="dxa"/>
            <w:vAlign w:val="bottom"/>
          </w:tcPr>
          <w:p>
            <w:pPr>
              <w:spacing w:after="0"/>
              <w:rPr>
                <w:sz w:val="24"/>
                <w:szCs w:val="24"/>
                <w:color w:val="auto"/>
              </w:rPr>
            </w:pPr>
          </w:p>
        </w:tc>
        <w:tc>
          <w:tcPr>
            <w:tcW w:w="4200" w:type="dxa"/>
            <w:vAlign w:val="bottom"/>
            <w:tcBorders>
              <w:bottom w:val="single" w:sz="8" w:color="0000EE"/>
            </w:tcBorders>
            <w:gridSpan w:val="21"/>
          </w:tcPr>
          <w:p>
            <w:pPr>
              <w:spacing w:after="0"/>
              <w:rPr>
                <w:rFonts w:ascii="Arial" w:cs="Arial" w:eastAsia="Arial" w:hAnsi="Arial"/>
                <w:sz w:val="18"/>
                <w:szCs w:val="18"/>
                <w:color w:val="0000EE"/>
                <w:w w:val="90"/>
              </w:rPr>
            </w:pPr>
            <w:hyperlink r:id="rId153">
              <w:r>
                <w:rPr>
                  <w:rFonts w:ascii="Arial" w:cs="Arial" w:eastAsia="Arial" w:hAnsi="Arial"/>
                  <w:sz w:val="18"/>
                  <w:szCs w:val="18"/>
                  <w:color w:val="0000EE"/>
                  <w:w w:val="90"/>
                </w:rPr>
                <w:t>Form of Option Grant Agreement under the Amended and</w:t>
              </w:r>
            </w:hyperlink>
          </w:p>
        </w:tc>
        <w:tc>
          <w:tcPr>
            <w:tcW w:w="2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Restated 2013 Equity Incentive Plan</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w w:val="90"/>
              </w:rPr>
            </w:pPr>
            <w:hyperlink r:id="rId154">
              <w:r>
                <w:rPr>
                  <w:rFonts w:ascii="Arial" w:cs="Arial" w:eastAsia="Arial" w:hAnsi="Arial"/>
                  <w:sz w:val="18"/>
                  <w:szCs w:val="18"/>
                  <w:color w:val="0000EE"/>
                  <w:w w:val="90"/>
                </w:rPr>
                <w:t>Sublease Agreement dated October 2, 2017 by and between</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the Registrant and Profitect, Inc. NV</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10.32</w:t>
            </w:r>
          </w:p>
        </w:tc>
        <w:tc>
          <w:tcPr>
            <w:tcW w:w="8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90"/>
              </w:rPr>
            </w:pPr>
            <w:hyperlink r:id="rId155">
              <w:r>
                <w:rPr>
                  <w:rFonts w:ascii="Arial" w:cs="Arial" w:eastAsia="Arial" w:hAnsi="Arial"/>
                  <w:sz w:val="18"/>
                  <w:szCs w:val="18"/>
                  <w:color w:val="0000EE"/>
                  <w:w w:val="90"/>
                </w:rPr>
                <w:t>Amendment No. 1 to Co-Development and License</w:t>
              </w:r>
            </w:hyperlink>
          </w:p>
        </w:tc>
        <w:tc>
          <w:tcPr>
            <w:tcW w:w="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Agreement dated June 13, 2017, by and between the</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Registrant and Janssen Pharmaceutica NV</w:t>
              </w:r>
            </w:hyperlink>
          </w:p>
        </w:tc>
        <w:tc>
          <w:tcPr>
            <w:tcW w:w="6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10.33</w:t>
            </w:r>
          </w:p>
        </w:tc>
        <w:tc>
          <w:tcPr>
            <w:tcW w:w="80" w:type="dxa"/>
            <w:vAlign w:val="bottom"/>
          </w:tcPr>
          <w:p>
            <w:pPr>
              <w:spacing w:after="0"/>
              <w:rPr>
                <w:sz w:val="24"/>
                <w:szCs w:val="24"/>
                <w:color w:val="auto"/>
              </w:rPr>
            </w:pPr>
          </w:p>
        </w:tc>
        <w:tc>
          <w:tcPr>
            <w:tcW w:w="4160" w:type="dxa"/>
            <w:vAlign w:val="bottom"/>
            <w:tcBorders>
              <w:bottom w:val="single" w:sz="8" w:color="0000EE"/>
            </w:tcBorders>
            <w:gridSpan w:val="19"/>
          </w:tcPr>
          <w:p>
            <w:pPr>
              <w:spacing w:after="0"/>
              <w:rPr>
                <w:rFonts w:ascii="Arial" w:cs="Arial" w:eastAsia="Arial" w:hAnsi="Arial"/>
                <w:sz w:val="18"/>
                <w:szCs w:val="18"/>
                <w:color w:val="0000EE"/>
                <w:w w:val="88"/>
              </w:rPr>
            </w:pPr>
            <w:hyperlink r:id="rId156">
              <w:r>
                <w:rPr>
                  <w:rFonts w:ascii="Arial" w:cs="Arial" w:eastAsia="Arial" w:hAnsi="Arial"/>
                  <w:sz w:val="18"/>
                  <w:szCs w:val="18"/>
                  <w:color w:val="0000EE"/>
                  <w:w w:val="88"/>
                </w:rPr>
                <w:t>Stock Repurchase Agreement dated June 13, 2017 by and</w:t>
              </w:r>
            </w:hyperlink>
          </w:p>
        </w:tc>
        <w:tc>
          <w:tcPr>
            <w:tcW w:w="2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0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r:id="rId156">
              <w:r>
                <w:rPr>
                  <w:rFonts w:ascii="Arial" w:cs="Arial" w:eastAsia="Arial" w:hAnsi="Arial"/>
                  <w:sz w:val="18"/>
                  <w:szCs w:val="18"/>
                  <w:color w:val="0000EE"/>
                  <w:w w:val="89"/>
                </w:rPr>
                <w:t>between the Registrant and Johnson &amp; Johnson Innovation-</w:t>
              </w:r>
            </w:hyperlink>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79"/>
              </w:rPr>
            </w:pPr>
            <w:hyperlink r:id="rId156">
              <w:r>
                <w:rPr>
                  <w:rFonts w:ascii="Arial" w:cs="Arial" w:eastAsia="Arial" w:hAnsi="Arial"/>
                  <w:sz w:val="18"/>
                  <w:szCs w:val="18"/>
                  <w:color w:val="0000EE"/>
                  <w:w w:val="79"/>
                </w:rPr>
                <w:t>JJDC Inc.</w:t>
              </w:r>
            </w:hyperlink>
          </w:p>
        </w:tc>
        <w:tc>
          <w:tcPr>
            <w:tcW w:w="374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10.34†</w:t>
            </w:r>
          </w:p>
        </w:tc>
        <w:tc>
          <w:tcPr>
            <w:tcW w:w="80" w:type="dxa"/>
            <w:vAlign w:val="bottom"/>
          </w:tcPr>
          <w:p>
            <w:pPr>
              <w:spacing w:after="0"/>
              <w:rPr>
                <w:sz w:val="24"/>
                <w:szCs w:val="24"/>
                <w:color w:val="auto"/>
              </w:rPr>
            </w:pPr>
          </w:p>
        </w:tc>
        <w:tc>
          <w:tcPr>
            <w:tcW w:w="4400" w:type="dxa"/>
            <w:vAlign w:val="bottom"/>
            <w:tcBorders>
              <w:bottom w:val="single" w:sz="8" w:color="0000EE"/>
            </w:tcBorders>
            <w:gridSpan w:val="29"/>
          </w:tcPr>
          <w:p>
            <w:pPr>
              <w:spacing w:after="0"/>
              <w:rPr>
                <w:rFonts w:ascii="Arial" w:cs="Arial" w:eastAsia="Arial" w:hAnsi="Arial"/>
                <w:sz w:val="18"/>
                <w:szCs w:val="18"/>
                <w:color w:val="0000EE"/>
                <w:w w:val="90"/>
              </w:rPr>
            </w:pPr>
            <w:hyperlink r:id="rId157">
              <w:r>
                <w:rPr>
                  <w:rFonts w:ascii="Arial" w:cs="Arial" w:eastAsia="Arial" w:hAnsi="Arial"/>
                  <w:sz w:val="18"/>
                  <w:szCs w:val="18"/>
                  <w:color w:val="0000EE"/>
                  <w:w w:val="90"/>
                </w:rPr>
                <w:t>Offer Letter by and between the Registrant and Rick Russell,</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57">
              <w:r>
                <w:rPr>
                  <w:rFonts w:ascii="Arial" w:cs="Arial" w:eastAsia="Arial" w:hAnsi="Arial"/>
                  <w:sz w:val="18"/>
                  <w:szCs w:val="18"/>
                  <w:color w:val="0000EE"/>
                </w:rPr>
                <w:t>dated December 11, 2017.</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24"/>
                <w:szCs w:val="24"/>
                <w:color w:val="auto"/>
              </w:rPr>
            </w:pPr>
          </w:p>
        </w:tc>
        <w:tc>
          <w:tcPr>
            <w:tcW w:w="4240" w:type="dxa"/>
            <w:vAlign w:val="bottom"/>
            <w:tcBorders>
              <w:bottom w:val="single" w:sz="8" w:color="0000EE"/>
            </w:tcBorders>
            <w:gridSpan w:val="23"/>
          </w:tcPr>
          <w:p>
            <w:pPr>
              <w:spacing w:after="0"/>
              <w:rPr>
                <w:rFonts w:ascii="Arial" w:cs="Arial" w:eastAsia="Arial" w:hAnsi="Arial"/>
                <w:sz w:val="18"/>
                <w:szCs w:val="18"/>
                <w:color w:val="0000EE"/>
                <w:w w:val="91"/>
              </w:rPr>
            </w:pPr>
            <w:hyperlink r:id="rId158">
              <w:r>
                <w:rPr>
                  <w:rFonts w:ascii="Arial" w:cs="Arial" w:eastAsia="Arial" w:hAnsi="Arial"/>
                  <w:sz w:val="18"/>
                  <w:szCs w:val="18"/>
                  <w:color w:val="0000EE"/>
                  <w:w w:val="91"/>
                </w:rPr>
                <w:t>New Hire Inducement Stock Option Grant by and between</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r:id="rId158">
              <w:r>
                <w:rPr>
                  <w:rFonts w:ascii="Arial" w:cs="Arial" w:eastAsia="Arial" w:hAnsi="Arial"/>
                  <w:sz w:val="18"/>
                  <w:szCs w:val="18"/>
                  <w:color w:val="0000EE"/>
                  <w:w w:val="89"/>
                </w:rPr>
                <w:t>the Registrant and Rick Russell, dated December 11, 2017.</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10.36†</w:t>
            </w:r>
          </w:p>
        </w:tc>
        <w:tc>
          <w:tcPr>
            <w:tcW w:w="80" w:type="dxa"/>
            <w:vAlign w:val="bottom"/>
          </w:tcPr>
          <w:p>
            <w:pPr>
              <w:spacing w:after="0"/>
              <w:rPr>
                <w:sz w:val="24"/>
                <w:szCs w:val="24"/>
                <w:color w:val="auto"/>
              </w:rPr>
            </w:pPr>
          </w:p>
        </w:tc>
        <w:tc>
          <w:tcPr>
            <w:tcW w:w="4180" w:type="dxa"/>
            <w:vAlign w:val="bottom"/>
            <w:tcBorders>
              <w:bottom w:val="single" w:sz="8" w:color="0000EE"/>
            </w:tcBorders>
            <w:gridSpan w:val="20"/>
          </w:tcPr>
          <w:p>
            <w:pPr>
              <w:spacing w:after="0"/>
              <w:rPr>
                <w:rFonts w:ascii="Arial" w:cs="Arial" w:eastAsia="Arial" w:hAnsi="Arial"/>
                <w:sz w:val="18"/>
                <w:szCs w:val="18"/>
                <w:color w:val="0000EE"/>
                <w:w w:val="91"/>
              </w:rPr>
            </w:pPr>
            <w:hyperlink r:id="rId159">
              <w:r>
                <w:rPr>
                  <w:rFonts w:ascii="Arial" w:cs="Arial" w:eastAsia="Arial" w:hAnsi="Arial"/>
                  <w:sz w:val="18"/>
                  <w:szCs w:val="18"/>
                  <w:color w:val="0000EE"/>
                  <w:w w:val="91"/>
                </w:rPr>
                <w:t>New Hire Inducement Restricted Stock Unit Grant by and</w:t>
              </w:r>
            </w:hyperlink>
          </w:p>
        </w:tc>
        <w:tc>
          <w:tcPr>
            <w:tcW w:w="2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r:id="rId159">
              <w:r>
                <w:rPr>
                  <w:rFonts w:ascii="Arial" w:cs="Arial" w:eastAsia="Arial" w:hAnsi="Arial"/>
                  <w:sz w:val="18"/>
                  <w:szCs w:val="18"/>
                  <w:color w:val="0000EE"/>
                  <w:w w:val="89"/>
                </w:rPr>
                <w:t>between the Registrant and Rick Russell, dated December</w:t>
              </w:r>
            </w:hyperlink>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Borders>
              <w:bottom w:val="single" w:sz="8" w:color="0000EE"/>
            </w:tcBorders>
          </w:tcPr>
          <w:p>
            <w:pPr>
              <w:spacing w:after="0" w:line="196" w:lineRule="exact"/>
              <w:rPr>
                <w:rFonts w:ascii="Arial" w:cs="Arial" w:eastAsia="Arial" w:hAnsi="Arial"/>
                <w:sz w:val="18"/>
                <w:szCs w:val="18"/>
                <w:color w:val="0000EE"/>
                <w:w w:val="82"/>
              </w:rPr>
            </w:pPr>
            <w:hyperlink r:id="rId159">
              <w:r>
                <w:rPr>
                  <w:rFonts w:ascii="Arial" w:cs="Arial" w:eastAsia="Arial" w:hAnsi="Arial"/>
                  <w:sz w:val="18"/>
                  <w:szCs w:val="18"/>
                  <w:color w:val="0000EE"/>
                  <w:w w:val="82"/>
                </w:rPr>
                <w:t>11, 2017.</w:t>
              </w:r>
            </w:hyperlink>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10.37</w:t>
            </w:r>
            <w:r>
              <w:rPr>
                <w:rFonts w:ascii="Arial" w:cs="Arial" w:eastAsia="Arial" w:hAnsi="Arial"/>
                <w:sz w:val="21"/>
                <w:szCs w:val="21"/>
                <w:color w:val="auto"/>
              </w:rPr>
              <w:t>*</w:t>
            </w:r>
          </w:p>
        </w:tc>
        <w:tc>
          <w:tcPr>
            <w:tcW w:w="8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8"/>
                <w:szCs w:val="18"/>
                <w:color w:val="0000EE"/>
                <w:w w:val="89"/>
              </w:rPr>
            </w:pPr>
            <w:hyperlink r:id="rId160">
              <w:r>
                <w:rPr>
                  <w:rFonts w:ascii="Arial" w:cs="Arial" w:eastAsia="Arial" w:hAnsi="Arial"/>
                  <w:sz w:val="18"/>
                  <w:szCs w:val="18"/>
                  <w:color w:val="0000EE"/>
                  <w:w w:val="89"/>
                </w:rPr>
                <w:t>Commercial Supply Agreement by and between the</w:t>
              </w:r>
            </w:hyperlink>
          </w:p>
        </w:tc>
        <w:tc>
          <w:tcPr>
            <w:tcW w:w="2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60">
              <w:r>
                <w:rPr>
                  <w:rFonts w:ascii="Arial" w:cs="Arial" w:eastAsia="Arial" w:hAnsi="Arial"/>
                  <w:sz w:val="18"/>
                  <w:szCs w:val="18"/>
                  <w:color w:val="0000EE"/>
                  <w:w w:val="90"/>
                </w:rPr>
                <w:t>Registrant and Catalent Germany Schorndorf GmbH, dated</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September 18, 2019</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2"/>
            <w:shd w:val="clear" w:color="auto" w:fill="0000EE"/>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10.38</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w w:val="91"/>
              </w:rPr>
            </w:pPr>
            <w:hyperlink r:id="rId161">
              <w:r>
                <w:rPr>
                  <w:rFonts w:ascii="Arial" w:cs="Arial" w:eastAsia="Arial" w:hAnsi="Arial"/>
                  <w:sz w:val="18"/>
                  <w:szCs w:val="18"/>
                  <w:color w:val="0000EE"/>
                  <w:w w:val="91"/>
                </w:rPr>
                <w:t>Open Market Sale Agreement, dated as of August 10, 2018,</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9"/>
              </w:rPr>
            </w:pPr>
            <w:hyperlink r:id="rId161">
              <w:r>
                <w:rPr>
                  <w:rFonts w:ascii="Arial" w:cs="Arial" w:eastAsia="Arial" w:hAnsi="Arial"/>
                  <w:sz w:val="18"/>
                  <w:szCs w:val="18"/>
                  <w:color w:val="0000EE"/>
                  <w:w w:val="89"/>
                </w:rPr>
                <w:t>by and between the Registrant and Jefferies LLC</w:t>
              </w:r>
            </w:hyperlink>
          </w:p>
        </w:tc>
        <w:tc>
          <w:tcPr>
            <w:tcW w:w="780" w:type="dxa"/>
            <w:vAlign w:val="bottom"/>
            <w:tcBorders>
              <w:top w:val="single" w:sz="8" w:color="0000EE"/>
            </w:tcBorders>
            <w:gridSpan w:val="17"/>
          </w:tcPr>
          <w:p>
            <w:pPr>
              <w:spacing w:after="0"/>
              <w:rPr>
                <w:sz w:val="17"/>
                <w:szCs w:val="17"/>
                <w:color w:val="auto"/>
              </w:rPr>
            </w:pPr>
          </w:p>
        </w:tc>
        <w:tc>
          <w:tcPr>
            <w:tcW w:w="10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10.39</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w w:val="94"/>
              </w:rPr>
            </w:pPr>
            <w:hyperlink r:id="rId162">
              <w:r>
                <w:rPr>
                  <w:rFonts w:ascii="Arial" w:cs="Arial" w:eastAsia="Arial" w:hAnsi="Arial"/>
                  <w:sz w:val="18"/>
                  <w:szCs w:val="18"/>
                  <w:color w:val="0000EE"/>
                  <w:w w:val="94"/>
                </w:rPr>
                <w:t>Settlement Agreement, dated as of June 24, 2020, by and</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00" w:type="dxa"/>
            <w:vAlign w:val="bottom"/>
            <w:tcBorders>
              <w:top w:val="single" w:sz="8" w:color="0000EE"/>
            </w:tcBorders>
            <w:gridSpan w:val="17"/>
          </w:tcPr>
          <w:p>
            <w:pPr>
              <w:spacing w:after="0" w:line="196" w:lineRule="exact"/>
              <w:rPr>
                <w:rFonts w:ascii="Arial" w:cs="Arial" w:eastAsia="Arial" w:hAnsi="Arial"/>
                <w:sz w:val="18"/>
                <w:szCs w:val="18"/>
                <w:color w:val="0000EE"/>
                <w:w w:val="88"/>
              </w:rPr>
            </w:pPr>
            <w:hyperlink r:id="rId162">
              <w:r>
                <w:rPr>
                  <w:rFonts w:ascii="Arial" w:cs="Arial" w:eastAsia="Arial" w:hAnsi="Arial"/>
                  <w:sz w:val="18"/>
                  <w:szCs w:val="18"/>
                  <w:color w:val="0000EE"/>
                  <w:w w:val="88"/>
                </w:rPr>
                <w:t>between the Registrant and Janssen Pharmaceutica, N.V.</w:t>
              </w:r>
            </w:hyperlink>
          </w:p>
        </w:tc>
        <w:tc>
          <w:tcPr>
            <w:tcW w:w="3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24"/>
                <w:szCs w:val="24"/>
                <w:color w:val="auto"/>
              </w:rPr>
            </w:pPr>
          </w:p>
        </w:tc>
        <w:tc>
          <w:tcPr>
            <w:tcW w:w="36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r:id="rId163">
              <w:r>
                <w:rPr>
                  <w:rFonts w:ascii="Arial" w:cs="Arial" w:eastAsia="Arial" w:hAnsi="Arial"/>
                  <w:sz w:val="18"/>
                  <w:szCs w:val="18"/>
                  <w:color w:val="0000EE"/>
                  <w:w w:val="89"/>
                </w:rPr>
                <w:t>Amended and Restated 2013 Equity Incentive Plan</w:t>
              </w:r>
            </w:hyperlink>
          </w:p>
        </w:tc>
        <w:tc>
          <w:tcPr>
            <w:tcW w:w="380" w:type="dxa"/>
            <w:vAlign w:val="bottom"/>
            <w:tcBorders>
              <w:top w:val="single" w:sz="8" w:color="0000EE"/>
            </w:tcBorders>
            <w:gridSpan w:val="5"/>
          </w:tcPr>
          <w:p>
            <w:pPr>
              <w:spacing w:after="0"/>
              <w:rPr>
                <w:sz w:val="24"/>
                <w:szCs w:val="24"/>
                <w:color w:val="auto"/>
              </w:rPr>
            </w:pPr>
          </w:p>
        </w:tc>
        <w:tc>
          <w:tcPr>
            <w:tcW w:w="3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10.41*</w:t>
            </w:r>
          </w:p>
        </w:tc>
        <w:tc>
          <w:tcPr>
            <w:tcW w:w="80" w:type="dxa"/>
            <w:vAlign w:val="bottom"/>
          </w:tcPr>
          <w:p>
            <w:pPr>
              <w:spacing w:after="0"/>
              <w:rPr>
                <w:sz w:val="24"/>
                <w:szCs w:val="24"/>
                <w:color w:val="auto"/>
              </w:rPr>
            </w:pPr>
          </w:p>
        </w:tc>
        <w:tc>
          <w:tcPr>
            <w:tcW w:w="3960" w:type="dxa"/>
            <w:vAlign w:val="bottom"/>
            <w:tcBorders>
              <w:bottom w:val="single" w:sz="8" w:color="0000EE"/>
            </w:tcBorders>
            <w:gridSpan w:val="13"/>
          </w:tcPr>
          <w:p>
            <w:pPr>
              <w:spacing w:after="0"/>
              <w:rPr>
                <w:rFonts w:ascii="Arial" w:cs="Arial" w:eastAsia="Arial" w:hAnsi="Arial"/>
                <w:sz w:val="18"/>
                <w:szCs w:val="18"/>
                <w:color w:val="0000EE"/>
                <w:w w:val="91"/>
              </w:rPr>
            </w:pPr>
            <w:hyperlink r:id="rId164">
              <w:r>
                <w:rPr>
                  <w:rFonts w:ascii="Arial" w:cs="Arial" w:eastAsia="Arial" w:hAnsi="Arial"/>
                  <w:sz w:val="18"/>
                  <w:szCs w:val="18"/>
                  <w:color w:val="0000EE"/>
                  <w:w w:val="91"/>
                </w:rPr>
                <w:t>Remy Luthringer Retention Benefits Letter Agreement</w:t>
              </w:r>
            </w:hyperlink>
          </w:p>
        </w:tc>
        <w:tc>
          <w:tcPr>
            <w:tcW w:w="4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64">
              <w:r>
                <w:rPr>
                  <w:rFonts w:ascii="Arial" w:cs="Arial" w:eastAsia="Arial" w:hAnsi="Arial"/>
                  <w:sz w:val="18"/>
                  <w:szCs w:val="18"/>
                  <w:color w:val="0000EE"/>
                </w:rPr>
                <w:t>(redacted)</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10.42*</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w w:val="92"/>
              </w:rPr>
            </w:pPr>
            <w:hyperlink r:id="rId165">
              <w:r>
                <w:rPr>
                  <w:rFonts w:ascii="Arial" w:cs="Arial" w:eastAsia="Arial" w:hAnsi="Arial"/>
                  <w:sz w:val="18"/>
                  <w:szCs w:val="18"/>
                  <w:color w:val="0000EE"/>
                  <w:w w:val="92"/>
                </w:rPr>
                <w:t>Geoff Race Retention Benefits Letter Agreement (redacted</w:t>
              </w:r>
            </w:hyperlink>
            <w:r>
              <w:rPr>
                <w:rFonts w:ascii="Arial" w:cs="Arial" w:eastAsia="Arial" w:hAnsi="Arial"/>
                <w:sz w:val="18"/>
                <w:szCs w:val="18"/>
                <w:color w:val="000000"/>
                <w:w w:val="92"/>
              </w:rPr>
              <w:t>)</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10.43*</w:t>
            </w:r>
          </w:p>
        </w:tc>
        <w:tc>
          <w:tcPr>
            <w:tcW w:w="80" w:type="dxa"/>
            <w:vAlign w:val="bottom"/>
          </w:tcPr>
          <w:p>
            <w:pPr>
              <w:spacing w:after="0"/>
              <w:rPr>
                <w:sz w:val="24"/>
                <w:szCs w:val="24"/>
                <w:color w:val="auto"/>
              </w:rPr>
            </w:pPr>
          </w:p>
        </w:tc>
        <w:tc>
          <w:tcPr>
            <w:tcW w:w="4220" w:type="dxa"/>
            <w:vAlign w:val="bottom"/>
            <w:tcBorders>
              <w:top w:val="single" w:sz="8" w:color="0000EE"/>
              <w:bottom w:val="single" w:sz="8" w:color="0000EE"/>
            </w:tcBorders>
            <w:gridSpan w:val="22"/>
          </w:tcPr>
          <w:p>
            <w:pPr>
              <w:spacing w:after="0"/>
              <w:rPr>
                <w:rFonts w:ascii="Arial" w:cs="Arial" w:eastAsia="Arial" w:hAnsi="Arial"/>
                <w:sz w:val="18"/>
                <w:szCs w:val="18"/>
                <w:color w:val="0000EE"/>
                <w:w w:val="89"/>
              </w:rPr>
            </w:pPr>
            <w:hyperlink r:id="rId166">
              <w:r>
                <w:rPr>
                  <w:rFonts w:ascii="Arial" w:cs="Arial" w:eastAsia="Arial" w:hAnsi="Arial"/>
                  <w:sz w:val="18"/>
                  <w:szCs w:val="18"/>
                  <w:color w:val="0000EE"/>
                  <w:w w:val="89"/>
                </w:rPr>
                <w:t>Jay Saoud Retention Benefits Letter Agreement (redacted)</w:t>
              </w:r>
            </w:hyperlink>
          </w:p>
        </w:tc>
        <w:tc>
          <w:tcPr>
            <w:tcW w:w="20" w:type="dxa"/>
            <w:vAlign w:val="bottom"/>
            <w:tcBorders>
              <w:top w:val="single" w:sz="8" w:color="0000EE"/>
            </w:tcBorders>
          </w:tcPr>
          <w:p>
            <w:pPr>
              <w:spacing w:after="0"/>
              <w:rPr>
                <w:sz w:val="24"/>
                <w:szCs w:val="24"/>
                <w:color w:val="auto"/>
              </w:rPr>
            </w:pPr>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w w:val="91"/>
              </w:rPr>
            </w:pPr>
            <w:hyperlink r:id="rId167">
              <w:r>
                <w:rPr>
                  <w:rFonts w:ascii="Arial" w:cs="Arial" w:eastAsia="Arial" w:hAnsi="Arial"/>
                  <w:sz w:val="18"/>
                  <w:szCs w:val="18"/>
                  <w:color w:val="0000EE"/>
                  <w:w w:val="91"/>
                </w:rPr>
                <w:t>Devin Smith Retention Benefits Letter Agreement (redacted</w:t>
              </w:r>
            </w:hyperlink>
            <w:r>
              <w:rPr>
                <w:rFonts w:ascii="Arial" w:cs="Arial" w:eastAsia="Arial" w:hAnsi="Arial"/>
                <w:sz w:val="18"/>
                <w:szCs w:val="18"/>
                <w:color w:val="000000"/>
                <w:w w:val="91"/>
              </w:rPr>
              <w:t>)</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10.45*</w:t>
            </w:r>
          </w:p>
        </w:tc>
        <w:tc>
          <w:tcPr>
            <w:tcW w:w="80" w:type="dxa"/>
            <w:vAlign w:val="bottom"/>
          </w:tcPr>
          <w:p>
            <w:pPr>
              <w:spacing w:after="0"/>
              <w:rPr>
                <w:sz w:val="24"/>
                <w:szCs w:val="24"/>
                <w:color w:val="auto"/>
              </w:rPr>
            </w:pPr>
          </w:p>
        </w:tc>
        <w:tc>
          <w:tcPr>
            <w:tcW w:w="4340" w:type="dxa"/>
            <w:vAlign w:val="bottom"/>
            <w:tcBorders>
              <w:top w:val="single" w:sz="8" w:color="0000EE"/>
            </w:tcBorders>
            <w:gridSpan w:val="27"/>
          </w:tcPr>
          <w:p>
            <w:pPr>
              <w:spacing w:after="0"/>
              <w:rPr>
                <w:rFonts w:ascii="Arial" w:cs="Arial" w:eastAsia="Arial" w:hAnsi="Arial"/>
                <w:sz w:val="18"/>
                <w:szCs w:val="18"/>
                <w:color w:val="0000EE"/>
                <w:w w:val="97"/>
              </w:rPr>
            </w:pPr>
            <w:hyperlink r:id="rId168">
              <w:r>
                <w:rPr>
                  <w:rFonts w:ascii="Arial" w:cs="Arial" w:eastAsia="Arial" w:hAnsi="Arial"/>
                  <w:sz w:val="18"/>
                  <w:szCs w:val="18"/>
                  <w:color w:val="0000EE"/>
                  <w:w w:val="97"/>
                </w:rPr>
                <w:t>Frederick Ahlholm Retention Benefits Letter Agreement</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(redacted)</w:t>
              </w:r>
            </w:hyperlink>
          </w:p>
        </w:tc>
        <w:tc>
          <w:tcPr>
            <w:tcW w:w="3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020" w:type="dxa"/>
            <w:vAlign w:val="bottom"/>
            <w:tcBorders>
              <w:left w:val="single" w:sz="8" w:color="0000EE"/>
            </w:tcBorders>
            <w:gridSpan w:val="9"/>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10.46*</w:t>
            </w:r>
          </w:p>
        </w:tc>
        <w:tc>
          <w:tcPr>
            <w:tcW w:w="80" w:type="dxa"/>
            <w:vAlign w:val="bottom"/>
          </w:tcPr>
          <w:p>
            <w:pPr>
              <w:spacing w:after="0"/>
              <w:rPr>
                <w:sz w:val="24"/>
                <w:szCs w:val="24"/>
                <w:color w:val="auto"/>
              </w:rPr>
            </w:pPr>
          </w:p>
        </w:tc>
        <w:tc>
          <w:tcPr>
            <w:tcW w:w="4400" w:type="dxa"/>
            <w:vAlign w:val="bottom"/>
            <w:gridSpan w:val="29"/>
          </w:tcPr>
          <w:p>
            <w:pPr>
              <w:spacing w:after="0"/>
              <w:rPr>
                <w:rFonts w:ascii="Arial" w:cs="Arial" w:eastAsia="Arial" w:hAnsi="Arial"/>
                <w:sz w:val="18"/>
                <w:szCs w:val="18"/>
                <w:color w:val="0000EE"/>
              </w:rPr>
            </w:pPr>
            <w:hyperlink r:id="rId169">
              <w:r>
                <w:rPr>
                  <w:rFonts w:ascii="Arial" w:cs="Arial" w:eastAsia="Arial" w:hAnsi="Arial"/>
                  <w:sz w:val="18"/>
                  <w:szCs w:val="18"/>
                  <w:color w:val="0000EE"/>
                </w:rPr>
                <w:t>Joseph Reilly Retention Benefits Letter Agreement</w:t>
              </w:r>
            </w:hyperlink>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(redacted)</w:t>
              </w:r>
            </w:hyperlink>
          </w:p>
        </w:tc>
        <w:tc>
          <w:tcPr>
            <w:tcW w:w="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380" w:type="dxa"/>
            <w:vAlign w:val="bottom"/>
            <w:tcBorders>
              <w:left w:val="single" w:sz="8" w:color="0000EE"/>
            </w:tcBorders>
            <w:gridSpan w:val="13"/>
          </w:tcPr>
          <w:p>
            <w:pPr>
              <w:spacing w:after="0" w:line="20" w:lineRule="exact"/>
              <w:rPr>
                <w:sz w:val="1"/>
                <w:szCs w:val="1"/>
                <w:color w:val="auto"/>
              </w:rPr>
            </w:pPr>
          </w:p>
        </w:tc>
        <w:tc>
          <w:tcPr>
            <w:tcW w:w="36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24"/>
                <w:szCs w:val="24"/>
                <w:color w:val="auto"/>
              </w:rPr>
            </w:pPr>
          </w:p>
        </w:tc>
        <w:tc>
          <w:tcPr>
            <w:tcW w:w="4040" w:type="dxa"/>
            <w:vAlign w:val="bottom"/>
            <w:tcBorders>
              <w:bottom w:val="single" w:sz="8" w:color="0000EE"/>
            </w:tcBorders>
            <w:gridSpan w:val="14"/>
          </w:tcPr>
          <w:p>
            <w:pPr>
              <w:spacing w:after="0"/>
              <w:rPr>
                <w:rFonts w:ascii="Arial" w:cs="Arial" w:eastAsia="Arial" w:hAnsi="Arial"/>
                <w:sz w:val="18"/>
                <w:szCs w:val="18"/>
                <w:color w:val="0000EE"/>
                <w:w w:val="91"/>
              </w:rPr>
            </w:pPr>
            <w:hyperlink r:id="rId170">
              <w:r>
                <w:rPr>
                  <w:rFonts w:ascii="Arial" w:cs="Arial" w:eastAsia="Arial" w:hAnsi="Arial"/>
                  <w:sz w:val="18"/>
                  <w:szCs w:val="18"/>
                  <w:color w:val="0000EE"/>
                  <w:w w:val="91"/>
                </w:rPr>
                <w:t>Michael Davidson Retention Benefits Letter Agreement</w:t>
              </w:r>
            </w:hyperlink>
          </w:p>
        </w:tc>
        <w:tc>
          <w:tcPr>
            <w:tcW w:w="3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0" w:type="dxa"/>
            <w:vAlign w:val="bottom"/>
            <w:gridSpan w:val="29"/>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(redacted</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File No.</w:t>
            </w:r>
          </w:p>
        </w:tc>
        <w:tc>
          <w:tcPr>
            <w:tcW w:w="80" w:type="dxa"/>
            <w:vAlign w:val="bottom"/>
            <w:vMerge w:val="restart"/>
          </w:tcPr>
          <w:p>
            <w:pPr>
              <w:spacing w:after="0"/>
              <w:rPr>
                <w:sz w:val="14"/>
                <w:szCs w:val="14"/>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331"/>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4,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December 16, 2016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March 13,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6,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June 14,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December 11, 2017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9"/>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4, 2019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70"/>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5"/>
              </w:rPr>
              <w:t>S-3</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333-226783</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August 10, 2018</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3,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August 3,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3"/>
        </w:trPr>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November 2, 2020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sectPr>
          <w:pgSz w:w="11900" w:h="16838" w:orient="portrait"/>
          <w:cols w:equalWidth="0" w:num="2">
            <w:col w:w="5420" w:space="80"/>
            <w:col w:w="5740"/>
          </w:cols>
          <w:pgMar w:left="320" w:top="320" w:right="339" w:bottom="144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23"/>
            <w:vMerge w:val="restart"/>
          </w:tcPr>
          <w:p>
            <w:pPr>
              <w:ind w:left="120"/>
              <w:spacing w:after="0"/>
              <w:rPr>
                <w:sz w:val="20"/>
                <w:szCs w:val="20"/>
                <w:color w:val="auto"/>
              </w:rPr>
            </w:pPr>
            <w:r>
              <w:rPr>
                <w:rFonts w:ascii="Arial" w:cs="Arial" w:eastAsia="Arial" w:hAnsi="Arial"/>
                <w:sz w:val="14"/>
                <w:szCs w:val="14"/>
                <w:b w:val="1"/>
                <w:bCs w:val="1"/>
                <w:color w:val="auto"/>
              </w:rPr>
              <w:t>Description of Exhibit</w:t>
            </w:r>
          </w:p>
        </w:tc>
        <w:tc>
          <w:tcPr>
            <w:tcW w:w="60" w:type="dxa"/>
            <w:vAlign w:val="bottom"/>
            <w:vMerge w:val="restart"/>
          </w:tcPr>
          <w:p>
            <w:pPr>
              <w:spacing w:after="0"/>
              <w:rPr>
                <w:sz w:val="14"/>
                <w:szCs w:val="1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80" w:type="dxa"/>
            <w:vAlign w:val="bottom"/>
            <w:vMerge w:val="restart"/>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80" w:type="dxa"/>
            <w:vAlign w:val="bottom"/>
            <w:vMerge w:val="restart"/>
          </w:tcPr>
          <w:p>
            <w:pPr>
              <w:spacing w:after="0"/>
              <w:rPr>
                <w:sz w:val="14"/>
                <w:szCs w:val="14"/>
                <w:color w:val="auto"/>
              </w:rPr>
            </w:pP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vMerge w:val="restart"/>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Filing Date</w:t>
            </w:r>
          </w:p>
        </w:tc>
        <w:tc>
          <w:tcPr>
            <w:tcW w:w="80" w:type="dxa"/>
            <w:vAlign w:val="bottom"/>
            <w:vMerge w:val="restart"/>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71"/>
        </w:trPr>
        <w:tc>
          <w:tcPr>
            <w:tcW w:w="9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No.</w:t>
            </w:r>
          </w:p>
        </w:tc>
        <w:tc>
          <w:tcPr>
            <w:tcW w:w="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23"/>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290"/>
        </w:trPr>
        <w:tc>
          <w:tcPr>
            <w:tcW w:w="940" w:type="dxa"/>
            <w:vAlign w:val="bottom"/>
          </w:tcPr>
          <w:p>
            <w:pPr>
              <w:spacing w:after="0"/>
              <w:rPr>
                <w:sz w:val="20"/>
                <w:szCs w:val="20"/>
                <w:color w:val="auto"/>
              </w:rPr>
            </w:pPr>
            <w:r>
              <w:rPr>
                <w:rFonts w:ascii="Arial" w:cs="Arial" w:eastAsia="Arial" w:hAnsi="Arial"/>
                <w:sz w:val="18"/>
                <w:szCs w:val="18"/>
                <w:color w:val="auto"/>
              </w:rPr>
              <w:t>10.48*</w:t>
            </w:r>
          </w:p>
        </w:tc>
        <w:tc>
          <w:tcPr>
            <w:tcW w:w="80" w:type="dxa"/>
            <w:vAlign w:val="bottom"/>
          </w:tcPr>
          <w:p>
            <w:pPr>
              <w:spacing w:after="0"/>
              <w:rPr>
                <w:sz w:val="24"/>
                <w:szCs w:val="24"/>
                <w:color w:val="auto"/>
              </w:rPr>
            </w:pPr>
          </w:p>
        </w:tc>
        <w:tc>
          <w:tcPr>
            <w:tcW w:w="4320" w:type="dxa"/>
            <w:vAlign w:val="bottom"/>
            <w:tcBorders>
              <w:bottom w:val="single" w:sz="8" w:color="0000EE"/>
            </w:tcBorders>
            <w:gridSpan w:val="24"/>
          </w:tcPr>
          <w:p>
            <w:pPr>
              <w:spacing w:after="0"/>
              <w:rPr>
                <w:rFonts w:ascii="Arial" w:cs="Arial" w:eastAsia="Arial" w:hAnsi="Arial"/>
                <w:sz w:val="18"/>
                <w:szCs w:val="18"/>
                <w:color w:val="0000EE"/>
                <w:w w:val="89"/>
              </w:rPr>
            </w:pPr>
            <w:hyperlink r:id="rId172">
              <w:r>
                <w:rPr>
                  <w:rFonts w:ascii="Arial" w:cs="Arial" w:eastAsia="Arial" w:hAnsi="Arial"/>
                  <w:sz w:val="18"/>
                  <w:szCs w:val="18"/>
                  <w:color w:val="0000EE"/>
                  <w:w w:val="89"/>
                </w:rPr>
                <w:t>Royalty Purchase Agreement, dated as of January 15, 2021,</w:t>
              </w:r>
            </w:hyperlink>
          </w:p>
        </w:tc>
        <w:tc>
          <w:tcPr>
            <w:tcW w:w="160" w:type="dxa"/>
            <w:vAlign w:val="bottom"/>
            <w:gridSpan w:val="3"/>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3"/>
              </w:rPr>
              <w:t>10.48</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March 8,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18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r:id="rId172">
              <w:r>
                <w:rPr>
                  <w:rFonts w:ascii="Arial" w:cs="Arial" w:eastAsia="Arial" w:hAnsi="Arial"/>
                  <w:sz w:val="18"/>
                  <w:szCs w:val="18"/>
                  <w:color w:val="0000EE"/>
                  <w:w w:val="89"/>
                </w:rPr>
                <w:t>by and between the Registrant and RPI 2019 Intermediate</w:t>
              </w:r>
            </w:hyperlink>
          </w:p>
        </w:tc>
        <w:tc>
          <w:tcPr>
            <w:tcW w:w="300" w:type="dxa"/>
            <w:vAlign w:val="bottom"/>
            <w:gridSpan w:val="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EE"/>
              </w:rPr>
            </w:pPr>
            <w:hyperlink r:id="rId172">
              <w:r>
                <w:rPr>
                  <w:rFonts w:ascii="Arial" w:cs="Arial" w:eastAsia="Arial" w:hAnsi="Arial"/>
                  <w:sz w:val="18"/>
                  <w:szCs w:val="18"/>
                  <w:color w:val="0000EE"/>
                </w:rPr>
                <w:t>Finance Trust (redacted)</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EE"/>
                <w:w w:val="98"/>
              </w:rPr>
            </w:pPr>
            <w:hyperlink r:id="rId173">
              <w:r>
                <w:rPr>
                  <w:rFonts w:ascii="Arial" w:cs="Arial" w:eastAsia="Arial" w:hAnsi="Arial"/>
                  <w:sz w:val="18"/>
                  <w:szCs w:val="18"/>
                  <w:color w:val="0000EE"/>
                  <w:w w:val="98"/>
                </w:rPr>
                <w:t>Remy Luthringer Supplemental Retention Benefits Letter</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May 12,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73">
              <w:r>
                <w:rPr>
                  <w:rFonts w:ascii="Arial" w:cs="Arial" w:eastAsia="Arial" w:hAnsi="Arial"/>
                  <w:sz w:val="18"/>
                  <w:szCs w:val="18"/>
                  <w:color w:val="0000EE"/>
                  <w:w w:val="89"/>
                </w:rPr>
                <w:t>Agreement (redacted)</w:t>
              </w:r>
            </w:hyperlink>
          </w:p>
        </w:tc>
        <w:tc>
          <w:tcPr>
            <w:tcW w:w="2560" w:type="dxa"/>
            <w:vAlign w:val="bottom"/>
            <w:tcBorders>
              <w:top w:val="single" w:sz="8" w:color="0000EE"/>
            </w:tcBorders>
            <w:gridSpan w:val="13"/>
          </w:tcPr>
          <w:p>
            <w:pPr>
              <w:spacing w:after="0"/>
              <w:rPr>
                <w:sz w:val="17"/>
                <w:szCs w:val="17"/>
                <w:color w:val="auto"/>
              </w:rPr>
            </w:pPr>
          </w:p>
        </w:tc>
        <w:tc>
          <w:tcPr>
            <w:tcW w:w="340" w:type="dxa"/>
            <w:vAlign w:val="bottom"/>
            <w:gridSpan w:val="10"/>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10.50*</w:t>
            </w:r>
          </w:p>
        </w:tc>
        <w:tc>
          <w:tcPr>
            <w:tcW w:w="80" w:type="dxa"/>
            <w:vAlign w:val="bottom"/>
          </w:tcPr>
          <w:p>
            <w:pPr>
              <w:spacing w:after="0"/>
              <w:rPr>
                <w:sz w:val="24"/>
                <w:szCs w:val="24"/>
                <w:color w:val="auto"/>
              </w:rPr>
            </w:pPr>
          </w:p>
        </w:tc>
        <w:tc>
          <w:tcPr>
            <w:tcW w:w="3720" w:type="dxa"/>
            <w:vAlign w:val="bottom"/>
            <w:tcBorders>
              <w:bottom w:val="single" w:sz="8" w:color="0000EE"/>
            </w:tcBorders>
            <w:gridSpan w:val="11"/>
          </w:tcPr>
          <w:p>
            <w:pPr>
              <w:spacing w:after="0"/>
              <w:rPr>
                <w:rFonts w:ascii="Arial" w:cs="Arial" w:eastAsia="Arial" w:hAnsi="Arial"/>
                <w:sz w:val="18"/>
                <w:szCs w:val="18"/>
                <w:color w:val="0000EE"/>
                <w:w w:val="90"/>
              </w:rPr>
            </w:pPr>
            <w:hyperlink r:id="rId174">
              <w:r>
                <w:rPr>
                  <w:rFonts w:ascii="Arial" w:cs="Arial" w:eastAsia="Arial" w:hAnsi="Arial"/>
                  <w:sz w:val="18"/>
                  <w:szCs w:val="18"/>
                  <w:color w:val="0000EE"/>
                  <w:w w:val="90"/>
                </w:rPr>
                <w:t>Geoff Race Supplemental Retention Benefits Letter</w:t>
              </w:r>
            </w:hyperlink>
          </w:p>
        </w:tc>
        <w:tc>
          <w:tcPr>
            <w:tcW w:w="760" w:type="dxa"/>
            <w:vAlign w:val="bottom"/>
            <w:gridSpan w:val="16"/>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May 12,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74">
              <w:r>
                <w:rPr>
                  <w:rFonts w:ascii="Arial" w:cs="Arial" w:eastAsia="Arial" w:hAnsi="Arial"/>
                  <w:sz w:val="18"/>
                  <w:szCs w:val="18"/>
                  <w:color w:val="0000EE"/>
                  <w:w w:val="89"/>
                </w:rPr>
                <w:t>Agreement (redacted)</w:t>
              </w:r>
            </w:hyperlink>
          </w:p>
        </w:tc>
        <w:tc>
          <w:tcPr>
            <w:tcW w:w="2900" w:type="dxa"/>
            <w:vAlign w:val="bottom"/>
            <w:gridSpan w:val="2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EE"/>
                <w:w w:val="94"/>
              </w:rPr>
            </w:pPr>
            <w:hyperlink r:id="rId175">
              <w:r>
                <w:rPr>
                  <w:rFonts w:ascii="Arial" w:cs="Arial" w:eastAsia="Arial" w:hAnsi="Arial"/>
                  <w:sz w:val="18"/>
                  <w:szCs w:val="18"/>
                  <w:color w:val="0000EE"/>
                  <w:w w:val="94"/>
                </w:rPr>
                <w:t>Form of Supplemental Retention Benefits Letter Agreement</w:t>
              </w:r>
            </w:hyperlink>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10-Q</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May 12,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r:id="rId175">
              <w:r>
                <w:rPr>
                  <w:rFonts w:ascii="Arial" w:cs="Arial" w:eastAsia="Arial" w:hAnsi="Arial"/>
                  <w:sz w:val="18"/>
                  <w:szCs w:val="18"/>
                  <w:color w:val="0000EE"/>
                  <w:w w:val="92"/>
                </w:rPr>
                <w:t>for Other Officers</w:t>
              </w:r>
            </w:hyperlink>
          </w:p>
        </w:tc>
        <w:tc>
          <w:tcPr>
            <w:tcW w:w="3020" w:type="dxa"/>
            <w:vAlign w:val="bottom"/>
            <w:tcBorders>
              <w:top w:val="single" w:sz="8" w:color="0000EE"/>
            </w:tcBorders>
            <w:gridSpan w:val="22"/>
          </w:tcPr>
          <w:p>
            <w:pPr>
              <w:spacing w:after="0"/>
              <w:rPr>
                <w:sz w:val="17"/>
                <w:szCs w:val="17"/>
                <w:color w:val="auto"/>
              </w:rPr>
            </w:pPr>
          </w:p>
        </w:tc>
        <w:tc>
          <w:tcPr>
            <w:tcW w:w="16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7"/>
        </w:trPr>
        <w:tc>
          <w:tcPr>
            <w:tcW w:w="940" w:type="dxa"/>
            <w:vAlign w:val="bottom"/>
          </w:tcPr>
          <w:p>
            <w:pPr>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24"/>
                <w:szCs w:val="24"/>
                <w:color w:val="auto"/>
              </w:rPr>
            </w:pPr>
          </w:p>
        </w:tc>
        <w:tc>
          <w:tcPr>
            <w:tcW w:w="4160" w:type="dxa"/>
            <w:vAlign w:val="bottom"/>
            <w:tcBorders>
              <w:bottom w:val="single" w:sz="8" w:color="0000EE"/>
            </w:tcBorders>
            <w:gridSpan w:val="18"/>
          </w:tcPr>
          <w:p>
            <w:pPr>
              <w:spacing w:after="0"/>
              <w:rPr>
                <w:rFonts w:ascii="Arial" w:cs="Arial" w:eastAsia="Arial" w:hAnsi="Arial"/>
                <w:sz w:val="18"/>
                <w:szCs w:val="18"/>
                <w:color w:val="0000EE"/>
                <w:w w:val="90"/>
              </w:rPr>
            </w:pPr>
            <w:hyperlink r:id="rId176">
              <w:r>
                <w:rPr>
                  <w:rFonts w:ascii="Arial" w:cs="Arial" w:eastAsia="Arial" w:hAnsi="Arial"/>
                  <w:sz w:val="18"/>
                  <w:szCs w:val="18"/>
                  <w:color w:val="0000EE"/>
                  <w:w w:val="90"/>
                </w:rPr>
                <w:t>T</w:t>
              </w:r>
              <w:r>
                <w:rPr>
                  <w:rFonts w:ascii="Arial" w:cs="Arial" w:eastAsia="Arial" w:hAnsi="Arial"/>
                  <w:sz w:val="18"/>
                  <w:szCs w:val="18"/>
                  <w:color w:val="000000"/>
                  <w:w w:val="90"/>
                </w:rPr>
                <w:t>ransition, Separation, and Consulting Agreement by and</w:t>
              </w:r>
            </w:hyperlink>
          </w:p>
        </w:tc>
        <w:tc>
          <w:tcPr>
            <w:tcW w:w="320" w:type="dxa"/>
            <w:vAlign w:val="bottom"/>
            <w:gridSpan w:val="9"/>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September 8,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tcBorders>
              <w:bottom w:val="single" w:sz="8" w:color="0000EE"/>
            </w:tcBorders>
            <w:gridSpan w:val="14"/>
          </w:tcPr>
          <w:p>
            <w:pPr>
              <w:spacing w:after="0" w:line="196" w:lineRule="exact"/>
              <w:rPr>
                <w:rFonts w:ascii="Arial" w:cs="Arial" w:eastAsia="Arial" w:hAnsi="Arial"/>
                <w:sz w:val="18"/>
                <w:szCs w:val="18"/>
                <w:color w:val="auto"/>
                <w:w w:val="89"/>
              </w:rPr>
            </w:pPr>
            <w:hyperlink r:id="rId176">
              <w:r>
                <w:rPr>
                  <w:rFonts w:ascii="Arial" w:cs="Arial" w:eastAsia="Arial" w:hAnsi="Arial"/>
                  <w:sz w:val="18"/>
                  <w:szCs w:val="18"/>
                  <w:color w:val="auto"/>
                  <w:w w:val="89"/>
                </w:rPr>
                <w:t>between Minerva Neurosciences, Inc. and Jay B. Saoud,</w:t>
              </w:r>
            </w:hyperlink>
          </w:p>
        </w:tc>
        <w:tc>
          <w:tcPr>
            <w:tcW w:w="420" w:type="dxa"/>
            <w:vAlign w:val="bottom"/>
            <w:gridSpan w:val="13"/>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auto"/>
              </w:rPr>
            </w:pPr>
            <w:hyperlink r:id="rId176">
              <w:r>
                <w:rPr>
                  <w:rFonts w:ascii="Arial" w:cs="Arial" w:eastAsia="Arial" w:hAnsi="Arial"/>
                  <w:sz w:val="18"/>
                  <w:szCs w:val="18"/>
                  <w:color w:val="auto"/>
                </w:rPr>
                <w:t>dated September 2, 2021</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24"/>
                <w:szCs w:val="24"/>
                <w:color w:val="auto"/>
              </w:rPr>
            </w:pPr>
          </w:p>
        </w:tc>
        <w:tc>
          <w:tcPr>
            <w:tcW w:w="4200" w:type="dxa"/>
            <w:vAlign w:val="bottom"/>
            <w:tcBorders>
              <w:bottom w:val="single" w:sz="8" w:color="0000EE"/>
            </w:tcBorders>
            <w:gridSpan w:val="20"/>
          </w:tcPr>
          <w:p>
            <w:pPr>
              <w:spacing w:after="0"/>
              <w:rPr>
                <w:rFonts w:ascii="Arial" w:cs="Arial" w:eastAsia="Arial" w:hAnsi="Arial"/>
                <w:sz w:val="18"/>
                <w:szCs w:val="18"/>
                <w:color w:val="0000EE"/>
                <w:w w:val="92"/>
              </w:rPr>
            </w:pPr>
            <w:hyperlink r:id="rId177">
              <w:r>
                <w:rPr>
                  <w:rFonts w:ascii="Arial" w:cs="Arial" w:eastAsia="Arial" w:hAnsi="Arial"/>
                  <w:sz w:val="18"/>
                  <w:szCs w:val="18"/>
                  <w:color w:val="0000EE"/>
                  <w:w w:val="92"/>
                </w:rPr>
                <w:t>First Amendment to the Employment Agreement of Geoff</w:t>
              </w:r>
            </w:hyperlink>
          </w:p>
        </w:tc>
        <w:tc>
          <w:tcPr>
            <w:tcW w:w="280" w:type="dxa"/>
            <w:vAlign w:val="bottom"/>
            <w:gridSpan w:val="7"/>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October 12,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EE"/>
                <w:w w:val="98"/>
              </w:rPr>
            </w:pPr>
            <w:hyperlink r:id="rId177">
              <w:r>
                <w:rPr>
                  <w:rFonts w:ascii="Arial" w:cs="Arial" w:eastAsia="Arial" w:hAnsi="Arial"/>
                  <w:sz w:val="18"/>
                  <w:szCs w:val="18"/>
                  <w:color w:val="0000EE"/>
                  <w:w w:val="98"/>
                </w:rPr>
                <w:t>Race by and between Mind-NRG SARL and Geoff Race,</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r:id="rId177">
              <w:r>
                <w:rPr>
                  <w:rFonts w:ascii="Arial" w:cs="Arial" w:eastAsia="Arial" w:hAnsi="Arial"/>
                  <w:sz w:val="18"/>
                  <w:szCs w:val="18"/>
                  <w:color w:val="0000EE"/>
                  <w:w w:val="89"/>
                </w:rPr>
                <w:t>effective October 11, 2021</w:t>
              </w:r>
            </w:hyperlink>
          </w:p>
        </w:tc>
        <w:tc>
          <w:tcPr>
            <w:tcW w:w="2200" w:type="dxa"/>
            <w:vAlign w:val="bottom"/>
            <w:tcBorders>
              <w:top w:val="single" w:sz="8" w:color="0000EE"/>
            </w:tcBorders>
            <w:gridSpan w:val="8"/>
          </w:tcPr>
          <w:p>
            <w:pPr>
              <w:spacing w:after="0"/>
              <w:rPr>
                <w:sz w:val="17"/>
                <w:szCs w:val="17"/>
                <w:color w:val="auto"/>
              </w:rPr>
            </w:pPr>
          </w:p>
        </w:tc>
        <w:tc>
          <w:tcPr>
            <w:tcW w:w="360" w:type="dxa"/>
            <w:vAlign w:val="bottom"/>
            <w:gridSpan w:val="11"/>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10.54</w:t>
            </w:r>
          </w:p>
        </w:tc>
        <w:tc>
          <w:tcPr>
            <w:tcW w:w="80" w:type="dxa"/>
            <w:vAlign w:val="bottom"/>
          </w:tcPr>
          <w:p>
            <w:pPr>
              <w:spacing w:after="0"/>
              <w:rPr>
                <w:sz w:val="24"/>
                <w:szCs w:val="24"/>
                <w:color w:val="auto"/>
              </w:rPr>
            </w:pPr>
          </w:p>
        </w:tc>
        <w:tc>
          <w:tcPr>
            <w:tcW w:w="4020" w:type="dxa"/>
            <w:vAlign w:val="bottom"/>
            <w:tcBorders>
              <w:bottom w:val="single" w:sz="8" w:color="0000EE"/>
            </w:tcBorders>
            <w:gridSpan w:val="13"/>
          </w:tcPr>
          <w:p>
            <w:pPr>
              <w:spacing w:after="0"/>
              <w:rPr>
                <w:rFonts w:ascii="Arial" w:cs="Arial" w:eastAsia="Arial" w:hAnsi="Arial"/>
                <w:sz w:val="18"/>
                <w:szCs w:val="18"/>
                <w:color w:val="0000EE"/>
                <w:w w:val="89"/>
              </w:rPr>
            </w:pPr>
            <w:hyperlink r:id="rId178">
              <w:r>
                <w:rPr>
                  <w:rFonts w:ascii="Arial" w:cs="Arial" w:eastAsia="Arial" w:hAnsi="Arial"/>
                  <w:sz w:val="18"/>
                  <w:szCs w:val="18"/>
                  <w:color w:val="0000EE"/>
                  <w:w w:val="89"/>
                </w:rPr>
                <w:t>Amended and Restated Employment Agreement by and</w:t>
              </w:r>
            </w:hyperlink>
          </w:p>
        </w:tc>
        <w:tc>
          <w:tcPr>
            <w:tcW w:w="460" w:type="dxa"/>
            <w:vAlign w:val="bottom"/>
            <w:gridSpan w:val="14"/>
          </w:tcPr>
          <w:p>
            <w:pPr>
              <w:spacing w:after="0"/>
              <w:rPr>
                <w:sz w:val="24"/>
                <w:szCs w:val="24"/>
                <w:color w:val="auto"/>
              </w:rPr>
            </w:pPr>
          </w:p>
        </w:tc>
        <w:tc>
          <w:tcPr>
            <w:tcW w:w="9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001-36517</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October 12, 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78">
              <w:r>
                <w:rPr>
                  <w:rFonts w:ascii="Arial" w:cs="Arial" w:eastAsia="Arial" w:hAnsi="Arial"/>
                  <w:sz w:val="18"/>
                  <w:szCs w:val="18"/>
                  <w:color w:val="0000EE"/>
                  <w:w w:val="90"/>
                </w:rPr>
                <w:t>between Minerva Neurosciences, Inc. and Frederick</w:t>
              </w:r>
            </w:hyperlink>
          </w:p>
        </w:tc>
        <w:tc>
          <w:tcPr>
            <w:tcW w:w="720" w:type="dxa"/>
            <w:vAlign w:val="bottom"/>
            <w:gridSpan w:val="1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80" w:type="dxa"/>
            <w:vAlign w:val="bottom"/>
            <w:gridSpan w:val="27"/>
          </w:tcPr>
          <w:p>
            <w:pPr>
              <w:spacing w:after="0" w:line="196" w:lineRule="exact"/>
              <w:rPr>
                <w:rFonts w:ascii="Arial" w:cs="Arial" w:eastAsia="Arial" w:hAnsi="Arial"/>
                <w:sz w:val="18"/>
                <w:szCs w:val="18"/>
                <w:color w:val="0000EE"/>
              </w:rPr>
            </w:pPr>
            <w:hyperlink r:id="rId178">
              <w:r>
                <w:rPr>
                  <w:rFonts w:ascii="Arial" w:cs="Arial" w:eastAsia="Arial" w:hAnsi="Arial"/>
                  <w:sz w:val="18"/>
                  <w:szCs w:val="18"/>
                  <w:color w:val="0000EE"/>
                </w:rPr>
                <w:t>Ahlholm, effective October 11, 2021</w:t>
              </w:r>
            </w:hyperlink>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4"/>
                <w:szCs w:val="24"/>
                <w:color w:val="auto"/>
              </w:rPr>
            </w:pPr>
          </w:p>
        </w:tc>
        <w:tc>
          <w:tcPr>
            <w:tcW w:w="14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100">
              <w:r>
                <w:rPr>
                  <w:rFonts w:ascii="Arial" w:cs="Arial" w:eastAsia="Arial" w:hAnsi="Arial"/>
                  <w:sz w:val="18"/>
                  <w:szCs w:val="18"/>
                  <w:color w:val="0000EE"/>
                  <w:w w:val="91"/>
                </w:rPr>
                <w:t>List of Subsidiaries</w:t>
              </w:r>
            </w:hyperlink>
          </w:p>
        </w:tc>
        <w:tc>
          <w:tcPr>
            <w:tcW w:w="1240" w:type="dxa"/>
            <w:vAlign w:val="bottom"/>
            <w:tcBorders>
              <w:top w:val="single" w:sz="8" w:color="0000EE"/>
            </w:tcBorders>
            <w:gridSpan w:val="7"/>
          </w:tcPr>
          <w:p>
            <w:pPr>
              <w:spacing w:after="0"/>
              <w:rPr>
                <w:sz w:val="24"/>
                <w:szCs w:val="24"/>
                <w:color w:val="auto"/>
              </w:rPr>
            </w:pPr>
          </w:p>
        </w:tc>
        <w:tc>
          <w:tcPr>
            <w:tcW w:w="1840" w:type="dxa"/>
            <w:vAlign w:val="bottom"/>
            <w:gridSpan w:val="17"/>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24"/>
                <w:szCs w:val="24"/>
                <w:color w:val="auto"/>
              </w:rPr>
            </w:pPr>
          </w:p>
        </w:tc>
        <w:tc>
          <w:tcPr>
            <w:tcW w:w="4480" w:type="dxa"/>
            <w:vAlign w:val="bottom"/>
            <w:gridSpan w:val="27"/>
          </w:tcPr>
          <w:p>
            <w:pPr>
              <w:spacing w:after="0"/>
              <w:rPr>
                <w:rFonts w:ascii="Arial" w:cs="Arial" w:eastAsia="Arial" w:hAnsi="Arial"/>
                <w:sz w:val="18"/>
                <w:szCs w:val="18"/>
                <w:color w:val="0000EE"/>
                <w:w w:val="94"/>
              </w:rPr>
            </w:pPr>
            <w:hyperlink w:anchor="page101">
              <w:r>
                <w:rPr>
                  <w:rFonts w:ascii="Arial" w:cs="Arial" w:eastAsia="Arial" w:hAnsi="Arial"/>
                  <w:sz w:val="18"/>
                  <w:szCs w:val="18"/>
                  <w:color w:val="0000EE"/>
                  <w:w w:val="94"/>
                </w:rPr>
                <w:t>Consent of Deloitte &amp; Touche, LLP, independent registered</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3"/>
              </w:rPr>
            </w:pPr>
            <w:hyperlink w:anchor="page101">
              <w:r>
                <w:rPr>
                  <w:rFonts w:ascii="Arial" w:cs="Arial" w:eastAsia="Arial" w:hAnsi="Arial"/>
                  <w:sz w:val="18"/>
                  <w:szCs w:val="18"/>
                  <w:color w:val="0000EE"/>
                  <w:w w:val="93"/>
                </w:rPr>
                <w:t>public accounting firm</w:t>
              </w:r>
            </w:hyperlink>
          </w:p>
        </w:tc>
        <w:tc>
          <w:tcPr>
            <w:tcW w:w="2640" w:type="dxa"/>
            <w:vAlign w:val="bottom"/>
            <w:tcBorders>
              <w:top w:val="single" w:sz="8" w:color="0000EE"/>
            </w:tcBorders>
            <w:gridSpan w:val="17"/>
          </w:tcPr>
          <w:p>
            <w:pPr>
              <w:spacing w:after="0"/>
              <w:rPr>
                <w:sz w:val="17"/>
                <w:szCs w:val="17"/>
                <w:color w:val="auto"/>
              </w:rPr>
            </w:pPr>
          </w:p>
        </w:tc>
        <w:tc>
          <w:tcPr>
            <w:tcW w:w="20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24"/>
                <w:szCs w:val="24"/>
                <w:color w:val="auto"/>
              </w:rPr>
            </w:pPr>
          </w:p>
        </w:tc>
        <w:tc>
          <w:tcPr>
            <w:tcW w:w="418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97">
              <w:r>
                <w:rPr>
                  <w:rFonts w:ascii="Arial" w:cs="Arial" w:eastAsia="Arial" w:hAnsi="Arial"/>
                  <w:sz w:val="18"/>
                  <w:szCs w:val="18"/>
                  <w:color w:val="0000EE"/>
                  <w:w w:val="91"/>
                </w:rPr>
                <w:t>Power of Attorney (included on the Signature page of this</w:t>
              </w:r>
            </w:hyperlink>
          </w:p>
        </w:tc>
        <w:tc>
          <w:tcPr>
            <w:tcW w:w="300" w:type="dxa"/>
            <w:vAlign w:val="bottom"/>
            <w:gridSpan w:val="8"/>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97">
              <w:r>
                <w:rPr>
                  <w:rFonts w:ascii="Arial" w:cs="Arial" w:eastAsia="Arial" w:hAnsi="Arial"/>
                  <w:sz w:val="18"/>
                  <w:szCs w:val="18"/>
                  <w:color w:val="0000EE"/>
                  <w:w w:val="92"/>
                </w:rPr>
                <w:t>Annual Report on Form 10-K)</w:t>
              </w:r>
            </w:hyperlink>
          </w:p>
        </w:tc>
        <w:tc>
          <w:tcPr>
            <w:tcW w:w="2280" w:type="dxa"/>
            <w:vAlign w:val="bottom"/>
            <w:gridSpan w:val="18"/>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440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02">
              <w:r>
                <w:rPr>
                  <w:rFonts w:ascii="Arial" w:cs="Arial" w:eastAsia="Arial" w:hAnsi="Arial"/>
                  <w:sz w:val="18"/>
                  <w:szCs w:val="18"/>
                  <w:color w:val="0000EE"/>
                  <w:w w:val="93"/>
                </w:rPr>
                <w:t>Certification of Chief Executive Officer (Principal Executive</w:t>
              </w:r>
            </w:hyperlink>
          </w:p>
        </w:tc>
        <w:tc>
          <w:tcPr>
            <w:tcW w:w="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Officer) pursuant to Section 302 of Sarbanes-Oxley Act of</w:t>
              </w:r>
            </w:hyperlink>
          </w:p>
        </w:tc>
        <w:tc>
          <w:tcPr>
            <w:tcW w:w="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02">
              <w:r>
                <w:rPr>
                  <w:rFonts w:ascii="Arial" w:cs="Arial" w:eastAsia="Arial" w:hAnsi="Arial"/>
                  <w:sz w:val="18"/>
                  <w:szCs w:val="18"/>
                  <w:color w:val="0000EE"/>
                  <w:w w:val="84"/>
                </w:rPr>
                <w:t>2002</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4300" w:type="dxa"/>
            <w:vAlign w:val="bottom"/>
            <w:tcBorders>
              <w:bottom w:val="single" w:sz="8" w:color="0000EE"/>
            </w:tcBorders>
            <w:gridSpan w:val="23"/>
          </w:tcPr>
          <w:p>
            <w:pPr>
              <w:spacing w:after="0"/>
              <w:rPr>
                <w:rFonts w:ascii="Arial" w:cs="Arial" w:eastAsia="Arial" w:hAnsi="Arial"/>
                <w:sz w:val="18"/>
                <w:szCs w:val="18"/>
                <w:color w:val="0000EE"/>
                <w:w w:val="94"/>
              </w:rPr>
            </w:pPr>
            <w:hyperlink w:anchor="page103">
              <w:r>
                <w:rPr>
                  <w:rFonts w:ascii="Arial" w:cs="Arial" w:eastAsia="Arial" w:hAnsi="Arial"/>
                  <w:sz w:val="18"/>
                  <w:szCs w:val="18"/>
                  <w:color w:val="0000EE"/>
                  <w:w w:val="94"/>
                </w:rPr>
                <w:t>Certification of Chief Financial Officer (Principal Financial</w:t>
              </w:r>
            </w:hyperlink>
          </w:p>
        </w:tc>
        <w:tc>
          <w:tcPr>
            <w:tcW w:w="180" w:type="dxa"/>
            <w:vAlign w:val="bottom"/>
            <w:gridSpan w:val="4"/>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Officer) pursuant to Section 302 of Sarbanes-Oxley Act of</w:t>
              </w:r>
            </w:hyperlink>
          </w:p>
        </w:tc>
        <w:tc>
          <w:tcPr>
            <w:tcW w:w="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03">
              <w:r>
                <w:rPr>
                  <w:rFonts w:ascii="Arial" w:cs="Arial" w:eastAsia="Arial" w:hAnsi="Arial"/>
                  <w:sz w:val="18"/>
                  <w:szCs w:val="18"/>
                  <w:color w:val="0000EE"/>
                  <w:w w:val="84"/>
                </w:rPr>
                <w:t>2002</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4400" w:type="dxa"/>
            <w:vAlign w:val="bottom"/>
            <w:tcBorders>
              <w:bottom w:val="single" w:sz="8" w:color="0000EE"/>
            </w:tcBorders>
            <w:gridSpan w:val="25"/>
          </w:tcPr>
          <w:p>
            <w:pPr>
              <w:spacing w:after="0"/>
              <w:rPr>
                <w:rFonts w:ascii="Arial" w:cs="Arial" w:eastAsia="Arial" w:hAnsi="Arial"/>
                <w:sz w:val="18"/>
                <w:szCs w:val="18"/>
                <w:color w:val="0000EE"/>
                <w:w w:val="93"/>
              </w:rPr>
            </w:pPr>
            <w:hyperlink w:anchor="page104">
              <w:r>
                <w:rPr>
                  <w:rFonts w:ascii="Arial" w:cs="Arial" w:eastAsia="Arial" w:hAnsi="Arial"/>
                  <w:sz w:val="18"/>
                  <w:szCs w:val="18"/>
                  <w:color w:val="0000EE"/>
                  <w:w w:val="93"/>
                </w:rPr>
                <w:t>Certification of Chief Executive Officer (Principal Executive</w:t>
              </w:r>
            </w:hyperlink>
          </w:p>
        </w:tc>
        <w:tc>
          <w:tcPr>
            <w:tcW w:w="80" w:type="dxa"/>
            <w:vAlign w:val="bottom"/>
            <w:gridSpan w:val="2"/>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8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Officer) and Chief Financial Officer (Principal Financial</w:t>
              </w:r>
            </w:hyperlink>
          </w:p>
        </w:tc>
        <w:tc>
          <w:tcPr>
            <w:tcW w:w="400" w:type="dxa"/>
            <w:vAlign w:val="bottom"/>
            <w:gridSpan w:val="12"/>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104">
              <w:r>
                <w:rPr>
                  <w:rFonts w:ascii="Arial" w:cs="Arial" w:eastAsia="Arial" w:hAnsi="Arial"/>
                  <w:sz w:val="18"/>
                  <w:szCs w:val="18"/>
                  <w:color w:val="0000EE"/>
                  <w:w w:val="91"/>
                </w:rPr>
                <w:t>Officer) pursuant to Section 906 of Sarbanes-Oxley Act of</w:t>
              </w:r>
            </w:hyperlink>
          </w:p>
        </w:tc>
        <w:tc>
          <w:tcPr>
            <w:tcW w:w="260" w:type="dxa"/>
            <w:vAlign w:val="bottom"/>
            <w:gridSpan w:val="6"/>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104">
              <w:r>
                <w:rPr>
                  <w:rFonts w:ascii="Arial" w:cs="Arial" w:eastAsia="Arial" w:hAnsi="Arial"/>
                  <w:sz w:val="18"/>
                  <w:szCs w:val="18"/>
                  <w:color w:val="0000EE"/>
                  <w:w w:val="84"/>
                </w:rPr>
                <w:t>2002</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Inline XBRL Instance Document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38"/>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Inline XBRL Taxonomy Extension Calculation Linkbase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Inline XBRL Taxonomy Extension Definition Linkbase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Inline XBRL Taxonomy Extension Label Linkbase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w w:val="98"/>
              </w:rPr>
              <w:t>Inline XBRL Taxonomy Extension Presentation Linkbase</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Document</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24"/>
                <w:szCs w:val="24"/>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w w:val="94"/>
              </w:rPr>
              <w:t>Cover Page Interactive Data File (formatted as Inline XBRL</w:t>
            </w: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80" w:type="dxa"/>
            <w:vAlign w:val="bottom"/>
            <w:gridSpan w:val="27"/>
          </w:tcPr>
          <w:p>
            <w:pPr>
              <w:spacing w:after="0"/>
              <w:rPr>
                <w:sz w:val="20"/>
                <w:szCs w:val="20"/>
                <w:color w:val="auto"/>
              </w:rPr>
            </w:pPr>
            <w:r>
              <w:rPr>
                <w:rFonts w:ascii="Arial" w:cs="Arial" w:eastAsia="Arial" w:hAnsi="Arial"/>
                <w:sz w:val="18"/>
                <w:szCs w:val="18"/>
                <w:color w:val="auto"/>
              </w:rPr>
              <w:t>and contained in Exhibit 101)</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jc w:val="right"/>
              <w:ind w:right="572"/>
              <w:spacing w:after="0"/>
              <w:rPr>
                <w:sz w:val="20"/>
                <w:szCs w:val="20"/>
                <w:color w:val="auto"/>
              </w:rPr>
            </w:pPr>
            <w:r>
              <w:rPr>
                <w:rFonts w:ascii="Arial" w:cs="Arial" w:eastAsia="Arial" w:hAnsi="Arial"/>
                <w:sz w:val="18"/>
                <w:szCs w:val="18"/>
                <w:color w:val="auto"/>
                <w:w w:val="99"/>
              </w:rPr>
              <w:t>74</w:t>
            </w: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95" w:name="page96"/>
    <w:bookmarkEnd w:id="95"/>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17"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Confidential treatment has been granted by the Securities and Exchange Commission as to certain portions of this document.</w:t>
      </w:r>
    </w:p>
    <w:p>
      <w:pPr>
        <w:spacing w:after="0" w:line="117" w:lineRule="exact"/>
        <w:rPr>
          <w:sz w:val="20"/>
          <w:szCs w:val="20"/>
          <w:color w:val="auto"/>
        </w:rPr>
      </w:pPr>
    </w:p>
    <w:p>
      <w:pPr>
        <w:ind w:left="500" w:hanging="492"/>
        <w:spacing w:after="0" w:line="263" w:lineRule="auto"/>
        <w:tabs>
          <w:tab w:leader="none" w:pos="5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73" w:right="41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MINERVA NEUROSCIENCES, INC.</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26142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2">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ind w:left="832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7"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KNOW ALL PERSONS BY THESE PRESENTS</w:t>
      </w:r>
      <w:r>
        <w:rPr>
          <w:rFonts w:ascii="Arial" w:cs="Arial" w:eastAsia="Arial" w:hAnsi="Arial"/>
          <w:sz w:val="17"/>
          <w:szCs w:val="17"/>
          <w:color w:val="auto"/>
        </w:rPr>
        <w:t>, that each person whose signature appears below constitutes and appoints Remy Luthringer, Ph.D. and</w:t>
      </w:r>
      <w:r>
        <w:rPr>
          <w:rFonts w:ascii="Arial" w:cs="Arial" w:eastAsia="Arial" w:hAnsi="Arial"/>
          <w:sz w:val="17"/>
          <w:szCs w:val="17"/>
          <w:b w:val="1"/>
          <w:bCs w:val="1"/>
          <w:color w:val="auto"/>
        </w:rPr>
        <w:t xml:space="preserve"> </w:t>
      </w:r>
      <w:r>
        <w:rPr>
          <w:rFonts w:ascii="Arial" w:cs="Arial" w:eastAsia="Arial" w:hAnsi="Arial"/>
          <w:sz w:val="17"/>
          <w:szCs w:val="17"/>
          <w:color w:val="auto"/>
        </w:rPr>
        <w:t>Frederick Ahlholm, and each of them, his true and lawful attorneys-in-fact and agents, with full power of substitution and resubstitution, for him and in his name, place and stead, in any and all capacities, to sign any and all amendments (including post-effective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either of them, or their or his substitutes or substitute, may lawfully do or cause to be done by virtue hereof.</w:t>
      </w:r>
    </w:p>
    <w:p>
      <w:pPr>
        <w:spacing w:after="0" w:line="1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240" w:type="dxa"/>
            <w:vAlign w:val="bottom"/>
          </w:tcPr>
          <w:p>
            <w:pPr>
              <w:spacing w:after="0"/>
              <w:rPr>
                <w:sz w:val="20"/>
                <w:szCs w:val="20"/>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7"/>
              </w:rPr>
              <w:t>Title</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195"/>
        </w:trPr>
        <w:tc>
          <w:tcPr>
            <w:tcW w:w="35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/s/ Remy Luthringer, Ph.D.</w:t>
            </w:r>
          </w:p>
        </w:tc>
        <w:tc>
          <w:tcPr>
            <w:tcW w:w="240" w:type="dxa"/>
            <w:vAlign w:val="bottom"/>
          </w:tcPr>
          <w:p>
            <w:pPr>
              <w:spacing w:after="0"/>
              <w:rPr>
                <w:sz w:val="16"/>
                <w:szCs w:val="16"/>
                <w:color w:val="auto"/>
              </w:rPr>
            </w:pPr>
          </w:p>
        </w:tc>
        <w:tc>
          <w:tcPr>
            <w:tcW w:w="39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Executive Chairman and</w:t>
            </w:r>
          </w:p>
        </w:tc>
        <w:tc>
          <w:tcPr>
            <w:tcW w:w="240" w:type="dxa"/>
            <w:vAlign w:val="bottom"/>
          </w:tcPr>
          <w:p>
            <w:pPr>
              <w:spacing w:after="0"/>
              <w:rPr>
                <w:sz w:val="16"/>
                <w:szCs w:val="16"/>
                <w:color w:val="auto"/>
              </w:rPr>
            </w:pPr>
          </w:p>
        </w:tc>
        <w:tc>
          <w:tcPr>
            <w:tcW w:w="3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35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4160" w:type="dxa"/>
            <w:vAlign w:val="bottom"/>
            <w:gridSpan w:val="2"/>
          </w:tcPr>
          <w:p>
            <w:pPr>
              <w:jc w:val="center"/>
              <w:ind w:right="240"/>
              <w:spacing w:after="0" w:line="157" w:lineRule="exact"/>
              <w:rPr>
                <w:sz w:val="20"/>
                <w:szCs w:val="20"/>
                <w:color w:val="auto"/>
              </w:rPr>
            </w:pPr>
            <w:r>
              <w:rPr>
                <w:rFonts w:ascii="Arial" w:cs="Arial" w:eastAsia="Arial" w:hAnsi="Arial"/>
                <w:sz w:val="18"/>
                <w:szCs w:val="18"/>
                <w:color w:val="auto"/>
                <w:w w:val="93"/>
              </w:rPr>
              <w:t>Chief Executive Officer</w:t>
            </w:r>
          </w:p>
        </w:tc>
        <w:tc>
          <w:tcPr>
            <w:tcW w:w="3340" w:type="dxa"/>
            <w:vAlign w:val="bottom"/>
          </w:tcPr>
          <w:p>
            <w:pPr>
              <w:jc w:val="center"/>
              <w:spacing w:after="0" w:line="157" w:lineRule="exact"/>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63"/>
        </w:trPr>
        <w:tc>
          <w:tcPr>
            <w:tcW w:w="3500" w:type="dxa"/>
            <w:vAlign w:val="bottom"/>
          </w:tcPr>
          <w:p>
            <w:pPr>
              <w:jc w:val="center"/>
              <w:spacing w:after="0"/>
              <w:rPr>
                <w:sz w:val="20"/>
                <w:szCs w:val="20"/>
                <w:color w:val="auto"/>
              </w:rPr>
            </w:pPr>
            <w:r>
              <w:rPr>
                <w:rFonts w:ascii="Arial" w:cs="Arial" w:eastAsia="Arial" w:hAnsi="Arial"/>
                <w:sz w:val="18"/>
                <w:szCs w:val="18"/>
                <w:color w:val="auto"/>
                <w:w w:val="92"/>
              </w:rPr>
              <w:t>Remy Luthringer, Ph.D.</w:t>
            </w:r>
          </w:p>
        </w:tc>
        <w:tc>
          <w:tcPr>
            <w:tcW w:w="240" w:type="dxa"/>
            <w:vAlign w:val="bottom"/>
          </w:tcPr>
          <w:p>
            <w:pPr>
              <w:spacing w:after="0"/>
              <w:rPr>
                <w:sz w:val="22"/>
                <w:szCs w:val="22"/>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4"/>
              </w:rPr>
              <w:t>(Principal Executive Officer)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3500" w:type="dxa"/>
            <w:vAlign w:val="bottom"/>
            <w:vMerge w:val="restart"/>
          </w:tcPr>
          <w:p>
            <w:pPr>
              <w:jc w:val="center"/>
              <w:spacing w:after="0"/>
              <w:rPr>
                <w:sz w:val="20"/>
                <w:szCs w:val="20"/>
                <w:color w:val="auto"/>
              </w:rPr>
            </w:pPr>
            <w:r>
              <w:rPr>
                <w:rFonts w:ascii="Arial" w:cs="Arial" w:eastAsia="Arial" w:hAnsi="Arial"/>
                <w:sz w:val="18"/>
                <w:szCs w:val="18"/>
                <w:color w:val="auto"/>
                <w:w w:val="95"/>
              </w:rPr>
              <w:t>/s/ Frederick Ahlholm</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Chief Financial Officer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35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4160" w:type="dxa"/>
            <w:vAlign w:val="bottom"/>
            <w:gridSpan w:val="2"/>
            <w:vMerge w:val="restart"/>
          </w:tcPr>
          <w:p>
            <w:pPr>
              <w:jc w:val="center"/>
              <w:ind w:right="240"/>
              <w:spacing w:after="0" w:line="157" w:lineRule="exact"/>
              <w:rPr>
                <w:sz w:val="20"/>
                <w:szCs w:val="20"/>
                <w:color w:val="auto"/>
              </w:rPr>
            </w:pPr>
            <w:r>
              <w:rPr>
                <w:rFonts w:ascii="Arial" w:cs="Arial" w:eastAsia="Arial" w:hAnsi="Arial"/>
                <w:sz w:val="18"/>
                <w:szCs w:val="18"/>
                <w:i w:val="1"/>
                <w:iCs w:val="1"/>
                <w:color w:val="auto"/>
                <w:w w:val="96"/>
              </w:rPr>
              <w:t>(Principal Financial Officer and</w:t>
            </w:r>
          </w:p>
        </w:tc>
        <w:tc>
          <w:tcPr>
            <w:tcW w:w="334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7"/>
        </w:trPr>
        <w:tc>
          <w:tcPr>
            <w:tcW w:w="3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160" w:type="dxa"/>
            <w:vAlign w:val="bottom"/>
            <w:gridSpan w:val="2"/>
            <w:vMerge w:val="continue"/>
          </w:tcPr>
          <w:p>
            <w:pPr>
              <w:spacing w:after="0"/>
              <w:rPr>
                <w:sz w:val="2"/>
                <w:szCs w:val="2"/>
                <w:color w:val="auto"/>
              </w:rPr>
            </w:pPr>
          </w:p>
        </w:tc>
        <w:tc>
          <w:tcPr>
            <w:tcW w:w="3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00" w:type="dxa"/>
            <w:vAlign w:val="bottom"/>
          </w:tcPr>
          <w:p>
            <w:pPr>
              <w:jc w:val="center"/>
              <w:spacing w:after="0"/>
              <w:rPr>
                <w:sz w:val="20"/>
                <w:szCs w:val="20"/>
                <w:color w:val="auto"/>
              </w:rPr>
            </w:pPr>
            <w:r>
              <w:rPr>
                <w:rFonts w:ascii="Arial" w:cs="Arial" w:eastAsia="Arial" w:hAnsi="Arial"/>
                <w:sz w:val="18"/>
                <w:szCs w:val="18"/>
                <w:color w:val="auto"/>
                <w:w w:val="95"/>
              </w:rPr>
              <w:t>Frederick Ahlholm</w:t>
            </w:r>
          </w:p>
        </w:tc>
        <w:tc>
          <w:tcPr>
            <w:tcW w:w="240" w:type="dxa"/>
            <w:vAlign w:val="bottom"/>
          </w:tcPr>
          <w:p>
            <w:pPr>
              <w:spacing w:after="0"/>
              <w:rPr>
                <w:sz w:val="22"/>
                <w:szCs w:val="22"/>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i w:val="1"/>
                <w:iCs w:val="1"/>
                <w:color w:val="auto"/>
                <w:w w:val="95"/>
              </w:rPr>
              <w:t>Principal Accounting Officer)</w:t>
            </w:r>
          </w:p>
        </w:tc>
        <w:tc>
          <w:tcPr>
            <w:tcW w:w="3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Geoffrey Race</w:t>
            </w:r>
          </w:p>
        </w:tc>
        <w:tc>
          <w:tcPr>
            <w:tcW w:w="240" w:type="dxa"/>
            <w:vAlign w:val="bottom"/>
          </w:tcPr>
          <w:p>
            <w:pPr>
              <w:spacing w:after="0"/>
              <w:rPr>
                <w:sz w:val="24"/>
                <w:szCs w:val="24"/>
                <w:color w:val="auto"/>
              </w:rPr>
            </w:pPr>
          </w:p>
        </w:tc>
        <w:tc>
          <w:tcPr>
            <w:tcW w:w="41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President</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1"/>
              </w:rPr>
              <w:t>Geoffrey Race</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William F. Doyle</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6"/>
              </w:rPr>
              <w:t>William F. Doyle</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Hans Peter Hasler</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8"/>
              </w:rPr>
              <w:t>Hans Peter Hasler</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Jeryl Hilleman</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3"/>
              </w:rPr>
              <w:t>Jeryl Hilleman</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Kupfer,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7"/>
              </w:rPr>
              <w:t>David Kupfer,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Fouzia Laghrissi-Thode, MD</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Fouzia Laghrissi-Thode, MD</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Jan van Heek</w:t>
            </w:r>
          </w:p>
        </w:tc>
        <w:tc>
          <w:tcPr>
            <w:tcW w:w="240" w:type="dxa"/>
            <w:vAlign w:val="bottom"/>
          </w:tcPr>
          <w:p>
            <w:pPr>
              <w:spacing w:after="0"/>
              <w:rPr>
                <w:sz w:val="24"/>
                <w:szCs w:val="24"/>
                <w:color w:val="auto"/>
              </w:rPr>
            </w:pPr>
          </w:p>
        </w:tc>
        <w:tc>
          <w:tcPr>
            <w:tcW w:w="416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Member of the Board of Directors</w:t>
            </w:r>
          </w:p>
        </w:tc>
        <w:tc>
          <w:tcPr>
            <w:tcW w:w="3340" w:type="dxa"/>
            <w:vAlign w:val="bottom"/>
          </w:tcPr>
          <w:p>
            <w:pPr>
              <w:jc w:val="center"/>
              <w:spacing w:after="0"/>
              <w:rPr>
                <w:sz w:val="20"/>
                <w:szCs w:val="20"/>
                <w:color w:val="auto"/>
              </w:rPr>
            </w:pPr>
            <w:r>
              <w:rPr>
                <w:rFonts w:ascii="Arial" w:cs="Arial" w:eastAsia="Arial" w:hAnsi="Arial"/>
                <w:sz w:val="18"/>
                <w:szCs w:val="18"/>
                <w:color w:val="auto"/>
                <w:w w:val="92"/>
              </w:rPr>
              <w:t>March 1, 2022</w:t>
            </w:r>
          </w:p>
        </w:tc>
        <w:tc>
          <w:tcPr>
            <w:tcW w:w="0" w:type="dxa"/>
            <w:vAlign w:val="bottom"/>
          </w:tcPr>
          <w:p>
            <w:pPr>
              <w:spacing w:after="0"/>
              <w:rPr>
                <w:sz w:val="1"/>
                <w:szCs w:val="1"/>
                <w:color w:val="auto"/>
              </w:rPr>
            </w:pP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9"/>
              </w:rPr>
              <w:t>Jan van Heek</w:t>
            </w:r>
          </w:p>
        </w:tc>
        <w:tc>
          <w:tcPr>
            <w:tcW w:w="2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5"/>
        </w:trPr>
        <w:tc>
          <w:tcPr>
            <w:tcW w:w="3500" w:type="dxa"/>
            <w:vAlign w:val="bottom"/>
          </w:tcPr>
          <w:p>
            <w:pPr>
              <w:spacing w:after="0"/>
              <w:rPr>
                <w:sz w:val="24"/>
                <w:szCs w:val="24"/>
                <w:color w:val="auto"/>
              </w:rPr>
            </w:pPr>
          </w:p>
        </w:tc>
        <w:tc>
          <w:tcPr>
            <w:tcW w:w="4160" w:type="dxa"/>
            <w:vAlign w:val="bottom"/>
            <w:gridSpan w:val="2"/>
          </w:tcPr>
          <w:p>
            <w:pPr>
              <w:jc w:val="right"/>
              <w:ind w:right="1850"/>
              <w:spacing w:after="0"/>
              <w:rPr>
                <w:sz w:val="20"/>
                <w:szCs w:val="20"/>
                <w:color w:val="auto"/>
              </w:rPr>
            </w:pPr>
            <w:r>
              <w:rPr>
                <w:rFonts w:ascii="Arial" w:cs="Arial" w:eastAsia="Arial" w:hAnsi="Arial"/>
                <w:sz w:val="18"/>
                <w:szCs w:val="18"/>
                <w:color w:val="auto"/>
              </w:rPr>
              <w:t>76</w:t>
            </w:r>
          </w:p>
        </w:tc>
        <w:tc>
          <w:tcPr>
            <w:tcW w:w="2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3"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4.4</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February 24, 2022, Minerva Neurosciences, Inc. (the “Company”) has one class of securities registered under Section 12 of the Securities Exchange Act of 1934, as amended (the “Exchange Act”): our common stock.</w:t>
      </w:r>
    </w:p>
    <w:p>
      <w:pPr>
        <w:spacing w:after="0" w:line="130"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following description of our common stock is a summary, does not purport to be complete and is subject to, and is qualified in its entirety by reference to, the applicable provisions of Delaware law and our amended and restated certificate of incorporation and our amended and restated bylaws, copies of which are incorporated by reference as an exhibit to the Annual Report on Form 10-K of which this Exhibit 4.4 is a part. We encourage you to read our certificate of incorporation, our bylaws and the applicable provisions of Delaware law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Capital Stock</w:t>
      </w:r>
    </w:p>
    <w:p>
      <w:pPr>
        <w:spacing w:after="0" w:line="19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authorized capital stock consists of 125,000,000 shares of common stock, $0.0001 par value per share, and 100,000,000 shares of preferred stock, $0.0001 par value per share.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Each holder of our common stock is entitled to one vote for each share of common stock on all matters submitted to a vote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including the election of directors. The holders of our common stock do not have cumulative voting rights. Because of this, the holders of a majority of the shares of common stock entitled to vote in any election of directors can elect all of the directors standing for election, if they should so choose.</w:t>
      </w:r>
    </w:p>
    <w:p>
      <w:pPr>
        <w:spacing w:after="0" w:line="160"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Dividend rights</w:t>
      </w:r>
      <w:r>
        <w:rPr>
          <w:rFonts w:ascii="Arial" w:cs="Arial" w:eastAsia="Arial" w:hAnsi="Arial"/>
          <w:sz w:val="17"/>
          <w:szCs w:val="17"/>
          <w:color w:val="auto"/>
        </w:rPr>
        <w:t>. Subject to preferences that may be applicable to any then outstanding preferred stock, holders of our common stock are entitled to receive</w:t>
      </w:r>
      <w:r>
        <w:rPr>
          <w:rFonts w:ascii="Arial" w:cs="Arial" w:eastAsia="Arial" w:hAnsi="Arial"/>
          <w:sz w:val="17"/>
          <w:szCs w:val="17"/>
          <w:i w:val="1"/>
          <w:iCs w:val="1"/>
          <w:color w:val="auto"/>
        </w:rPr>
        <w:t xml:space="preserve"> </w:t>
      </w:r>
      <w:r>
        <w:rPr>
          <w:rFonts w:ascii="Arial" w:cs="Arial" w:eastAsia="Arial" w:hAnsi="Arial"/>
          <w:sz w:val="17"/>
          <w:szCs w:val="17"/>
          <w:color w:val="auto"/>
        </w:rPr>
        <w:t>ratably such dividends, if any, as may be declared from time to time by our board of directors out of legally available funds.</w:t>
      </w:r>
    </w:p>
    <w:p>
      <w:pPr>
        <w:spacing w:after="0" w:line="10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In the event of our liquidation, dissolution or winding up, holders of our common stock will be entitled to share ratably in the net assets legally</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distribution to stockholders after the payment of all of our debts and other liabilities and the satisfaction of any liquidation preference granted to the holders of any then outstanding shares of preferred stock.</w:t>
      </w:r>
    </w:p>
    <w:p>
      <w:pPr>
        <w:spacing w:after="0" w:line="143"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i w:val="1"/>
          <w:iCs w:val="1"/>
          <w:color w:val="auto"/>
        </w:rPr>
        <w:t xml:space="preserve">Rights and Preferences. </w:t>
      </w:r>
      <w:r>
        <w:rPr>
          <w:rFonts w:ascii="Arial" w:cs="Arial" w:eastAsia="Arial" w:hAnsi="Arial"/>
          <w:sz w:val="17"/>
          <w:szCs w:val="17"/>
          <w:color w:val="auto"/>
        </w:rPr>
        <w:t>Holders of our common stock have no preemptive, conversion, subscription or other rights, and there are no redemption or sinking</w:t>
      </w:r>
      <w:r>
        <w:rPr>
          <w:rFonts w:ascii="Arial" w:cs="Arial" w:eastAsia="Arial" w:hAnsi="Arial"/>
          <w:sz w:val="17"/>
          <w:szCs w:val="17"/>
          <w:i w:val="1"/>
          <w:iCs w:val="1"/>
          <w:color w:val="auto"/>
        </w:rPr>
        <w:t xml:space="preserve"> </w:t>
      </w:r>
      <w:r>
        <w:rPr>
          <w:rFonts w:ascii="Arial" w:cs="Arial" w:eastAsia="Arial" w:hAnsi="Arial"/>
          <w:sz w:val="17"/>
          <w:szCs w:val="17"/>
          <w:color w:val="auto"/>
        </w:rPr>
        <w:t>fund provisions applicable to our common stock. The outstanding shares of our common stock are fully paid and nonassessable.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our amended and restated certificate of incorporation, our board of directors has the authority, without further action by our stockholders, to issue up to 100,000,000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of control of our company or other corporate action.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w:t>
      </w:r>
    </w:p>
    <w:p>
      <w:pPr>
        <w:spacing w:after="0" w:line="198"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Certificate of Incorporation and Bylaws. </w:t>
      </w:r>
      <w:r>
        <w:rPr>
          <w:rFonts w:ascii="Arial" w:cs="Arial" w:eastAsia="Arial" w:hAnsi="Arial"/>
          <w:sz w:val="16"/>
          <w:szCs w:val="16"/>
          <w:color w:val="auto"/>
        </w:rPr>
        <w:t>Our amended and restated certificate of incorporation provides for our board of directors to be divided into three</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and amended and restated bylaws provide that all stockholder action must be effected at a duly called meeting of stockholders and not by a consent in writing, and that only our board of directors or chairman of the board may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wp:posOffset>
            </wp:positionV>
            <wp:extent cx="71748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ind w:right="100"/>
        <w:spacing w:after="0" w:line="253" w:lineRule="auto"/>
        <w:rPr>
          <w:sz w:val="20"/>
          <w:szCs w:val="20"/>
          <w:color w:val="auto"/>
        </w:rPr>
      </w:pPr>
      <w:r>
        <w:rPr>
          <w:rFonts w:ascii="Arial" w:cs="Arial" w:eastAsia="Arial" w:hAnsi="Arial"/>
          <w:sz w:val="18"/>
          <w:szCs w:val="18"/>
          <w:color w:val="auto"/>
        </w:rPr>
        <w:t>Our amended and restated certificate of incorporation requires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vote for the amendment, repeal or modification of certain provisions of our amended and restated certificate of incorporation and amended and restated bylaws relating to the classification of our board of directors, the requirement that stockholder actions be effected at a duly called meeting, and the designated parties entitled to call a special meeting of the stockholders. The combination of the classification of our board of directors, the lack of cumulative voting and the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stockholder voting requirements will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control of our company.</w:t>
      </w:r>
    </w:p>
    <w:p>
      <w:pPr>
        <w:spacing w:after="0" w:line="16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These provisions may have the effect of deterring hostile takeovers or delaying changes in control of our company or management. These provisions 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also are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our management.</w:t>
      </w:r>
    </w:p>
    <w:p>
      <w:pPr>
        <w:spacing w:after="0" w:line="12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i w:val="1"/>
          <w:iCs w:val="1"/>
          <w:color w:val="auto"/>
        </w:rPr>
        <w:t>Forum</w:t>
      </w:r>
      <w:r>
        <w:rPr>
          <w:rFonts w:ascii="Arial" w:cs="Arial" w:eastAsia="Arial" w:hAnsi="Arial"/>
          <w:sz w:val="17"/>
          <w:szCs w:val="17"/>
          <w:color w:val="auto"/>
        </w:rPr>
        <w:t>. Our amended and restated certificate of incorporation and our amended and restated bylaws provide that, unless we consent in writing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selection of an alternative forum, the Court of Chancery of the State of Delaware will be the sole and exclusive forum for any derivative action or proceeding brought on our behalf, any action asserting a claim of breach of a fiduciary duty owed by any current or former director, officer or other employee or stockholder of the Company to us or our stockholders, any action asserting a claim arising pursuant to any provision of the Delaware General Corporation Law, our amended and restated certificate of incorporation or our amended and restated bylaws or as to which the Delaware General Corporation Law confers jurisdiction on the Court of Chancery of the State of Delaware, or any action asserting a claim governed by the internal affairs doctrine. Our amended and restated certificate of incorporation and our amended and restated bylaws further provide that any person or entity purchasing or otherwise acquiring any interest in shares of our capital stock is deemed to have notice of and consented to the foregoing provision. Although our amended and restated certificate of incorporation and our amended and restated bylaws include these provisions, it is possible that a court could rule that such provisions are inapplicable or unenforceable.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is subject to Section 203 of the Delaware General Corporation Law (“Section 203”), an anti-takeover law. In general, Section 203 prohibits a publicly held Delaware corporation from engaging in a business combination with an interested stockholder for a period of three years following the date such person became an interested stockholder, unless the business combination or the transaction in which such person became an interested stockholder is approved in a prescribed manner. Generally, a “business combination” includes a merger, asset or stock sale, or other transaction resulting in a financial benefit to the interested stockholder. Generally, an “interested stockholder” is a person that, together with affiliates and associates, owns, or within three years prior to the determination of interested stockholder status did own, 15% or more of a corporation’s voting stock. The existence of this provision may have an anti-takeover effect with respect to transactions not approved in advance by the Board, including discouraging attempts that might result in a premium over the market price for the shares of common stock.</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Global Market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symbol “NERV”.</w:t>
      </w:r>
    </w:p>
    <w:p>
      <w:pPr>
        <w:sectPr>
          <w:pgSz w:w="11900" w:h="16838" w:orient="portrait"/>
          <w:cols w:equalWidth="0" w:num="1">
            <w:col w:w="11220"/>
          </w:cols>
          <w:pgMar w:left="320" w:top="301" w:right="35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3"/>
          </w:tcPr>
          <w:p>
            <w:pPr>
              <w:ind w:left="280"/>
              <w:spacing w:after="0"/>
              <w:rPr>
                <w:sz w:val="20"/>
                <w:szCs w:val="20"/>
                <w:color w:val="auto"/>
              </w:rPr>
            </w:pPr>
            <w:r>
              <w:rPr>
                <w:rFonts w:ascii="Arial" w:cs="Arial" w:eastAsia="Arial" w:hAnsi="Arial"/>
                <w:sz w:val="18"/>
                <w:szCs w:val="18"/>
                <w:b w:val="1"/>
                <w:bCs w:val="1"/>
                <w:color w:val="auto"/>
              </w:rPr>
              <w:t>Subsidiaries of Minerva Neurosciences, Inc.</w:t>
            </w:r>
          </w:p>
        </w:tc>
      </w:tr>
      <w:tr>
        <w:trPr>
          <w:trHeight w:val="432"/>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9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tcBorders>
              <w:bottom w:val="single" w:sz="8" w:color="auto"/>
            </w:tcBorders>
          </w:tcPr>
          <w:p>
            <w:pPr>
              <w:ind w:left="1120"/>
              <w:spacing w:after="0"/>
              <w:rPr>
                <w:sz w:val="20"/>
                <w:szCs w:val="20"/>
                <w:color w:val="auto"/>
              </w:rPr>
            </w:pPr>
            <w:r>
              <w:rPr>
                <w:rFonts w:ascii="Arial" w:cs="Arial" w:eastAsia="Arial" w:hAnsi="Arial"/>
                <w:sz w:val="18"/>
                <w:szCs w:val="18"/>
                <w:b w:val="1"/>
                <w:bCs w:val="1"/>
                <w:color w:val="auto"/>
              </w:rPr>
              <w:t>Jurisdiction of Incorporation</w:t>
            </w: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Mind-NRG Sarl</w:t>
            </w:r>
          </w:p>
        </w:tc>
        <w:tc>
          <w:tcPr>
            <w:tcW w:w="1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Switzerland</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8"/>
              </w:rPr>
              <w:t>Minerva Neurosciences Securities Corporation</w:t>
            </w:r>
          </w:p>
        </w:tc>
        <w:tc>
          <w:tcPr>
            <w:tcW w:w="1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Massachusetts</w:t>
            </w:r>
          </w:p>
        </w:tc>
      </w:tr>
    </w:tbl>
    <w:p>
      <w:pPr>
        <w:sectPr>
          <w:pgSz w:w="11900" w:h="16838" w:orient="portrait"/>
          <w:cols w:equalWidth="0" w:num="1">
            <w:col w:w="11240"/>
          </w:cols>
          <w:pgMar w:left="320" w:top="12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We consent to the incorporation by reference in Registration Statement Nos. 333-205764 and 333-226783 on Form S-3 and Nos. 333-242460, 333-225672, 333-223593, 333-222368, 333-216637, 333-210147, 333-203738, and 333-198753 on Form S-8 of our report dated March 1, 2022, relating to the consolidated financial statements of Minerva Neurosciences, Inc. appearing in this Annual Report on Form 10-K for the year ended December 31,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2022</w:t>
      </w:r>
    </w:p>
    <w:p>
      <w:pPr>
        <w:sectPr>
          <w:pgSz w:w="11900" w:h="16838" w:orient="portrait"/>
          <w:cols w:equalWidth="0" w:num="1">
            <w:col w:w="11240"/>
          </w:cols>
          <w:pgMar w:left="320" w:top="337"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Remy Luthringer, certify that:</w:t>
      </w:r>
    </w:p>
    <w:p>
      <w:pPr>
        <w:spacing w:after="0" w:line="117"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140"/>
        <w:spacing w:after="0"/>
        <w:rPr>
          <w:sz w:val="20"/>
          <w:szCs w:val="20"/>
          <w:color w:val="auto"/>
        </w:rPr>
      </w:pPr>
      <w:r>
        <w:rPr>
          <w:rFonts w:ascii="Arial" w:cs="Arial" w:eastAsia="Arial" w:hAnsi="Arial"/>
          <w:sz w:val="18"/>
          <w:szCs w:val="18"/>
          <w:color w:val="auto"/>
        </w:rPr>
        <w:t>Remy Luthringer, Ph.D.</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37"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Frederick Ahlholm, certify that:</w:t>
      </w:r>
    </w:p>
    <w:p>
      <w:pPr>
        <w:spacing w:after="0" w:line="117"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Minerva Neurosciences, Inc.;</w:t>
      </w:r>
    </w:p>
    <w:p>
      <w:pPr>
        <w:spacing w:after="0" w:line="117"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500" w:right="260" w:hanging="492"/>
        <w:spacing w:after="0" w:line="263" w:lineRule="auto"/>
        <w:tabs>
          <w:tab w:leader="none" w:pos="5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00" w:right="34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500" w:right="220" w:hanging="492"/>
        <w:spacing w:after="0" w:line="342" w:lineRule="auto"/>
        <w:tabs>
          <w:tab w:leader="none" w:pos="5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000" w:right="740" w:hanging="493"/>
        <w:spacing w:after="0" w:line="342" w:lineRule="auto"/>
        <w:tabs>
          <w:tab w:leader="none" w:pos="10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60" w:hanging="493"/>
        <w:spacing w:after="0" w:line="277" w:lineRule="auto"/>
        <w:tabs>
          <w:tab w:leader="none" w:pos="10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Frederick Ahlholm</w:t>
      </w:r>
    </w:p>
    <w:p>
      <w:pPr>
        <w:spacing w:after="0" w:line="23"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337" w:right="339" w:bottom="1440" w:gutter="0" w:footer="0" w:header="0"/>
        </w:sectPr>
      </w:pPr>
    </w:p>
    <w:bookmarkStart w:id="103" w:name="page104"/>
    <w:bookmarkEnd w:id="103"/>
    <w:p>
      <w:pPr>
        <w:ind w:left="10320"/>
        <w:spacing w:after="0"/>
        <w:rPr>
          <w:sz w:val="20"/>
          <w:szCs w:val="20"/>
          <w:color w:val="auto"/>
        </w:rPr>
      </w:pPr>
      <w:r>
        <w:rPr>
          <w:rFonts w:ascii="Arial" w:cs="Arial" w:eastAsia="Arial" w:hAnsi="Arial"/>
          <w:sz w:val="16"/>
          <w:szCs w:val="16"/>
          <w:b w:val="1"/>
          <w:bCs w:val="1"/>
          <w:color w:val="auto"/>
        </w:rPr>
        <w:t>Exhibit 32.1</w:t>
      </w:r>
    </w:p>
    <w:p>
      <w:pPr>
        <w:spacing w:after="0" w:line="252"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color w:val="auto"/>
        </w:rPr>
        <w:t>CERTIFICATIONS PURSUANT TO 18 U.S.C. SECTION 1350 AS ADOPTED PURSUANT TO SECTION 906 OF THE SARBANES-OXLEY ACT OF 2002</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requirement set forth in Rule 13a-14(b) of the Securities Exchange Act of 1934, as amended (the “Exchange Act”), and Section 1350 of Chapter 63 of Title 18 of the United States Code (18 U.S.C. §1350), Remy Luthringer</w:t>
      </w:r>
      <w:r>
        <w:rPr>
          <w:rFonts w:ascii="Arial" w:cs="Arial" w:eastAsia="Arial" w:hAnsi="Arial"/>
          <w:sz w:val="17"/>
          <w:szCs w:val="17"/>
          <w:b w:val="1"/>
          <w:bCs w:val="1"/>
          <w:color w:val="auto"/>
        </w:rPr>
        <w:t>,</w:t>
      </w:r>
      <w:r>
        <w:rPr>
          <w:rFonts w:ascii="Arial" w:cs="Arial" w:eastAsia="Arial" w:hAnsi="Arial"/>
          <w:sz w:val="17"/>
          <w:szCs w:val="17"/>
          <w:color w:val="auto"/>
        </w:rPr>
        <w:t xml:space="preserve"> Chief Executive Officer of Minerva Neurosciences, Inc. (the “Company”), and Frederick Ahlholm, Chief Financial Officer of the Company, each hereby certifies that, to the best of his knowledge:</w:t>
      </w:r>
    </w:p>
    <w:p>
      <w:pPr>
        <w:spacing w:after="0" w:line="57" w:lineRule="exact"/>
        <w:rPr>
          <w:sz w:val="20"/>
          <w:szCs w:val="20"/>
          <w:color w:val="auto"/>
        </w:rPr>
      </w:pPr>
    </w:p>
    <w:p>
      <w:pPr>
        <w:ind w:left="500" w:hanging="492"/>
        <w:spacing w:after="0" w:line="277" w:lineRule="auto"/>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Company’s Annual Report on Form 10-K for the period ended December 31, 2021, to which this Certification is attached as Exhibit 32.1 (the “Annual Report”) fully complies with the requirements of Section 13(a) or Section 15(d) of the Exchange Act, and</w:t>
      </w:r>
    </w:p>
    <w:p>
      <w:pPr>
        <w:spacing w:after="0" w:line="62" w:lineRule="exact"/>
        <w:rPr>
          <w:rFonts w:ascii="Arial" w:cs="Arial" w:eastAsia="Arial" w:hAnsi="Arial"/>
          <w:sz w:val="18"/>
          <w:szCs w:val="18"/>
          <w:b w:val="1"/>
          <w:bCs w:val="1"/>
          <w:color w:val="auto"/>
        </w:rPr>
      </w:pPr>
    </w:p>
    <w:p>
      <w:pPr>
        <w:ind w:left="500" w:hanging="492"/>
        <w:spacing w:after="0" w:line="277" w:lineRule="auto"/>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2"/>
              </w:rPr>
              <w:t>/s/ Remy Luthringer, Ph.D.</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/s/ Frederick Ahlholm</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Remy Luthringer, Ph.D.</w:t>
            </w:r>
          </w:p>
        </w:tc>
        <w:tc>
          <w:tcPr>
            <w:tcW w:w="1120" w:type="dxa"/>
            <w:vAlign w:val="bottom"/>
          </w:tcPr>
          <w:p>
            <w:pPr>
              <w:spacing w:after="0"/>
              <w:rPr>
                <w:sz w:val="16"/>
                <w:szCs w:val="16"/>
                <w:color w:val="auto"/>
              </w:rPr>
            </w:pPr>
          </w:p>
        </w:tc>
        <w:tc>
          <w:tcPr>
            <w:tcW w:w="5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Frederick Ahlholm</w:t>
            </w:r>
          </w:p>
        </w:tc>
      </w:tr>
      <w:tr>
        <w:trPr>
          <w:trHeight w:val="216"/>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89"/>
              </w:rPr>
              <w:t>Executive Chairman and</w:t>
            </w:r>
          </w:p>
        </w:tc>
        <w:tc>
          <w:tcPr>
            <w:tcW w:w="50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30"/>
        </w:trPr>
        <w:tc>
          <w:tcPr>
            <w:tcW w:w="6200" w:type="dxa"/>
            <w:vAlign w:val="bottom"/>
            <w:gridSpan w:val="2"/>
          </w:tcPr>
          <w:p>
            <w:pPr>
              <w:jc w:val="center"/>
              <w:ind w:right="1120"/>
              <w:spacing w:after="0"/>
              <w:rPr>
                <w:sz w:val="20"/>
                <w:szCs w:val="20"/>
                <w:color w:val="auto"/>
              </w:rPr>
            </w:pPr>
            <w:r>
              <w:rPr>
                <w:rFonts w:ascii="Arial" w:cs="Arial" w:eastAsia="Arial" w:hAnsi="Arial"/>
                <w:sz w:val="18"/>
                <w:szCs w:val="18"/>
                <w:color w:val="auto"/>
                <w:w w:val="93"/>
              </w:rPr>
              <w:t>Chief Executive Officer</w:t>
            </w:r>
          </w:p>
        </w:tc>
        <w:tc>
          <w:tcPr>
            <w:tcW w:w="50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decimal"/>
      <w:start w:val="2"/>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1)"/>
      <w:numFmt w:val="decimal"/>
      <w:start w:val="1"/>
    </w:lvl>
  </w:abstractNum>
  <w:abstractNum w:abstractNumId="36">
    <w:nsid w:val="3855585C"/>
    <w:multiLevelType w:val="hybridMultilevel"/>
    <w:lvl w:ilvl="0">
      <w:lvlJc w:val="left"/>
      <w:lvlText w:val="•"/>
      <w:numFmt w:val="bullet"/>
      <w:start w:val="1"/>
    </w:lvl>
    <w:lvl w:ilvl="1">
      <w:lvlJc w:val="left"/>
      <w:lvlText w:val="\endash "/>
      <w:numFmt w:val="bullet"/>
      <w:start w:val="1"/>
    </w:lvl>
    <w:lvl w:ilvl="2">
      <w:lvlJc w:val="left"/>
      <w:lvlText w:val="▪"/>
      <w:numFmt w:val="bullet"/>
      <w:start w:val="1"/>
    </w:lvl>
  </w:abstractNum>
  <w:abstractNum w:abstractNumId="37">
    <w:nsid w:val="70A64E2A"/>
    <w:multiLevelType w:val="hybridMultilevel"/>
    <w:lvl w:ilvl="0">
      <w:lvlJc w:val="left"/>
      <w:lvlText w:val="•"/>
      <w:numFmt w:val="bullet"/>
      <w:start w:val="1"/>
    </w:lvl>
    <w:lvl w:ilvl="1">
      <w:lvlJc w:val="left"/>
      <w:lvlText w:val="\endash "/>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30" Type="http://schemas.openxmlformats.org/officeDocument/2006/relationships/image" Target="media/image107.png"/><Relationship Id="rId131" Type="http://schemas.openxmlformats.org/officeDocument/2006/relationships/image" Target="media/image108.png"/><Relationship Id="rId150" Type="http://schemas.openxmlformats.org/officeDocument/2006/relationships/image" Target="media/image109.png"/><Relationship Id="rId171" Type="http://schemas.openxmlformats.org/officeDocument/2006/relationships/image" Target="media/image110.png"/><Relationship Id="rId179" Type="http://schemas.openxmlformats.org/officeDocument/2006/relationships/image" Target="media/image111.png"/><Relationship Id="rId180" Type="http://schemas.openxmlformats.org/officeDocument/2006/relationships/image" Target="media/image112.png"/><Relationship Id="rId181" Type="http://schemas.openxmlformats.org/officeDocument/2006/relationships/image" Target="media/image113.png"/><Relationship Id="rId182" Type="http://schemas.openxmlformats.org/officeDocument/2006/relationships/image" Target="media/image114.png"/><Relationship Id="rId183" Type="http://schemas.openxmlformats.org/officeDocument/2006/relationships/image" Target="media/image115.png"/><Relationship Id="rId184" Type="http://schemas.openxmlformats.org/officeDocument/2006/relationships/image" Target="media/image116.png"/><Relationship Id="rId185" Type="http://schemas.openxmlformats.org/officeDocument/2006/relationships/image" Target="media/image117.png"/><Relationship Id="rId114" Type="http://schemas.openxmlformats.org/officeDocument/2006/relationships/hyperlink" Target="http://www.sec.gov/Archives/edgar/data/0001598646/000104746914003612/a2219290zex-10_11.htm" TargetMode="External"/><Relationship Id="rId115" Type="http://schemas.openxmlformats.org/officeDocument/2006/relationships/hyperlink" Target="http://www.sec.gov/Archives/edgar/data/0001598646/000104746914005459/a2219972zex-3_3.htm" TargetMode="External"/><Relationship Id="rId116" Type="http://schemas.openxmlformats.org/officeDocument/2006/relationships/hyperlink" Target="http://www.sec.gov/Archives/edgar/data/0001598646/000104746914005459/a2219972zex-3_1.htm" TargetMode="External"/><Relationship Id="rId117" Type="http://schemas.openxmlformats.org/officeDocument/2006/relationships/hyperlink" Target="http://www.sec.gov/Archives/edgar/data/0001598646/000156459019039496/nerv-ex32_112.htm" TargetMode="External"/><Relationship Id="rId118" Type="http://schemas.openxmlformats.org/officeDocument/2006/relationships/hyperlink" Target="http://www.sec.gov/Archives/edgar/data/0001598646/000104746914005459/a2219972zex-4_1.htm" TargetMode="External"/><Relationship Id="rId119" Type="http://schemas.openxmlformats.org/officeDocument/2006/relationships/hyperlink" Target="http://www.sec.gov/Archives/edgar/data/0001598646/000104746914005459/a2219972zex-4_2.htm" TargetMode="External"/><Relationship Id="rId120" Type="http://schemas.openxmlformats.org/officeDocument/2006/relationships/hyperlink" Target="http://www.sec.gov/Archives/edgar/data/0001598646/000104746914005459/a2219972zex-4_3.htm" TargetMode="External"/><Relationship Id="rId121" Type="http://schemas.openxmlformats.org/officeDocument/2006/relationships/hyperlink" Target="http://www.sec.gov/Archives/edgar/data/0001598646/000104746914003612/a2219290zex-10_13.htm" TargetMode="External"/><Relationship Id="rId122" Type="http://schemas.openxmlformats.org/officeDocument/2006/relationships/hyperlink" Target="http://www.sec.gov/Archives/edgar/data/0001598646/000104746914003612/a2219290zex-10_14.htm" TargetMode="External"/><Relationship Id="rId123" Type="http://schemas.openxmlformats.org/officeDocument/2006/relationships/hyperlink" Target="http://www.sec.gov/Archives/edgar/data/0001598646/000104746914005459/a2219972zex-10_26.htm" TargetMode="External"/><Relationship Id="rId124" Type="http://schemas.openxmlformats.org/officeDocument/2006/relationships/hyperlink" Target="http://www.sec.gov/Archives/edgar/data/0001598646/000104746914005459/a2219972zex-10_27.htm" TargetMode="External"/><Relationship Id="rId125" Type="http://schemas.openxmlformats.org/officeDocument/2006/relationships/hyperlink" Target="http://www.sec.gov/Archives/edgar/data/0001598646/000104746914003612/a2219290zex-10_19.htm" TargetMode="External"/><Relationship Id="rId126" Type="http://schemas.openxmlformats.org/officeDocument/2006/relationships/hyperlink" Target="http://www.sec.gov/Archives/edgar/data/0001598646/000104746914003612/a2219290zex-10_20.htm" TargetMode="External"/><Relationship Id="rId127" Type="http://schemas.openxmlformats.org/officeDocument/2006/relationships/hyperlink" Target="http://www.sec.gov/Archives/edgar/data/0001598646/000104746914003612/a2219290zex-10_22.htm" TargetMode="External"/><Relationship Id="rId128" Type="http://schemas.openxmlformats.org/officeDocument/2006/relationships/hyperlink" Target="http://www.sec.gov/Archives/edgar/data/0001598646/000104746914003612/a2219290zex-10_23.htm" TargetMode="External"/><Relationship Id="rId129" Type="http://schemas.openxmlformats.org/officeDocument/2006/relationships/hyperlink" Target="http://www.sec.gov/Archives/edgar/data/0001598646/000104746914005459/a2219972zex-10_1.htm" TargetMode="External"/><Relationship Id="rId132" Type="http://schemas.openxmlformats.org/officeDocument/2006/relationships/hyperlink" Target="http://www.sec.gov/Archives/edgar/data/0001598646/000104746914005459/a2219972zex-10_2.htm" TargetMode="External"/><Relationship Id="rId133" Type="http://schemas.openxmlformats.org/officeDocument/2006/relationships/hyperlink" Target="http://www.sec.gov/Archives/edgar/data/0001598646/000104746914005459/a2219972zex-10_3.htm" TargetMode="External"/><Relationship Id="rId134" Type="http://schemas.openxmlformats.org/officeDocument/2006/relationships/hyperlink" Target="http://www.sec.gov/Archives/edgar/data/0001598646/000104746914005459/a2219972zex-10_4.htm" TargetMode="External"/><Relationship Id="rId135" Type="http://schemas.openxmlformats.org/officeDocument/2006/relationships/hyperlink" Target="http://www.sec.gov/Archives/edgar/data/0001598646/000104746914005459/a2219972zex-10_5.htm" TargetMode="External"/><Relationship Id="rId136" Type="http://schemas.openxmlformats.org/officeDocument/2006/relationships/hyperlink" Target="http://www.sec.gov/Archives/edgar/data/0001598646/000104746914005459/a2219972zex-10_6.htm" TargetMode="External"/><Relationship Id="rId137" Type="http://schemas.openxmlformats.org/officeDocument/2006/relationships/hyperlink" Target="http://www.sec.gov/Archives/edgar/data/0001598646/000104746914005459/a2219972zex-10_7.htm" TargetMode="External"/><Relationship Id="rId138" Type="http://schemas.openxmlformats.org/officeDocument/2006/relationships/hyperlink" Target="http://www.sec.gov/Archives/edgar/data/0001598646/000104746914005459/a2219972zex-10_9.htm" TargetMode="External"/><Relationship Id="rId139" Type="http://schemas.openxmlformats.org/officeDocument/2006/relationships/hyperlink" Target="http://www.sec.gov/Archives/edgar/data/1598646/000119312518189474/d588176dex991.htm" TargetMode="External"/><Relationship Id="rId140" Type="http://schemas.openxmlformats.org/officeDocument/2006/relationships/hyperlink" Target="http://www.sec.gov/Archives/edgar/data/0001598646/000119312515096955/d890084dex101.htm" TargetMode="External"/><Relationship Id="rId141" Type="http://schemas.openxmlformats.org/officeDocument/2006/relationships/hyperlink" Target="http://www.sec.gov/Archives/edgar/data/0001598646/000119312515096955/d890084dex103.htm" TargetMode="External"/><Relationship Id="rId142" Type="http://schemas.openxmlformats.org/officeDocument/2006/relationships/hyperlink" Target="http://www.sec.gov/Archives/edgar/data/0001598646/000156459015003491/nerv-ex105_20150331184.htm" TargetMode="External"/><Relationship Id="rId143" Type="http://schemas.openxmlformats.org/officeDocument/2006/relationships/hyperlink" Target="http://www.sec.gov/Archives/edgar/data/1598646/000156459018018659/nerv-ex102_88.htm" TargetMode="External"/><Relationship Id="rId144" Type="http://schemas.openxmlformats.org/officeDocument/2006/relationships/hyperlink" Target="http://www.sec.gov/Archives/edgar/data/0001598646/000156459015009483/nerv-ex102_99.htm" TargetMode="External"/><Relationship Id="rId145" Type="http://schemas.openxmlformats.org/officeDocument/2006/relationships/hyperlink" Target="http://www.sec.gov/Archives/edgar/data/0001598646/000119312516509484/d137820dex101.htm" TargetMode="External"/><Relationship Id="rId146" Type="http://schemas.openxmlformats.org/officeDocument/2006/relationships/hyperlink" Target="http://www.sec.gov/Archives/edgar/data/0001598646/000156459016022499/nerv-ex101_183.htm" TargetMode="External"/><Relationship Id="rId147" Type="http://schemas.openxmlformats.org/officeDocument/2006/relationships/hyperlink" Target="http://www.sec.gov/Archives/edgar/data/0001598646/000156459016022499/nerv-ex102_182.htm" TargetMode="External"/><Relationship Id="rId148" Type="http://schemas.openxmlformats.org/officeDocument/2006/relationships/hyperlink" Target="http://www.sec.gov/Archives/edgar/data/0001598646/000156459016022499/nerv-ex103_181.htm" TargetMode="External"/><Relationship Id="rId149" Type="http://schemas.openxmlformats.org/officeDocument/2006/relationships/hyperlink" Target="http://www.sec.gov/Archives/edgar/data/0001598646/000156459016022499/nerv-ex104_179.htm" TargetMode="External"/><Relationship Id="rId151" Type="http://schemas.openxmlformats.org/officeDocument/2006/relationships/hyperlink" Target="http://www.sec.gov/Archives/edgar/data/0001598646/000156459016022499/nerv-ex105_180.htm" TargetMode="External"/><Relationship Id="rId152" Type="http://schemas.openxmlformats.org/officeDocument/2006/relationships/hyperlink" Target="http://www.sec.gov/Archives/edgar/data/0001598646/000119312516795845/d306566dex1001.htm" TargetMode="External"/><Relationship Id="rId153" Type="http://schemas.openxmlformats.org/officeDocument/2006/relationships/hyperlink" Target="http://www.sec.gov/Archives/edgar/data/0001598646/000156459017004048/nerv-ex1036_286.htm" TargetMode="External"/><Relationship Id="rId154" Type="http://schemas.openxmlformats.org/officeDocument/2006/relationships/hyperlink" Target="http://www.sec.gov/Archives/edgar/data/1598646/000119312517305938/d341528dex101.htm" TargetMode="External"/><Relationship Id="rId155" Type="http://schemas.openxmlformats.org/officeDocument/2006/relationships/hyperlink" Target="http://www.sec.gov/Archives/edgar/data/1598646/000119312517203538/d413527dex101.htm" TargetMode="External"/><Relationship Id="rId156" Type="http://schemas.openxmlformats.org/officeDocument/2006/relationships/hyperlink" Target="http://www.sec.gov/Archives/edgar/data/1598646/000119312517203538/d413527dex102.htm" TargetMode="External"/><Relationship Id="rId157" Type="http://schemas.openxmlformats.org/officeDocument/2006/relationships/hyperlink" Target="http://www.sec.gov/Archives/edgar/data/1598646/000119312517366344/d508860dex101.htm" TargetMode="External"/><Relationship Id="rId158" Type="http://schemas.openxmlformats.org/officeDocument/2006/relationships/hyperlink" Target="http://www.sec.gov/Archives/edgar/data/1598646/000119312517366344/d508860dex102.htm" TargetMode="External"/><Relationship Id="rId159" Type="http://schemas.openxmlformats.org/officeDocument/2006/relationships/hyperlink" Target="http://www.sec.gov/Archives/edgar/data/1598646/000119312517366344/d508860dex103.htm" TargetMode="External"/><Relationship Id="rId160" Type="http://schemas.openxmlformats.org/officeDocument/2006/relationships/hyperlink" Target="http://www.sec.gov/Archives/edgar/data/0001598646/000156459019039496/nerv-ex101_58.htm" TargetMode="External"/><Relationship Id="rId161" Type="http://schemas.openxmlformats.org/officeDocument/2006/relationships/hyperlink" Target="http://www.sec.gov/Archives/edgar/data/1598646/000119312518246082/d602457dex12.htm" TargetMode="External"/><Relationship Id="rId162" Type="http://schemas.openxmlformats.org/officeDocument/2006/relationships/hyperlink" Target="http://www.sec.gov/Archives/edgar/data/1598646/000156459020035289/nerv-ex102_120.htm" TargetMode="External"/><Relationship Id="rId163" Type="http://schemas.openxmlformats.org/officeDocument/2006/relationships/hyperlink" Target="http://www.sec.gov/Archives/edgar/data/1598646/000156459020035289/nerv-ex103_210.htm" TargetMode="External"/><Relationship Id="rId164" Type="http://schemas.openxmlformats.org/officeDocument/2006/relationships/hyperlink" Target="http://www.sec.gov/Archives/edgar/data/1598646/000156459020049430/nerv-ex101_178.htm" TargetMode="External"/><Relationship Id="rId165" Type="http://schemas.openxmlformats.org/officeDocument/2006/relationships/hyperlink" Target="http://www.sec.gov/Archives/edgar/data/1598646/000156459020049430/nerv-ex102_177.htm" TargetMode="External"/><Relationship Id="rId166" Type="http://schemas.openxmlformats.org/officeDocument/2006/relationships/hyperlink" Target="http://www.sec.gov/Archives/edgar/data/1598646/000156459020049430/nerv-ex103_176.htm" TargetMode="External"/><Relationship Id="rId167" Type="http://schemas.openxmlformats.org/officeDocument/2006/relationships/hyperlink" Target="http://www.sec.gov/Archives/edgar/data/1598646/000156459020049430/nerv-ex104_175.htm" TargetMode="External"/><Relationship Id="rId168" Type="http://schemas.openxmlformats.org/officeDocument/2006/relationships/hyperlink" Target="http://www.sec.gov/Archives/edgar/data/1598646/000156459020049430/nerv-ex105_174.htm" TargetMode="External"/><Relationship Id="rId169" Type="http://schemas.openxmlformats.org/officeDocument/2006/relationships/hyperlink" Target="http://www.sec.gov/Archives/edgar/data/1598646/000156459020049430/nerv-ex106_173.htm" TargetMode="External"/><Relationship Id="rId170" Type="http://schemas.openxmlformats.org/officeDocument/2006/relationships/hyperlink" Target="http://www.sec.gov/Archives/edgar/data/1598646/000156459020049430/nerv-ex107_172.htm" TargetMode="External"/><Relationship Id="rId172" Type="http://schemas.openxmlformats.org/officeDocument/2006/relationships/hyperlink" Target="http://www.sec.gov/Archives/edgar/data/1598646/000156459021011340/nerv-ex1048_189.htm" TargetMode="External"/><Relationship Id="rId173" Type="http://schemas.openxmlformats.org/officeDocument/2006/relationships/hyperlink" Target="http://www.sec.gov/Archives/edgar/data/1598646/000156459021026731/nerv-ex101_185.htm" TargetMode="External"/><Relationship Id="rId174" Type="http://schemas.openxmlformats.org/officeDocument/2006/relationships/hyperlink" Target="http://www.sec.gov/Archives/edgar/data/1598646/000156459021026731/nerv-ex102_184.htm" TargetMode="External"/><Relationship Id="rId175" Type="http://schemas.openxmlformats.org/officeDocument/2006/relationships/hyperlink" Target="http://www.sec.gov/Archives/edgar/data/1598646/000156459021026731/nerv-ex103_183.htm" TargetMode="External"/><Relationship Id="rId176" Type="http://schemas.openxmlformats.org/officeDocument/2006/relationships/hyperlink" Target="http://www.sec.gov/Archives/edgar/data/1598646/000119312521267364/d196078dex101.htm" TargetMode="External"/><Relationship Id="rId177" Type="http://schemas.openxmlformats.org/officeDocument/2006/relationships/hyperlink" Target="http://www.sec.gov/Archives/edgar/data/1598646/000119312521296143/d236669dex101.htm" TargetMode="External"/><Relationship Id="rId178" Type="http://schemas.openxmlformats.org/officeDocument/2006/relationships/hyperlink" Target="http://www.sec.gov/Archives/edgar/data/1598646/000119312521296143/d236669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2022-03-01T11:09:34Z</dcterms:created>
  <dcterms:modified xsi:type="dcterms:W3CDTF">2022-03-01T11:09:34Z</dcterms:modified>
</cp:coreProperties>
</file>