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226" w:type="dxa"/>
        <w:jc w:val="left"/>
        <w:tblInd w:w="0" w:type="dxa"/>
        <w:tblLayout w:type="fixed"/>
        <w:tblCellMar>
          <w:top w:w="28" w:type="dxa"/>
          <w:left w:w="28" w:type="dxa"/>
          <w:bottom w:w="28" w:type="dxa"/>
          <w:right w:w="28" w:type="dxa"/>
        </w:tblCellMar>
      </w:tblPr>
      <w:tblGrid>
        <w:gridCol w:w="6226"/>
      </w:tblGrid>
      <w:tr>
        <w:trPr/>
        <w:tc>
          <w:tcPr>
            <w:tcW w:w="622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22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left"/>
              <w:rPr/>
            </w:pPr>
            <w:r>
              <w:rPr/>
              <w:t xml:space="preserve">UNDER THE SECURITIES EXCHANGE ACT OF 1934 </w:t>
            </w:r>
          </w:p>
        </w:tc>
      </w:tr>
      <w:tr>
        <w:trPr/>
        <w:tc>
          <w:tcPr>
            <w:tcW w:w="622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Minerva Neurosciences,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Common Stock, $0.0001 par value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22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item1to9"/>
      <w:bookmarkStart w:id="115" w:name="item1to9"/>
      <w:bookmarkEnd w:id="115"/>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Minerva Neurosciences,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District Avenue, Burlington, MA 01803</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the Shares that the Farallon Funds currently have the right to acquire upon the conversion of Series A Preferred Stock acquirable upon the exercise of Preferred Tranche A Warrants (each, as defined in Item 4); and (ii) The following persons, each of whom is a managing member or senior managing member, as the case may be, of the Investment Manager, with respect to the Shares held by the Farallon Funds and the Shares that the Farallon Funds currently have the right to acquire upon the conversion of Series A Preferred Stock acquirable upon the exercise of Preferred Tranche A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securities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and (viii) Farallon Capital F5 Master I, L.P., a Cayman Islands exempted limited partnership ("F5MI"). FCP, FCIP, FCIP II, FCIP III, FCIP V, FCOI II, FCAMI and F5MI are together referred to herein as the "Farallon Funds." As of the date requiring the filing of this statement, the Farallon Funds hold an aggregate of: (i) 2,365,000 Shares; and (ii) 5,000 Tranche A warrants (the "Preferred Tranche A Warrants"), each of which is exercisable to purchase one share of Series A convertible voting preferred stock (the "Series A Preferred Stock"). Each share of Series A Preferred Stock is convertible at the holder's option, subject to the Beneficial Ownership Limitation (as defined below), into 473 Shares. The terms of the Series A Preferred Stock provide that Series A Preferred Stock may not be converted to the extent that, after giving effect to such conversion, the Reporting Persons would beneficially own, as determined in accordance with Section 13(d) of the Securities Exchange Act of 1934, as amended, more than 9.99% of the Shares then issued and outstanding (the "Beneficial Ownership Limitation"). As of the date requiring the filing of this statement, the Beneficial Ownership Limitation does not prevent the Farallon Funds from acquiring any Series A Preferred Stock upon the exercise of Preferred Tranche A Warrants or from converting any such shares of Series A Preferred Stock into Shares. Accordingly, in providing the beneficial ownership information set forth herein, the Reporting Persons have assumed that all of the aggregate 5,000 shares of Series A Preferred Stock acquirable by the Farallon Funds upon the exercise of Preferred Tranche A Warrants are convertible within 60 days of the date hereof and therefore confer beneficial ownership of the underlying Shares.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certifications"/>
      <w:bookmarkStart w:id="117" w:name="certifications"/>
      <w:bookmarkEnd w:id="1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signatureInfo"/>
      <w:bookmarkStart w:id="119" w:name="signatureInfo"/>
      <w:bookmarkEnd w:id="1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and Farallon F5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0" w:name="jas.htm"/>
      <w:bookmarkStart w:id="121" w:name="ksjas"/>
      <w:bookmarkEnd w:id="120"/>
      <w:bookmarkEnd w:id="121"/>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Dated: August 13, 2026</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5400</Words>
  <Characters>27966</Characters>
  <CharactersWithSpaces>32848</CharactersWithSpaces>
  <Paragraphs>1379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