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22348d8k.htm"/>
      <w:bookmarkStart w:id="1" w:name="ksd22348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60" w:after="0"/>
        <w:jc w:val="center"/>
        <w:rPr>
          <w:rFonts w:ascii="Times New Roman" w:hAnsi="Times New Roman"/>
          <w:b/>
          <w:sz w:val="24"/>
        </w:rPr>
      </w:pPr>
      <w:r>
        <w:rPr>
          <w:rFonts w:ascii="Times New Roman" w:hAnsi="Times New Roman"/>
          <w:b/>
          <w:sz w:val="24"/>
        </w:rPr>
        <w:t>Date of Report (Date of earliest event reported): August 7,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48"/>
        </w:rPr>
      </w:pPr>
      <w:r>
        <w:rPr>
          <w:rFonts w:ascii="Times New Roman" w:hAnsi="Times New Roman"/>
          <w:b/>
          <w:sz w:val="48"/>
        </w:rPr>
        <w:t>Minerva Neurosciences,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6105" w:type="dxa"/>
        <w:jc w:val="left"/>
        <w:tblInd w:w="0" w:type="dxa"/>
        <w:tblLayout w:type="fixed"/>
        <w:tblCellMar>
          <w:top w:w="0" w:type="dxa"/>
          <w:left w:w="0" w:type="dxa"/>
          <w:bottom w:w="0" w:type="dxa"/>
          <w:right w:w="0" w:type="dxa"/>
        </w:tblCellMar>
      </w:tblPr>
      <w:tblGrid>
        <w:gridCol w:w="2720"/>
        <w:gridCol w:w="60"/>
        <w:gridCol w:w="1385"/>
        <w:gridCol w:w="60"/>
        <w:gridCol w:w="1880"/>
      </w:tblGrid>
      <w:tr>
        <w:trPr/>
        <w:tc>
          <w:tcPr>
            <w:tcW w:w="27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r>
      <w:tr>
        <w:trPr/>
        <w:tc>
          <w:tcPr>
            <w:tcW w:w="272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b/>
              </w:rPr>
            </w:pPr>
            <w:r>
              <w:rPr>
                <w:b/>
              </w:rPr>
              <w:t>000-36517</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26-0784194</w:t>
            </w:r>
          </w:p>
        </w:tc>
      </w:tr>
      <w:tr>
        <w:trPr/>
        <w:tc>
          <w:tcPr>
            <w:tcW w:w="2720" w:type="dxa"/>
            <w:tcBorders/>
            <w:vAlign w:val="center"/>
          </w:tcPr>
          <w:p>
            <w:pPr>
              <w:pStyle w:val="TableContents"/>
              <w:bidi w:val="0"/>
              <w:spacing w:before="0" w:after="283"/>
              <w:jc w:val="center"/>
              <w:rPr>
                <w:b/>
              </w:rPr>
            </w:pPr>
            <w:r>
              <w:rPr>
                <w:b/>
              </w:rPr>
              <w:t>(State or other jurisdiction</w:t>
              <w:br/>
              <w:t>of incorporation)</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b/>
              </w:rPr>
            </w:pPr>
            <w:r>
              <w:rPr>
                <w:b/>
              </w:rPr>
              <w:t>(Commission</w:t>
              <w:br/>
              <w:t>File Number)</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(IRS Employer</w:t>
              <w:br/>
              <w:t>Identification No.)</w:t>
            </w:r>
          </w:p>
        </w:tc>
      </w:tr>
    </w:tbl>
    <w:p>
      <w:pPr>
        <w:pStyle w:val="TextBody"/>
        <w:bidi w:val="0"/>
        <w:spacing w:before="160" w:after="0"/>
        <w:jc w:val="center"/>
        <w:rPr>
          <w:rFonts w:ascii="Times New Roman" w:hAnsi="Times New Roman"/>
          <w:b/>
          <w:sz w:val="20"/>
        </w:rPr>
      </w:pPr>
      <w:r>
        <w:rPr>
          <w:rFonts w:ascii="Times New Roman" w:hAnsi="Times New Roman"/>
          <w:b/>
          <w:sz w:val="20"/>
        </w:rPr>
        <w:t>1500 District Avenue, Burlington, MA 01803</w:t>
      </w:r>
    </w:p>
    <w:p>
      <w:pPr>
        <w:pStyle w:val="TextBody"/>
        <w:bidi w:val="0"/>
        <w:spacing w:before="0" w:after="0"/>
        <w:jc w:val="center"/>
        <w:rPr>
          <w:rFonts w:ascii="Times New Roman" w:hAnsi="Times New Roman"/>
          <w:b/>
          <w:sz w:val="16"/>
        </w:rPr>
      </w:pPr>
      <w:r>
        <w:rPr>
          <w:rFonts w:ascii="Times New Roman" w:hAnsi="Times New Roman"/>
          <w:b/>
          <w:sz w:val="16"/>
        </w:rPr>
        <w:t>(Address of principal executive offices) (Zip Code)</w:t>
      </w:r>
    </w:p>
    <w:p>
      <w:pPr>
        <w:pStyle w:val="TextBody"/>
        <w:bidi w:val="0"/>
        <w:spacing w:before="160" w:after="0"/>
        <w:jc w:val="center"/>
        <w:rPr>
          <w:rFonts w:ascii="Times New Roman" w:hAnsi="Times New Roman"/>
          <w:b/>
          <w:sz w:val="20"/>
        </w:rPr>
      </w:pPr>
      <w:r>
        <w:rPr>
          <w:rFonts w:ascii="Times New Roman" w:hAnsi="Times New Roman"/>
          <w:b/>
          <w:sz w:val="20"/>
        </w:rPr>
        <w:t>(617) 600-7373</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16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6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7845" w:type="dxa"/>
        <w:jc w:val="left"/>
        <w:tblInd w:w="0" w:type="dxa"/>
        <w:tblLayout w:type="fixed"/>
        <w:tblCellMar>
          <w:top w:w="0" w:type="dxa"/>
          <w:left w:w="0" w:type="dxa"/>
          <w:bottom w:w="0" w:type="dxa"/>
          <w:right w:w="0" w:type="dxa"/>
        </w:tblCellMar>
      </w:tblPr>
      <w:tblGrid>
        <w:gridCol w:w="4265"/>
        <w:gridCol w:w="60"/>
        <w:gridCol w:w="740"/>
        <w:gridCol w:w="60"/>
        <w:gridCol w:w="2720"/>
      </w:tblGrid>
      <w:tr>
        <w:trPr/>
        <w:tc>
          <w:tcPr>
            <w:tcW w:w="42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20" w:type="dxa"/>
            <w:tcBorders/>
            <w:vAlign w:val="center"/>
          </w:tcPr>
          <w:p>
            <w:pPr>
              <w:pStyle w:val="TableContents"/>
              <w:bidi w:val="0"/>
              <w:spacing w:before="0" w:after="283"/>
              <w:jc w:val="left"/>
              <w:rPr>
                <w:sz w:val="4"/>
                <w:szCs w:val="4"/>
              </w:rPr>
            </w:pPr>
            <w:r>
              <w:rPr>
                <w:sz w:val="4"/>
                <w:szCs w:val="4"/>
              </w:rPr>
            </w:r>
          </w:p>
        </w:tc>
      </w:tr>
      <w:tr>
        <w:trPr/>
        <w:tc>
          <w:tcPr>
            <w:tcW w:w="426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272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4265" w:type="dxa"/>
            <w:tcBorders/>
            <w:vAlign w:val="center"/>
          </w:tcPr>
          <w:p>
            <w:pPr>
              <w:pStyle w:val="TableContents"/>
              <w:bidi w:val="0"/>
              <w:spacing w:before="0" w:after="283"/>
              <w:jc w:val="center"/>
              <w:rPr/>
            </w:pPr>
            <w:r>
              <w:rPr/>
              <w:t>Common Stock, $0.0001 par value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NERV</w:t>
            </w:r>
          </w:p>
        </w:tc>
        <w:tc>
          <w:tcPr>
            <w:tcW w:w="60" w:type="dxa"/>
            <w:tcBorders/>
            <w:vAlign w:val="center"/>
          </w:tcPr>
          <w:p>
            <w:pPr>
              <w:pStyle w:val="TableContents"/>
              <w:bidi w:val="0"/>
              <w:spacing w:before="0" w:after="283"/>
              <w:jc w:val="left"/>
              <w:rPr/>
            </w:pPr>
            <w:r>
              <w:rPr/>
              <w:t> </w:t>
            </w:r>
          </w:p>
        </w:tc>
        <w:tc>
          <w:tcPr>
            <w:tcW w:w="2720" w:type="dxa"/>
            <w:tcBorders/>
            <w:vAlign w:val="center"/>
          </w:tcPr>
          <w:p>
            <w:pPr>
              <w:pStyle w:val="TableContents"/>
              <w:bidi w:val="0"/>
              <w:spacing w:before="0" w:after="283"/>
              <w:jc w:val="center"/>
              <w:rPr/>
            </w:pPr>
            <w:r>
              <w:rPr/>
              <w:t xml:space="preserve">The Nasdaq Capital Market </w:t>
            </w:r>
          </w:p>
        </w:tc>
      </w:tr>
    </w:tbl>
    <w:p>
      <w:pPr>
        <w:pStyle w:val="TextBody"/>
        <w:bidi w:val="0"/>
        <w:spacing w:before="16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60" w:after="0"/>
        <w:jc w:val="right"/>
        <w:rPr>
          <w:rFonts w:ascii="Times New Roman" w:hAnsi="Times New Roman"/>
          <w:sz w:val="20"/>
        </w:rPr>
      </w:pPr>
      <w:r>
        <w:rPr>
          <w:rFonts w:ascii="Times New Roman" w:hAnsi="Times New Roman"/>
          <w:sz w:val="20"/>
        </w:rPr>
        <w:t>Emerging growth company ☐</w:t>
      </w:r>
    </w:p>
    <w:p>
      <w:pPr>
        <w:pStyle w:val="TextBody"/>
        <w:bidi w:val="0"/>
        <w:spacing w:before="16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5050" w:type="dxa"/>
        <w:jc w:val="left"/>
        <w:tblInd w:w="0" w:type="dxa"/>
        <w:tblLayout w:type="fixed"/>
        <w:tblCellMar>
          <w:top w:w="0" w:type="dxa"/>
          <w:left w:w="0" w:type="dxa"/>
          <w:bottom w:w="0" w:type="dxa"/>
          <w:right w:w="0" w:type="dxa"/>
        </w:tblCellMar>
      </w:tblPr>
      <w:tblGrid>
        <w:gridCol w:w="1025"/>
        <w:gridCol w:w="4025"/>
      </w:tblGrid>
      <w:tr>
        <w:trPr/>
        <w:tc>
          <w:tcPr>
            <w:tcW w:w="1025" w:type="dxa"/>
            <w:tcBorders/>
            <w:vAlign w:val="center"/>
          </w:tcPr>
          <w:p>
            <w:pPr>
              <w:pStyle w:val="TableContents"/>
              <w:bidi w:val="0"/>
              <w:spacing w:before="0" w:after="283"/>
              <w:jc w:val="left"/>
              <w:rPr>
                <w:b/>
              </w:rPr>
            </w:pPr>
            <w:r>
              <w:rPr>
                <w:b/>
              </w:rPr>
              <w:t>Item 2.02.</w:t>
            </w:r>
          </w:p>
        </w:tc>
        <w:tc>
          <w:tcPr>
            <w:tcW w:w="402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Results of Operations and Financial Condition.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August 7, 2026, Minerva Neurosciences, Inc. (the “Company”) issued a press release regarding its financial results for the quarter ended June 30, 2026. A copy of the press release is furnished as Exhibit 99.1 to this Current Report on Form 8-K.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in Item 2.02 of this Current Report on Form 8-K, including the accompanying Exhibit 99.1, is intended to be furnished and shall not be deemed “filed” for purposes of Section 18 of the Securities Exchange Act of 1934, as amended (the “Exchange Act”), or otherwise subject to the liabilities of that section, nor shall it be deemed incorporated by reference into any filing under the Securities Act of 1933, as amended, or the Exchange Act, except as expressly set forth by specific reference in such filling. </w:t>
      </w:r>
    </w:p>
    <w:p>
      <w:pPr>
        <w:pStyle w:val="TextBody"/>
        <w:bidi w:val="0"/>
        <w:spacing w:before="0" w:after="0"/>
        <w:jc w:val="left"/>
        <w:rPr/>
      </w:pPr>
      <w:r>
        <w:rPr/>
        <w:t> </w:t>
      </w:r>
    </w:p>
    <w:tbl>
      <w:tblPr>
        <w:tblW w:w="4030" w:type="dxa"/>
        <w:jc w:val="left"/>
        <w:tblInd w:w="0" w:type="dxa"/>
        <w:tblLayout w:type="fixed"/>
        <w:tblCellMar>
          <w:top w:w="0" w:type="dxa"/>
          <w:left w:w="0" w:type="dxa"/>
          <w:bottom w:w="0" w:type="dxa"/>
          <w:right w:w="0" w:type="dxa"/>
        </w:tblCellMar>
      </w:tblPr>
      <w:tblGrid>
        <w:gridCol w:w="1025"/>
        <w:gridCol w:w="3005"/>
      </w:tblGrid>
      <w:tr>
        <w:trPr/>
        <w:tc>
          <w:tcPr>
            <w:tcW w:w="102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(d) Exhibits. </w:t>
      </w:r>
    </w:p>
    <w:p>
      <w:pPr>
        <w:pStyle w:val="TextBody"/>
        <w:bidi w:val="0"/>
        <w:spacing w:before="0" w:after="0"/>
        <w:jc w:val="left"/>
        <w:rPr/>
      </w:pPr>
      <w:r>
        <w:rPr/>
        <w:t> </w:t>
      </w:r>
    </w:p>
    <w:tbl>
      <w:tblPr>
        <w:tblW w:w="8425" w:type="dxa"/>
        <w:jc w:val="left"/>
        <w:tblInd w:w="0" w:type="dxa"/>
        <w:tblLayout w:type="fixed"/>
        <w:tblCellMar>
          <w:top w:w="0" w:type="dxa"/>
          <w:left w:w="0" w:type="dxa"/>
          <w:bottom w:w="0" w:type="dxa"/>
          <w:right w:w="0" w:type="dxa"/>
        </w:tblCellMar>
      </w:tblPr>
      <w:tblGrid>
        <w:gridCol w:w="620"/>
        <w:gridCol w:w="120"/>
        <w:gridCol w:w="7685"/>
      </w:tblGrid>
      <w:tr>
        <w:trPr/>
        <w:tc>
          <w:tcPr>
            <w:tcW w:w="6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85" w:type="dxa"/>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Exhibit</w:t>
            </w:r>
          </w:p>
          <w:p>
            <w:pPr>
              <w:pStyle w:val="TableContents"/>
              <w:pBdr>
                <w:bottom w:val="single" w:sz="8" w:space="1" w:color="000000"/>
              </w:pBdr>
              <w:bidi w:val="0"/>
              <w:spacing w:before="0" w:after="20"/>
              <w:jc w:val="center"/>
              <w:rPr>
                <w:rFonts w:ascii="Times New Roman" w:hAnsi="Times New Roman"/>
                <w:b/>
                <w:sz w:val="16"/>
              </w:rPr>
            </w:pPr>
            <w:r>
              <w:rPr>
                <w:rFonts w:ascii="Times New Roman" w:hAnsi="Times New Roman"/>
                <w:b/>
                <w:sz w:val="16"/>
              </w:rPr>
              <w:t>Number</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w:t>
            </w:r>
          </w:p>
        </w:tc>
      </w:tr>
      <w:tr>
        <w:trPr/>
        <w:tc>
          <w:tcPr>
            <w:tcW w:w="620" w:type="dxa"/>
            <w:tcBorders/>
            <w:vAlign w:val="center"/>
          </w:tcPr>
          <w:p>
            <w:pPr>
              <w:pStyle w:val="TableContents"/>
              <w:bidi w:val="0"/>
              <w:spacing w:before="0" w:after="283"/>
              <w:jc w:val="left"/>
              <w:rPr>
                <w:sz w:val="4"/>
                <w:szCs w:val="4"/>
              </w:rPr>
            </w:pPr>
            <w:r>
              <w:rPr>
                <w:sz w:val="4"/>
                <w:szCs w:val="4"/>
              </w:rPr>
            </w:r>
          </w:p>
        </w:tc>
        <w:tc>
          <w:tcPr>
            <w:tcW w:w="780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pPr>
            <w:hyperlink w:anchor="d22348dex991.htm">
              <w:r>
                <w:rPr>
                  <w:rStyle w:val="InternetLink"/>
                </w:rPr>
                <w:t xml:space="preserve">Press release issued by Minerva Neurosciences, Inc. dated August 7, 2026.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780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6256" w:type="dxa"/>
        <w:jc w:val="left"/>
        <w:tblInd w:w="0" w:type="dxa"/>
        <w:tblLayout w:type="fixed"/>
        <w:tblCellMar>
          <w:top w:w="0" w:type="dxa"/>
          <w:left w:w="0" w:type="dxa"/>
          <w:bottom w:w="0" w:type="dxa"/>
          <w:right w:w="0" w:type="dxa"/>
        </w:tblCellMar>
      </w:tblPr>
      <w:tblGrid>
        <w:gridCol w:w="651"/>
        <w:gridCol w:w="1027"/>
        <w:gridCol w:w="395"/>
        <w:gridCol w:w="60"/>
        <w:gridCol w:w="23"/>
        <w:gridCol w:w="60"/>
        <w:gridCol w:w="4040"/>
      </w:tblGrid>
      <w:tr>
        <w:trPr/>
        <w:tc>
          <w:tcPr>
            <w:tcW w:w="651"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040" w:type="dxa"/>
            <w:tcBorders/>
            <w:vAlign w:val="center"/>
          </w:tcPr>
          <w:p>
            <w:pPr>
              <w:pStyle w:val="TableContents"/>
              <w:bidi w:val="0"/>
              <w:spacing w:before="0" w:after="283"/>
              <w:jc w:val="left"/>
              <w:rPr>
                <w:sz w:val="4"/>
                <w:szCs w:val="4"/>
              </w:rPr>
            </w:pPr>
            <w:r>
              <w:rPr>
                <w:sz w:val="4"/>
                <w:szCs w:val="4"/>
              </w:rPr>
            </w:r>
          </w:p>
        </w:tc>
      </w:tr>
      <w:tr>
        <w:trPr/>
        <w:tc>
          <w:tcPr>
            <w:tcW w:w="2073" w:type="dxa"/>
            <w:gridSpan w:val="3"/>
            <w:tcBorders/>
            <w:vAlign w:val="center"/>
          </w:tcPr>
          <w:p>
            <w:pPr>
              <w:pStyle w:val="TableContents"/>
              <w:bidi w:val="0"/>
              <w:spacing w:before="0" w:after="283"/>
              <w:jc w:val="left"/>
              <w:rPr/>
            </w:pPr>
            <w:r>
              <w:rPr/>
              <w:t>Date: August 7,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040" w:type="dxa"/>
            <w:tcBorders/>
            <w:vAlign w:val="center"/>
          </w:tcPr>
          <w:p>
            <w:pPr>
              <w:pStyle w:val="TableContents"/>
              <w:bidi w:val="0"/>
              <w:spacing w:before="0" w:after="283"/>
              <w:jc w:val="left"/>
              <w:rPr>
                <w:b/>
              </w:rPr>
            </w:pPr>
            <w:r>
              <w:rPr>
                <w:b/>
              </w:rPr>
              <w:t>MINERVA NEUROSCIENCES, INC.</w:t>
            </w:r>
          </w:p>
        </w:tc>
      </w:tr>
      <w:tr>
        <w:trPr/>
        <w:tc>
          <w:tcPr>
            <w:tcW w:w="651" w:type="dxa"/>
            <w:tcBorders/>
            <w:vAlign w:val="center"/>
          </w:tcPr>
          <w:p>
            <w:pPr>
              <w:pStyle w:val="TableContents"/>
              <w:bidi w:val="0"/>
              <w:spacing w:before="0" w:after="283"/>
              <w:jc w:val="left"/>
              <w:rPr>
                <w:sz w:val="4"/>
                <w:szCs w:val="4"/>
              </w:rPr>
            </w:pPr>
            <w:r>
              <w:rPr>
                <w:sz w:val="4"/>
                <w:szCs w:val="4"/>
              </w:rPr>
            </w:r>
          </w:p>
        </w:tc>
        <w:tc>
          <w:tcPr>
            <w:tcW w:w="1422" w:type="dxa"/>
            <w:gridSpan w:val="2"/>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100" w:type="dxa"/>
            <w:gridSpan w:val="2"/>
            <w:tcBorders/>
            <w:vAlign w:val="center"/>
          </w:tcPr>
          <w:p>
            <w:pPr>
              <w:pStyle w:val="TableContents"/>
              <w:bidi w:val="0"/>
              <w:spacing w:before="0" w:after="283"/>
              <w:jc w:val="left"/>
              <w:rPr>
                <w:sz w:val="4"/>
                <w:szCs w:val="4"/>
              </w:rPr>
            </w:pPr>
            <w:r>
              <w:rPr>
                <w:sz w:val="4"/>
                <w:szCs w:val="4"/>
              </w:rPr>
            </w:r>
          </w:p>
        </w:tc>
      </w:tr>
      <w:tr>
        <w:trPr/>
        <w:tc>
          <w:tcPr>
            <w:tcW w:w="651"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04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Fred Ahlholm</w:t>
            </w:r>
          </w:p>
        </w:tc>
      </w:tr>
      <w:tr>
        <w:trPr/>
        <w:tc>
          <w:tcPr>
            <w:tcW w:w="651"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040" w:type="dxa"/>
            <w:tcBorders/>
            <w:vAlign w:val="center"/>
          </w:tcPr>
          <w:p>
            <w:pPr>
              <w:pStyle w:val="TableContents"/>
              <w:bidi w:val="0"/>
              <w:spacing w:before="0" w:after="283"/>
              <w:jc w:val="left"/>
              <w:rPr/>
            </w:pPr>
            <w:r>
              <w:rPr/>
              <w:t>Name: Fred Ahlholm</w:t>
            </w:r>
          </w:p>
        </w:tc>
      </w:tr>
      <w:tr>
        <w:trPr/>
        <w:tc>
          <w:tcPr>
            <w:tcW w:w="651"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040" w:type="dxa"/>
            <w:tcBorders/>
            <w:vAlign w:val="center"/>
          </w:tcPr>
          <w:p>
            <w:pPr>
              <w:pStyle w:val="TableContents"/>
              <w:bidi w:val="0"/>
              <w:spacing w:before="0" w:after="283"/>
              <w:jc w:val="left"/>
              <w:rPr/>
            </w:pPr>
            <w:r>
              <w:rPr/>
              <w:t>Title: Chief Financial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p>
    <w:p>
      <w:pPr>
        <w:pStyle w:val="TextBody"/>
        <w:bidi w:val="0"/>
        <w:spacing w:before="0" w:after="0"/>
        <w:jc w:val="right"/>
        <w:rPr>
          <w:rFonts w:ascii="Times New Roman" w:hAnsi="Times New Roman"/>
          <w:b/>
          <w:sz w:val="20"/>
        </w:rPr>
      </w:pPr>
      <w:bookmarkStart w:id="2" w:name="d22348dex991.htm"/>
      <w:bookmarkStart w:id="3" w:name="ksd22348dex991"/>
      <w:bookmarkEnd w:id="2"/>
      <w:bookmarkEnd w:id="3"/>
      <w:r>
        <w:rPr>
          <w:rFonts w:ascii="Times New Roman" w:hAnsi="Times New Roman"/>
          <w:b/>
          <w:sz w:val="20"/>
        </w:rPr>
        <w:t xml:space="preserve">Exhibit 99.1 </w:t>
      </w:r>
      <w:r>
        <w:br w:type="page"/>
      </w:r>
    </w:p>
    <w:p>
      <w:pPr>
        <w:pStyle w:val="TextBody"/>
        <w:bidi w:val="0"/>
        <w:spacing w:before="0" w:after="0"/>
        <w:jc w:val="left"/>
        <w:rPr/>
      </w:pPr>
      <w:r>
        <w:rPr/>
        <w:t> </w:t>
      </w:r>
    </w:p>
    <w:p>
      <w:pPr>
        <w:pStyle w:val="TextBody"/>
        <w:bidi w:val="0"/>
        <w:spacing w:before="0" w:after="0"/>
        <w:jc w:val="center"/>
        <w:rPr/>
      </w:pPr>
      <w:r>
        <w:rPr/>
        <w:drawing>
          <wp:inline distT="0" distB="0" distL="0" distR="0">
            <wp:extent cx="1809750" cy="571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09750" cy="57150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Minerva Neurosciences Provides Second Quarter 2026 Financial Results and Business Updates </w:t>
      </w:r>
    </w:p>
    <w:p>
      <w:pPr>
        <w:pStyle w:val="TextBody"/>
        <w:bidi w:val="0"/>
        <w:spacing w:before="240" w:after="0"/>
        <w:jc w:val="center"/>
        <w:rPr>
          <w:rFonts w:ascii="Times New Roman" w:hAnsi="Times New Roman"/>
          <w:i/>
          <w:sz w:val="20"/>
        </w:rPr>
      </w:pPr>
      <w:r>
        <w:rPr>
          <w:rFonts w:ascii="Times New Roman" w:hAnsi="Times New Roman"/>
          <w:i/>
          <w:sz w:val="20"/>
        </w:rPr>
        <w:t xml:space="preserve">Confirmatory Phase 3 trial of roluperidone (MIN-101C19) ongoing with topline efficacy data expected 2H 2027 </w:t>
      </w:r>
    </w:p>
    <w:p>
      <w:pPr>
        <w:pStyle w:val="TextBody"/>
        <w:bidi w:val="0"/>
        <w:spacing w:before="240" w:after="0"/>
        <w:jc w:val="center"/>
        <w:rPr>
          <w:rFonts w:ascii="Times New Roman" w:hAnsi="Times New Roman"/>
          <w:i/>
          <w:sz w:val="20"/>
        </w:rPr>
      </w:pPr>
      <w:r>
        <w:rPr>
          <w:rFonts w:ascii="Times New Roman" w:hAnsi="Times New Roman"/>
          <w:i/>
          <w:sz w:val="20"/>
        </w:rPr>
        <w:t xml:space="preserve">Scientific Advisory Board of leading experts in psychiatry and neuroscience established to guide the confirmatory Phase 3 trial of roluperidone </w:t>
      </w:r>
    </w:p>
    <w:p>
      <w:pPr>
        <w:pStyle w:val="TextBody"/>
        <w:bidi w:val="0"/>
        <w:spacing w:before="240" w:after="0"/>
        <w:jc w:val="center"/>
        <w:rPr>
          <w:rFonts w:ascii="Times New Roman" w:hAnsi="Times New Roman"/>
          <w:i/>
          <w:sz w:val="20"/>
        </w:rPr>
      </w:pPr>
      <w:r>
        <w:rPr>
          <w:rFonts w:ascii="Times New Roman" w:hAnsi="Times New Roman"/>
          <w:i/>
          <w:sz w:val="20"/>
        </w:rPr>
        <w:t xml:space="preserve">Roluperidone remains the only late-stage drug candidate for this high-need population </w:t>
      </w:r>
    </w:p>
    <w:p>
      <w:pPr>
        <w:pStyle w:val="TextBody"/>
        <w:bidi w:val="0"/>
        <w:spacing w:before="240" w:after="0"/>
        <w:jc w:val="left"/>
        <w:rPr>
          <w:rFonts w:ascii="Times New Roman" w:hAnsi="Times New Roman"/>
          <w:sz w:val="20"/>
        </w:rPr>
      </w:pPr>
      <w:r>
        <w:rPr>
          <w:rFonts w:ascii="Times New Roman" w:hAnsi="Times New Roman"/>
          <w:sz w:val="20"/>
        </w:rPr>
        <w:t>BURLINGTON, Mass.– August 7, 2026 (GLOBE NEWSWIRE) – </w:t>
      </w:r>
      <w:r>
        <w:rPr>
          <w:rFonts w:ascii="Times New Roman" w:hAnsi="Times New Roman"/>
          <w:sz w:val="20"/>
          <w:u w:val="single"/>
        </w:rPr>
        <w:t>Minerva Neurosciences, Inc.</w:t>
      </w:r>
      <w:r>
        <w:rPr>
          <w:rFonts w:ascii="Times New Roman" w:hAnsi="Times New Roman"/>
          <w:sz w:val="20"/>
        </w:rPr>
        <w:t xml:space="preserve"> (Nasdaq: NERV), a clinical-stage biopharmaceutical company focused on the development of therapies to treat central nervous system (CNS) disorders, today reported financial and business updates for the second quarter ended June 30, 2026. </w:t>
      </w:r>
    </w:p>
    <w:p>
      <w:pPr>
        <w:pStyle w:val="TextBody"/>
        <w:bidi w:val="0"/>
        <w:spacing w:before="240" w:after="0"/>
        <w:jc w:val="left"/>
        <w:rPr/>
      </w:pPr>
      <w:r>
        <w:rPr/>
        <w:t>“</w:t>
      </w:r>
      <w:r>
        <w:rPr>
          <w:rFonts w:ascii="Times New Roman" w:hAnsi="Times New Roman"/>
          <w:sz w:val="20"/>
        </w:rPr>
        <w:t xml:space="preserve">The psychiatry field has increasingly recognized negative symptoms as a distinct, undertreated driver of disability in schizophrenia, separate from the positive symptoms that current antipsychotics are designed to address,” said Remy Luthringer, Ph.D., Chief Executive Officer of Minerva Neurosciences. “Roluperidone is the only late-stage candidate targeting negative symptoms directly. The C19 study, our ongoing confirmatory Phase 3 trial, is designed to confirm the effect we saw in our prior studies. We remain focused on execution and on track for topline efficacy data in the second half of 2027.” </w:t>
      </w:r>
    </w:p>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Corporate Updates </w:t>
      </w:r>
    </w:p>
    <w:p>
      <w:pPr>
        <w:pStyle w:val="TextBody"/>
        <w:bidi w:val="0"/>
        <w:spacing w:before="240" w:after="0"/>
        <w:jc w:val="left"/>
        <w:rPr>
          <w:rFonts w:ascii="Times New Roman" w:hAnsi="Times New Roman"/>
          <w:b/>
          <w:i/>
          <w:sz w:val="20"/>
        </w:rPr>
      </w:pPr>
      <w:r>
        <w:rPr>
          <w:rFonts w:ascii="Times New Roman" w:hAnsi="Times New Roman"/>
          <w:b/>
          <w:i/>
          <w:sz w:val="20"/>
        </w:rPr>
        <w:t xml:space="preserve">Roluperidone - potentially the First Treatment for Negative Symptoms of Schizophrenia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Minerva’s global confirmatory Phase 3 clinical trial of roluperidone for the treatment of negative symptoms of schizophrenia (the C19 Study) is designed to enroll 380 patients across approximately 40 clinical sites worldwide, including the United States (US) and multiple European countries.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C19 Study follows productive discussions with the FDA on the overall design and efficacy assessments and builds directly on Minerva’s clinical success in the prior pivotal Phase 2b and Phase 3 trials (C03 and C07).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Phase A of the C19 Study will evaluate roluperidone 64 mg versus placebo to confirm the effect of roluperidone on primary negative symptoms at 12 weeks.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Phase B of the C19 Study will evaluate longer-term relapse of positive symptoms for roluperidone versus commonly prescribed antipsychotic medications for an additional 52-week period. The topline data from Phase B is expected in 2H 2028.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See “</w:t>
            </w:r>
            <w:r>
              <w:rPr>
                <w:rFonts w:ascii="Times New Roman" w:hAnsi="Times New Roman"/>
                <w:sz w:val="20"/>
                <w:u w:val="single"/>
              </w:rPr>
              <w:t>About the Phase 3 MIN-101C19 Trial</w:t>
            </w:r>
            <w:r>
              <w:rPr>
                <w:rFonts w:ascii="Times New Roman" w:hAnsi="Times New Roman"/>
                <w:sz w:val="20"/>
              </w:rPr>
              <w:t xml:space="preserve">” below for more information.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Roluperidone remains the only late-stage drug candidate for this high-need population.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Scientific Advisory Board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Minerva previously announced the formation of its Scientific Advisory Board (SAB) on June 1, 2026, comprising eight members with significant experience in psychiatry and neuroscience research, who will advise on the ongoing Phase 3 confirmatory trial of roluperidone as well as potential future pipeline programs.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Minerva recently added three additional members to its SAB, bringing the total to eleven members: </w:t>
            </w:r>
          </w:p>
        </w:tc>
      </w:tr>
    </w:tbl>
    <w:p>
      <w:pPr>
        <w:pStyle w:val="TextBody"/>
        <w:bidi w:val="0"/>
        <w:spacing w:before="120" w:after="0"/>
        <w:jc w:val="left"/>
        <w:rPr>
          <w:rFonts w:ascii="Times New Roman" w:hAnsi="Times New Roman"/>
          <w:sz w:val="20"/>
        </w:rPr>
      </w:pPr>
      <w:r>
        <w:rPr>
          <w:rFonts w:ascii="Times New Roman" w:hAnsi="Times New Roman"/>
          <w:b/>
          <w:sz w:val="20"/>
        </w:rPr>
        <w:t>Christoph Correll, MD</w:t>
      </w:r>
      <w:r>
        <w:rPr>
          <w:rFonts w:ascii="Times New Roman" w:hAnsi="Times New Roman"/>
          <w:sz w:val="20"/>
        </w:rPr>
        <w:t xml:space="preserve"> – Clinical Professor of Psychiatry and Molecular Medicine, The Donald and Barbara Zucker School of Medicine at Hofstra University; </w:t>
      </w:r>
    </w:p>
    <w:p>
      <w:pPr>
        <w:pStyle w:val="TextBody"/>
        <w:bidi w:val="0"/>
        <w:spacing w:before="120" w:after="0"/>
        <w:jc w:val="left"/>
        <w:rPr>
          <w:rFonts w:ascii="Times New Roman" w:hAnsi="Times New Roman"/>
          <w:sz w:val="20"/>
        </w:rPr>
      </w:pPr>
      <w:r>
        <w:rPr>
          <w:rFonts w:ascii="Times New Roman" w:hAnsi="Times New Roman"/>
          <w:b/>
          <w:sz w:val="20"/>
        </w:rPr>
        <w:t>Stefan Leucht, MD</w:t>
      </w:r>
      <w:r>
        <w:rPr>
          <w:rFonts w:ascii="Times New Roman" w:hAnsi="Times New Roman"/>
          <w:sz w:val="20"/>
        </w:rPr>
        <w:t xml:space="preserve"> – Head of the Section for Evidence-Based Medicine in Psychiatry and Psychotherapy at the Department of Psychiatry and Psychotherapy, Technical University of Munich; and </w:t>
      </w:r>
    </w:p>
    <w:p>
      <w:pPr>
        <w:pStyle w:val="TextBody"/>
        <w:bidi w:val="0"/>
        <w:spacing w:before="120" w:after="0"/>
        <w:jc w:val="left"/>
        <w:rPr>
          <w:rFonts w:ascii="Times New Roman" w:hAnsi="Times New Roman"/>
          <w:sz w:val="20"/>
        </w:rPr>
      </w:pPr>
      <w:r>
        <w:rPr>
          <w:rFonts w:ascii="Times New Roman" w:hAnsi="Times New Roman"/>
          <w:b/>
          <w:sz w:val="20"/>
        </w:rPr>
        <w:t>Michael Sand, PhD, MPH</w:t>
      </w:r>
      <w:r>
        <w:rPr>
          <w:rFonts w:ascii="Times New Roman" w:hAnsi="Times New Roman"/>
          <w:sz w:val="20"/>
        </w:rPr>
        <w:t xml:space="preserve"> – S2 Consulting LLC; formerly a board observer on the Minerva board of directors representing Boehringer Ingelheim. </w:t>
      </w:r>
    </w:p>
    <w:p>
      <w:pPr>
        <w:pStyle w:val="TextBody"/>
        <w:bidi w:val="0"/>
        <w:spacing w:before="360" w:after="0"/>
        <w:jc w:val="left"/>
        <w:rPr>
          <w:rFonts w:ascii="Times New Roman" w:hAnsi="Times New Roman"/>
          <w:b/>
          <w:i/>
          <w:sz w:val="20"/>
        </w:rPr>
      </w:pPr>
      <w:r>
        <w:rPr>
          <w:rFonts w:ascii="Times New Roman" w:hAnsi="Times New Roman"/>
          <w:b/>
          <w:i/>
          <w:sz w:val="20"/>
        </w:rPr>
        <w:t xml:space="preserve">Scientific Publication – Minerva team advancing thought leadership in schizophrenia research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Remy Luthringer, Ph.D. (Chief Executive Officer), Michael Davidson, MD (Chief Medical Officer) and Jonathan Rabinowitz, PhD (biostatistical consultant) continue to advance thought leadership in schizophrenia research through coauthoring findings from a longitudinal analysis of 1,139 patients enrolled in the CATIE trial, one of the largest and most influential studies conducted in schizophrenia (</w:t>
            </w:r>
            <w:r>
              <w:rPr>
                <w:rFonts w:ascii="Times New Roman" w:hAnsi="Times New Roman"/>
                <w:sz w:val="20"/>
                <w:u w:val="single"/>
              </w:rPr>
              <w:t>Speyer et al., 2026</w:t>
            </w:r>
            <w:r>
              <w:rPr>
                <w:rFonts w:ascii="Times New Roman" w:hAnsi="Times New Roman"/>
                <w:sz w:val="20"/>
              </w:rPr>
              <w:t xml:space="preserve">). The analysis found that patients with greater negative symptom severity experienced a lower likelihood of short-term worsening of positive symptoms.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findings suggest a relatively stable illness course among individuals with more severe negative symptoms. These results have implications for prognosis and treatment planning, while underscoring the persistent functional burden imposed by negative symptoms despite lower exacerbation risk. </w:t>
            </w:r>
          </w:p>
        </w:tc>
      </w:tr>
    </w:tbl>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Second Quarter and Six Months 2026 Financial Results </w:t>
      </w:r>
    </w:p>
    <w:p>
      <w:pPr>
        <w:pStyle w:val="TextBody"/>
        <w:bidi w:val="0"/>
        <w:spacing w:before="240" w:after="0"/>
        <w:jc w:val="left"/>
        <w:rPr>
          <w:rFonts w:ascii="Times New Roman" w:hAnsi="Times New Roman"/>
          <w:sz w:val="20"/>
        </w:rPr>
      </w:pPr>
      <w:r>
        <w:rPr>
          <w:rFonts w:ascii="Times New Roman" w:hAnsi="Times New Roman"/>
          <w:b/>
          <w:sz w:val="20"/>
        </w:rPr>
        <w:t>Research and development (R&amp;D) expense:</w:t>
      </w:r>
      <w:r>
        <w:rPr>
          <w:rFonts w:ascii="Times New Roman" w:hAnsi="Times New Roman"/>
          <w:sz w:val="20"/>
        </w:rPr>
        <w:t xml:space="preserve"> For the three months ended June 30, 2026 and 2025, R&amp;D expense was $7.2 million and $1.3 million, respectively. For the six months ended June 30, 2026 and 2025, R&amp;D expense was $12.4 million and $2.7 million, respectively. R&amp;D expense was higher versus the prior year period in both the three and six months ended June 30 primarily due to expenses related to the C19 trial as well as higher compensation costs.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 xml:space="preserve">General and administrative (G&amp;A) expense: </w:t>
      </w:r>
      <w:r>
        <w:rPr>
          <w:rFonts w:ascii="Times New Roman" w:hAnsi="Times New Roman"/>
          <w:sz w:val="20"/>
        </w:rPr>
        <w:t xml:space="preserve">For the three months ended June 30, 2026 and 2025, G&amp;A expense was $3.5 million and $2.1 million, respectively. G&amp;A expense was higher versus the prior year period primarily due to higher professional service fees and compensation costs. For the six months ended June 30, 2026 and 2025, G&amp;A expense was $14.9 million and $4.6 million, respectively. G&amp;A expense was higher versus the prior year period primarily due to higher professional service fees as well as costs related to a severance agreement in the first quarter, which included a $6.6 million one-time, non-cash charge for the modification of the terms of previously granted stock options. </w:t>
      </w:r>
    </w:p>
    <w:p>
      <w:pPr>
        <w:pStyle w:val="TextBody"/>
        <w:bidi w:val="0"/>
        <w:spacing w:before="240" w:after="0"/>
        <w:jc w:val="left"/>
        <w:rPr>
          <w:rFonts w:ascii="Times New Roman" w:hAnsi="Times New Roman"/>
          <w:sz w:val="20"/>
        </w:rPr>
      </w:pPr>
      <w:r>
        <w:rPr>
          <w:rFonts w:ascii="Times New Roman" w:hAnsi="Times New Roman"/>
          <w:b/>
          <w:sz w:val="20"/>
        </w:rPr>
        <w:t>Other income and expense:</w:t>
      </w:r>
      <w:r>
        <w:rPr>
          <w:rFonts w:ascii="Times New Roman" w:hAnsi="Times New Roman"/>
          <w:sz w:val="20"/>
        </w:rPr>
        <w:t xml:space="preserve"> For the three months ended June 30, 2026 and 2025, investment income was $0.6 million and $0.1 million, respectively. For the six months ended June 30, 2026 and 2025, investment income was $1.2 million and $0.3 million, respectively. The increase is primarily due to higher cash equivalents and marketable securities balances. </w:t>
      </w:r>
    </w:p>
    <w:p>
      <w:pPr>
        <w:pStyle w:val="TextBody"/>
        <w:bidi w:val="0"/>
        <w:spacing w:before="240" w:after="0"/>
        <w:jc w:val="left"/>
        <w:rPr>
          <w:rFonts w:ascii="Times New Roman" w:hAnsi="Times New Roman"/>
          <w:sz w:val="20"/>
        </w:rPr>
      </w:pPr>
      <w:r>
        <w:rPr>
          <w:rFonts w:ascii="Times New Roman" w:hAnsi="Times New Roman"/>
          <w:b/>
          <w:sz w:val="20"/>
        </w:rPr>
        <w:t>Change in Fair Value of Warrant Liability</w:t>
      </w:r>
      <w:r>
        <w:rPr>
          <w:rFonts w:ascii="Times New Roman" w:hAnsi="Times New Roman"/>
          <w:sz w:val="20"/>
        </w:rPr>
        <w:t>1</w:t>
      </w:r>
      <w:r>
        <w:rPr>
          <w:rFonts w:ascii="Times New Roman" w:hAnsi="Times New Roman"/>
          <w:b/>
          <w:sz w:val="20"/>
        </w:rPr>
        <w:t>:</w:t>
      </w:r>
      <w:r>
        <w:rPr>
          <w:rFonts w:ascii="Times New Roman" w:hAnsi="Times New Roman"/>
          <w:sz w:val="20"/>
        </w:rPr>
        <w:t xml:space="preserve"> For the three months ended June 30, 2026, the Company recorded a non-cash gain of $27.6 million related to the change in fair value of the warrant liability. For the six months ended June 30, 2026, the Company recorded a non-cash loss of $81.8 million related to the change in fair value of the warrant liability. The gain and loss, respectively, on the change in fair value of the warrant liability is related to the warrants issued in conjunction with the October 2025 private placement. </w:t>
      </w:r>
    </w:p>
    <w:p>
      <w:pPr>
        <w:pStyle w:val="TextBody"/>
        <w:bidi w:val="0"/>
        <w:spacing w:before="240" w:after="0"/>
        <w:jc w:val="left"/>
        <w:rPr>
          <w:rFonts w:ascii="Times New Roman" w:hAnsi="Times New Roman"/>
          <w:sz w:val="20"/>
        </w:rPr>
      </w:pPr>
      <w:r>
        <w:rPr>
          <w:rFonts w:ascii="Times New Roman" w:hAnsi="Times New Roman"/>
          <w:b/>
          <w:sz w:val="20"/>
        </w:rPr>
        <w:t>Total Liabilities:</w:t>
      </w:r>
      <w:r>
        <w:rPr>
          <w:rFonts w:ascii="Times New Roman" w:hAnsi="Times New Roman"/>
          <w:sz w:val="20"/>
        </w:rPr>
        <w:t xml:space="preserve"> Under U.S. Generally Accepted Accounting Principles (“GAAP”), for the periods ended June 30, 2026 and December 31, 2025, total liabilities were $296.6 million and $233.8 million, respectively. Excluding the warrant liability and liability related to the sale of future royalties, non-GAAP total liabilities* were $4.0 million and $2.3 million for the periods ended June 30, 2026 and December 31, 2025, respectively. </w:t>
      </w:r>
    </w:p>
    <w:p>
      <w:pPr>
        <w:pStyle w:val="TextBody"/>
        <w:bidi w:val="0"/>
        <w:spacing w:before="240" w:after="0"/>
        <w:jc w:val="left"/>
        <w:rPr>
          <w:rFonts w:ascii="Times New Roman" w:hAnsi="Times New Roman"/>
          <w:sz w:val="20"/>
        </w:rPr>
      </w:pPr>
      <w:r>
        <w:rPr>
          <w:rFonts w:ascii="Times New Roman" w:hAnsi="Times New Roman"/>
          <w:b/>
          <w:sz w:val="20"/>
        </w:rPr>
        <w:t xml:space="preserve">Net Income (Loss): </w:t>
      </w:r>
      <w:r>
        <w:rPr>
          <w:rFonts w:ascii="Times New Roman" w:hAnsi="Times New Roman"/>
          <w:sz w:val="20"/>
        </w:rPr>
        <w:t xml:space="preserve">For the three months ended June 30, 2026, Minerva recorded a GAAP net income of $17.5 million, or $0.36 per basic share and $(0.14) per diluted share, compared to a net loss of $3.3 million, or $(0.43) per basic and diluted share, for the three months ended June 30, 2025. The quarter’s GAAP net income was driven by a $27.6 million non-cash gain on the change in fair value of the warrant liability1; excluding that gain and stock-based compensation expense, adjusted (non-GAAP) net loss* for the quarter was $7.8 million, compared to an adjusted net loss* of $3.0 million in the prior-year period.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warrant liability is a non-cash, mark-to-market obligation revalued each period based on Minerva’s stock price and other inputs; its fluctuation does not reflect the Company’s operating performance or cash position.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For the six months ended June 30, 2026, Minerva recorded a GAAP net loss of $107.9 million, or $2.38 per basic and diluted share, compared to a net loss of $7.0 million, or $0.93 per basic and diluted share, for the six months ended June 30, 2025. The six-month loss reflects a $81.8 million non-cash loss on the change in fair value of the warrant liability1, the inverse of the gain recorded in the second quarter, meaning the liability’s fair value moved unfavorably in the first quarter by more than it moved favorably in the second. Excluding that loss and stock-based compensation expense, adjusted (non-GAAP) net loss* for the six months was $15.1 million, compared to an adjusted net loss* of $6.4 million in the prior-year period. </w:t>
      </w:r>
    </w:p>
    <w:p>
      <w:pPr>
        <w:pStyle w:val="TextBody"/>
        <w:bidi w:val="0"/>
        <w:spacing w:before="240" w:after="0"/>
        <w:jc w:val="left"/>
        <w:rPr>
          <w:rFonts w:ascii="Times New Roman" w:hAnsi="Times New Roman"/>
          <w:sz w:val="20"/>
        </w:rPr>
      </w:pPr>
      <w:r>
        <w:rPr>
          <w:rFonts w:ascii="Times New Roman" w:hAnsi="Times New Roman"/>
          <w:b/>
          <w:sz w:val="20"/>
        </w:rPr>
        <w:t xml:space="preserve">Cash Position: </w:t>
      </w:r>
      <w:r>
        <w:rPr>
          <w:rFonts w:ascii="Times New Roman" w:hAnsi="Times New Roman"/>
          <w:sz w:val="20"/>
        </w:rPr>
        <w:t xml:space="preserve">Cash, cash equivalents, marketable securities and restricted cash at June 30, 2026 was approximately $75.4 million, as compared to $82.4 million at December 31, 2025.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i/>
                <w:sz w:val="20"/>
              </w:rPr>
              <w:t>Definitions of the non-GAAP measures used by Minerva and a reconciliation of such measures to the related GAAP financial measure can be found under the sections below titled “Non-GAAP Financial Measures” and “Reconciliation of GAAP Financial Measures to Non-GAAP Financial Measures.”</w:t>
            </w:r>
            <w:r>
              <w:rPr>
                <w:rFonts w:ascii="Times New Roman" w:hAnsi="Times New Roman"/>
                <w:sz w:val="20"/>
              </w:rPr>
              <w:t xml:space="preserve">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About the Phase 3 MIN-101C19 Trial </w:t>
      </w:r>
    </w:p>
    <w:p>
      <w:pPr>
        <w:pStyle w:val="TextBody"/>
        <w:bidi w:val="0"/>
        <w:spacing w:before="120" w:after="0"/>
        <w:jc w:val="left"/>
        <w:rPr>
          <w:rFonts w:ascii="Times New Roman" w:hAnsi="Times New Roman"/>
          <w:sz w:val="20"/>
        </w:rPr>
      </w:pPr>
      <w:r>
        <w:rPr>
          <w:rFonts w:ascii="Times New Roman" w:hAnsi="Times New Roman"/>
          <w:sz w:val="20"/>
        </w:rPr>
        <w:t xml:space="preserve">Minerva’s Phase 3 MIN-101C19 trial (the C19 Study) is designed to enroll 380 adults aged 18–55 with moderate to severe negative symptoms of schizophrenia, confirmed by a Positive and Negative Syndrome Scale (PANSS) negative subscale score greater than 20 and stable positive symptoms for at least six months. The C19 Study utilizes a two-part design. The overall objective of the study is to confirm the effect of roluperidone on primary negative symptoms at 12 weeks compared to placebo (Phase A) and to evaluate longer-term relapse of positive symptoms compared with commonly prescribed antipsychotic medications for an additional 52 weeks (Phase B). </w:t>
      </w:r>
    </w:p>
    <w:p>
      <w:pPr>
        <w:pStyle w:val="TextBody"/>
        <w:bidi w:val="0"/>
        <w:spacing w:before="240" w:after="0"/>
        <w:jc w:val="left"/>
        <w:rPr>
          <w:rFonts w:ascii="Times New Roman" w:hAnsi="Times New Roman"/>
          <w:sz w:val="20"/>
        </w:rPr>
      </w:pPr>
      <w:r>
        <w:rPr>
          <w:rFonts w:ascii="Times New Roman" w:hAnsi="Times New Roman"/>
          <w:sz w:val="20"/>
        </w:rPr>
        <w:t xml:space="preserve">The trial is designed to minimize variability and maximize sensitivity to treatment effect, including standardized assessments, and comprehensive caregiver engagement. The trial’s operational model includes intensive rater training, real-time monitoring of scoring data, and structured caregiver outreach to support safety tracking, functional assessments, and adherence. </w:t>
      </w:r>
    </w:p>
    <w:p>
      <w:pPr>
        <w:pStyle w:val="TextBody"/>
        <w:bidi w:val="0"/>
        <w:spacing w:before="240" w:after="0"/>
        <w:jc w:val="left"/>
        <w:rPr>
          <w:rFonts w:ascii="Times New Roman" w:hAnsi="Times New Roman"/>
          <w:sz w:val="20"/>
        </w:rPr>
      </w:pPr>
      <w:r>
        <w:rPr>
          <w:rFonts w:ascii="Times New Roman" w:hAnsi="Times New Roman"/>
          <w:b/>
          <w:sz w:val="20"/>
        </w:rPr>
        <w:t>Phase A</w:t>
      </w:r>
      <w:r>
        <w:rPr>
          <w:rFonts w:ascii="Times New Roman" w:hAnsi="Times New Roman"/>
          <w:sz w:val="20"/>
        </w:rPr>
        <w:t xml:space="preserve"> is a 12-week, randomized, double-blind, placebo-controlled phase during which patients will receive 64 mg of roluperidone or placebo to evaluate the primary endpoint: change from baseline in the Marder Negative Symptoms Factor Score (NSFS), which is a factor-analytic composite created from selected PANSS items. The sole key secondary endpoint is the change from baseline in the Personal and Social Performance (PSP) total score. Other secondary endpoints include a broad set of additional clinical measures, including PANSS subscales, Clinical Global Impression – Severity (CGI-S), Clinical Global Impression – Improvement (CGI-I), the Calgary Depression Scale, avolition-specific analyses, and patient and caregiver treatment-satisfaction ratings. Topline data from Phase A of the trial is expected in the second half of 2027.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Phase B</w:t>
      </w:r>
      <w:r>
        <w:rPr>
          <w:rFonts w:ascii="Times New Roman" w:hAnsi="Times New Roman"/>
          <w:sz w:val="20"/>
        </w:rPr>
        <w:t xml:space="preserve"> extends the trial for an additional 52 weeks using a double-dummy, active-controlled, randomized design comparing continued roluperidone with three commonly prescribed antipsychotic medications (risperidone, aripiprazole, or olanzapine). This phase is designed to compare relapse rates between treatment groups. Relapses of positive symptoms will be evaluated using a rigorous, multi-component definition incorporating psychometric endpoints based on PANSS score worsening, and clinically meaningful events such as hospitalization or dangerous behavior. Topline data from Phase B of the trial is expected in the second half of 2028. </w:t>
      </w:r>
    </w:p>
    <w:p>
      <w:pPr>
        <w:pStyle w:val="TextBody"/>
        <w:bidi w:val="0"/>
        <w:spacing w:before="240" w:after="0"/>
        <w:jc w:val="left"/>
        <w:rPr>
          <w:rFonts w:ascii="Times New Roman" w:hAnsi="Times New Roman"/>
          <w:b/>
          <w:i/>
          <w:sz w:val="20"/>
        </w:rPr>
      </w:pPr>
      <w:r>
        <w:rPr>
          <w:rFonts w:ascii="Times New Roman" w:hAnsi="Times New Roman"/>
          <w:b/>
          <w:i/>
          <w:sz w:val="20"/>
        </w:rPr>
        <w:t xml:space="preserve">About Minerva Neurosciences </w:t>
      </w:r>
    </w:p>
    <w:p>
      <w:pPr>
        <w:pStyle w:val="TextBody"/>
        <w:bidi w:val="0"/>
        <w:spacing w:before="120" w:after="0"/>
        <w:jc w:val="left"/>
        <w:rPr>
          <w:rFonts w:ascii="Times New Roman" w:hAnsi="Times New Roman"/>
          <w:sz w:val="20"/>
        </w:rPr>
      </w:pPr>
      <w:r>
        <w:rPr>
          <w:rFonts w:ascii="Times New Roman" w:hAnsi="Times New Roman"/>
          <w:sz w:val="20"/>
        </w:rPr>
        <w:t xml:space="preserve">Minerva Neurosciences, Inc. is a clinical-stage biopharmaceutical company focused on developing product candidates to treat CNS diseases. Minerva is conducting a confirmatory Phase 3 trial with roluperidone for negative symptoms of schizophrenia. For more information, please visit the Company’s </w:t>
      </w:r>
      <w:r>
        <w:rPr>
          <w:rFonts w:ascii="Times New Roman" w:hAnsi="Times New Roman"/>
          <w:sz w:val="20"/>
          <w:u w:val="single"/>
        </w:rPr>
        <w:t>website.</w:t>
      </w:r>
      <w:r>
        <w:rPr>
          <w:rFonts w:ascii="Times New Roman" w:hAnsi="Times New Roman"/>
          <w:sz w:val="20"/>
        </w:rPr>
        <w:t xml:space="preserve"> </w:t>
      </w:r>
    </w:p>
    <w:p>
      <w:pPr>
        <w:pStyle w:val="TextBody"/>
        <w:bidi w:val="0"/>
        <w:spacing w:before="240" w:after="0"/>
        <w:jc w:val="left"/>
        <w:rPr>
          <w:rFonts w:ascii="Times New Roman" w:hAnsi="Times New Roman"/>
          <w:b/>
          <w:i/>
          <w:sz w:val="20"/>
        </w:rPr>
      </w:pPr>
      <w:r>
        <w:rPr>
          <w:rFonts w:ascii="Times New Roman" w:hAnsi="Times New Roman"/>
          <w:b/>
          <w:i/>
          <w:sz w:val="20"/>
        </w:rPr>
        <w:t xml:space="preserve">Non-GAAP Financial Measures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the financial information presented in this release in accordance with accounting principles generally accepted in the United States of America (GAAP), Minerva also presents adjusted non-GAAP financial measures. </w:t>
      </w:r>
    </w:p>
    <w:p>
      <w:pPr>
        <w:pStyle w:val="TextBody"/>
        <w:bidi w:val="0"/>
        <w:spacing w:before="240" w:after="0"/>
        <w:jc w:val="left"/>
        <w:rPr>
          <w:rFonts w:ascii="Times New Roman" w:hAnsi="Times New Roman"/>
          <w:sz w:val="20"/>
        </w:rPr>
      </w:pPr>
      <w:r>
        <w:rPr>
          <w:rFonts w:ascii="Times New Roman" w:hAnsi="Times New Roman"/>
          <w:sz w:val="20"/>
        </w:rPr>
        <w:t xml:space="preserve">Non-GAAP financial measures are included with the intent of providing investors with an understanding of Minerva’s historical financial results and trends and to facilitate comparisons between periods. In addition, these non-GAAP financial measures are among the indicators that Minerva’s management uses for planning and forecasting purposes and measuring Minerva’s performance. Minerva believes that these non-GAAP financial measures, when considered together with U.S. GAAP measures, can enhance the understanding of its financial and operating performance. Non-GAAP financial measures have no standardized meaning and investors are cautioned that, unlike financial measures prepared in accordance with U.S. GAAP, non-GAAP measures may not be comparable with the calculation of similar measures for other companies. The limitations of using non-GAAP financial measures as performance measures are that they provide a view of Minerva’s results of operations without including all events during a period and may not provide a comparable view of Minerva’s performance to other companies in the biopharmaceutical industry. Investors are encouraged to review the related GAAP financial measures and the reconciliation of these non-GAAP financial measures to their most directly comparable GAAP financial measures, and not to rely on any single financial measure to evaluate the business. </w:t>
      </w:r>
    </w:p>
    <w:p>
      <w:pPr>
        <w:pStyle w:val="TextBody"/>
        <w:bidi w:val="0"/>
        <w:spacing w:before="240" w:after="0"/>
        <w:jc w:val="left"/>
        <w:rPr>
          <w:rFonts w:ascii="Times New Roman" w:hAnsi="Times New Roman"/>
          <w:sz w:val="20"/>
        </w:rPr>
      </w:pPr>
      <w:r>
        <w:rPr>
          <w:rFonts w:ascii="Times New Roman" w:hAnsi="Times New Roman"/>
          <w:b/>
          <w:sz w:val="20"/>
        </w:rPr>
        <w:t>Non-GAAP total liabilities</w:t>
      </w:r>
      <w:r>
        <w:rPr>
          <w:rFonts w:ascii="Times New Roman" w:hAnsi="Times New Roman"/>
          <w:sz w:val="20"/>
        </w:rPr>
        <w:t xml:space="preserve"> is defined as GAAP total liabilities, excluding warrant liability and liability related to the sale of future royalties. </w:t>
      </w:r>
    </w:p>
    <w:p>
      <w:pPr>
        <w:pStyle w:val="TextBody"/>
        <w:bidi w:val="0"/>
        <w:spacing w:before="240" w:after="0"/>
        <w:jc w:val="left"/>
        <w:rPr>
          <w:rFonts w:ascii="Times New Roman" w:hAnsi="Times New Roman"/>
          <w:sz w:val="20"/>
        </w:rPr>
      </w:pPr>
      <w:r>
        <w:rPr>
          <w:rFonts w:ascii="Times New Roman" w:hAnsi="Times New Roman"/>
          <w:b/>
          <w:sz w:val="20"/>
        </w:rPr>
        <w:t xml:space="preserve">Non-GAAP adjusted net income (loss) </w:t>
      </w:r>
      <w:r>
        <w:rPr>
          <w:rFonts w:ascii="Times New Roman" w:hAnsi="Times New Roman"/>
          <w:sz w:val="20"/>
        </w:rPr>
        <w:t xml:space="preserve">is defined as GAAP net income (loss), adjusted to exclude non-cash items related to: (i) stock-based compensation expense and (ii) changes in fair value of warrant liability.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Forward-Looking Safe Harbor Statement </w:t>
      </w:r>
    </w:p>
    <w:p>
      <w:pPr>
        <w:pStyle w:val="TextBody"/>
        <w:bidi w:val="0"/>
        <w:spacing w:before="120" w:after="0"/>
        <w:jc w:val="left"/>
        <w:rPr>
          <w:rFonts w:ascii="Times New Roman" w:hAnsi="Times New Roman"/>
          <w:sz w:val="20"/>
        </w:rPr>
      </w:pPr>
      <w:r>
        <w:rPr>
          <w:rFonts w:ascii="Times New Roman" w:hAnsi="Times New Roman"/>
          <w:i/>
          <w:sz w:val="20"/>
        </w:rPr>
        <w:t>This press release contains forward-looking statements which are subject to the safe harbor provisions of the Private Securities Litigation Reform Act of 1995, as amended. Forward-looking statements are statements that are not historical facts, reflect management’s expectations as of the date of this press release, and involve certain risks and uncertainties. Forward-looking statements include, but are not limited to, statements herein with respect to implied or express statements regarding</w:t>
      </w:r>
      <w:r>
        <w:rPr>
          <w:rFonts w:ascii="Times New Roman" w:hAnsi="Times New Roman"/>
          <w:sz w:val="20"/>
        </w:rPr>
        <w:t xml:space="preserve"> </w:t>
      </w:r>
      <w:r>
        <w:rPr>
          <w:rFonts w:ascii="Times New Roman" w:hAnsi="Times New Roman"/>
          <w:i/>
          <w:sz w:val="20"/>
        </w:rPr>
        <w:t>the expected timeline, design, enrollment and conduct of</w:t>
      </w:r>
      <w:r>
        <w:rPr>
          <w:rFonts w:ascii="Times New Roman" w:hAnsi="Times New Roman"/>
          <w:sz w:val="20"/>
        </w:rPr>
        <w:t xml:space="preserve"> </w:t>
      </w:r>
      <w:r>
        <w:rPr>
          <w:rFonts w:ascii="Times New Roman" w:hAnsi="Times New Roman"/>
          <w:i/>
          <w:sz w:val="20"/>
        </w:rPr>
        <w:t>Minerva’s confirmatory Phase 3 trial of roluperidone for the treatment of negative symptoms of schizophrenia, including the timing of its results; the regulatory and therapeutic potential of roluperidone; clinical adoption of treatments focused on negative symptoms of schizophrenia; market opportunities; and Minerva’s plans and objectives with respect to the roluperidone program. These forward-looking statements are based on our current expectations and may differ materially from actual results due to a variety of factors including, without limitation, the inability to predict with certainty the level of expenditures and resources required for the confirmatory Phase 3 trial for roluperidone and other operational matters following Minerva’s plans to refocus efforts on the successful execution of the Phase 3 trial; Minerva’s future financial performance and position may not improve, resulting in difficulties in implementing Minerva’s business strategy, and plans and objectives for future operations; the expected sufficiency of Minerva’s existing cash resources and runway may not be accurate resulting in the need for additional financing sooner than anticipated or unexpected liquidity constraints; the internal and external costs required for Minerva’s ongoing and planned activities, and the resulting impact on expense and use of cash, may be higher than expected, which may cause Minerva to use cash more quickly than expected or to change or curtail some of Minerva’s plans or both; trials and studies may be delayed and may not have satisfactory outcomes, and earlier trials and studies may not be predictive of later trials and studies; the design and rate of enrollment for clinical trials, including the current design of the Phase 3 confirmatory trial evaluating roluperidone may not enable successful completion of the trial(s); the commercial opportunity for roluperidone in negative symptoms of Schizophrenia may be smaller than anticipated; Minerva may be unable to obtain and maintain regulatory approvals, including uncertainties associated with the development and timing of Minerva’s interactions with the FDA; Minerva may experience uncertainties inherent in the initiation and completion of clinical trials and clinical development; the need to align with collaborators or partners may hamper or delay development and regulatory efforts or increase costs; uncertainties of patent protection and litigation; general economic conditions; and other factors that are described under the caption “Risk Factors” in Minerva’s filings with the Securities and Exchange Commission, including its Annual Report on Form 10-K for the year ended</w:t>
      </w:r>
      <w:r>
        <w:rPr>
          <w:rFonts w:ascii="Times New Roman" w:hAnsi="Times New Roman"/>
          <w:sz w:val="20"/>
        </w:rPr>
        <w:t> </w:t>
      </w:r>
      <w:r>
        <w:rPr>
          <w:rFonts w:ascii="Times New Roman" w:hAnsi="Times New Roman"/>
          <w:i/>
          <w:sz w:val="20"/>
        </w:rPr>
        <w:t>December</w:t>
      </w:r>
      <w:r>
        <w:rPr>
          <w:rFonts w:ascii="Times New Roman" w:hAnsi="Times New Roman"/>
          <w:sz w:val="20"/>
        </w:rPr>
        <w:t> </w:t>
      </w:r>
      <w:r>
        <w:rPr>
          <w:rFonts w:ascii="Times New Roman" w:hAnsi="Times New Roman"/>
          <w:i/>
          <w:sz w:val="20"/>
        </w:rPr>
        <w:t>31, 2025, filed with the</w:t>
      </w:r>
      <w:r>
        <w:rPr>
          <w:rFonts w:ascii="Times New Roman" w:hAnsi="Times New Roman"/>
          <w:sz w:val="20"/>
        </w:rPr>
        <w:t> </w:t>
      </w:r>
      <w:r>
        <w:rPr>
          <w:rFonts w:ascii="Times New Roman" w:hAnsi="Times New Roman"/>
          <w:i/>
          <w:sz w:val="20"/>
        </w:rPr>
        <w:t>Securities and Exchange Commission (the “SEC”) on March</w:t>
      </w:r>
      <w:r>
        <w:rPr>
          <w:rFonts w:ascii="Times New Roman" w:hAnsi="Times New Roman"/>
          <w:sz w:val="20"/>
        </w:rPr>
        <w:t> </w:t>
      </w:r>
      <w:r>
        <w:rPr>
          <w:rFonts w:ascii="Times New Roman" w:hAnsi="Times New Roman"/>
          <w:i/>
          <w:sz w:val="20"/>
        </w:rPr>
        <w:t>11, 2026, as supplemented by Minerva’s Form 10-Q for the quarter ended June</w:t>
      </w:r>
      <w:r>
        <w:rPr>
          <w:rFonts w:ascii="Times New Roman" w:hAnsi="Times New Roman"/>
          <w:sz w:val="20"/>
        </w:rPr>
        <w:t> </w:t>
      </w:r>
      <w:r>
        <w:rPr>
          <w:rFonts w:ascii="Times New Roman" w:hAnsi="Times New Roman"/>
          <w:i/>
          <w:sz w:val="20"/>
        </w:rPr>
        <w:t>30, 2026, filed with the SEC on August</w:t>
      </w:r>
      <w:r>
        <w:rPr>
          <w:rFonts w:ascii="Times New Roman" w:hAnsi="Times New Roman"/>
          <w:sz w:val="20"/>
        </w:rPr>
        <w:t> </w:t>
      </w:r>
      <w:r>
        <w:rPr>
          <w:rFonts w:ascii="Times New Roman" w:hAnsi="Times New Roman"/>
          <w:i/>
          <w:sz w:val="20"/>
        </w:rPr>
        <w:t>7, 2026. Copies of reports filed with the</w:t>
      </w:r>
      <w:r>
        <w:rPr>
          <w:rFonts w:ascii="Times New Roman" w:hAnsi="Times New Roman"/>
          <w:sz w:val="20"/>
        </w:rPr>
        <w:t> </w:t>
      </w:r>
      <w:r>
        <w:rPr>
          <w:rFonts w:ascii="Times New Roman" w:hAnsi="Times New Roman"/>
          <w:i/>
          <w:sz w:val="20"/>
        </w:rPr>
        <w:t xml:space="preserve">SEC are posted on Minerva’s website at </w:t>
      </w:r>
      <w:r>
        <w:rPr>
          <w:rFonts w:ascii="Times New Roman" w:hAnsi="Times New Roman"/>
          <w:i/>
          <w:sz w:val="20"/>
          <w:u w:val="single"/>
        </w:rPr>
        <w:t>http://ir.minervaneurosciences.com/</w:t>
      </w:r>
      <w:r>
        <w:rPr>
          <w:rFonts w:ascii="Times New Roman" w:hAnsi="Times New Roman"/>
          <w:b/>
          <w:i/>
          <w:sz w:val="20"/>
        </w:rPr>
        <w:t>.</w:t>
      </w:r>
      <w:r>
        <w:rPr>
          <w:rFonts w:ascii="Times New Roman" w:hAnsi="Times New Roman"/>
          <w:sz w:val="20"/>
        </w:rPr>
        <w:t xml:space="preserve"> </w:t>
      </w:r>
      <w:r>
        <w:rPr>
          <w:rFonts w:ascii="Times New Roman" w:hAnsi="Times New Roman"/>
          <w:i/>
          <w:sz w:val="20"/>
        </w:rPr>
        <w:t>The forward-looking statements in this press release are based on information available to Minerva as of the date hereof, and Minerva disclaims any obligation to update any forward-looking statements, except as required by law.</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Contacts: </w:t>
      </w:r>
    </w:p>
    <w:p>
      <w:pPr>
        <w:pStyle w:val="TextBody"/>
        <w:bidi w:val="0"/>
        <w:spacing w:before="120" w:after="0"/>
        <w:jc w:val="left"/>
        <w:rPr>
          <w:rFonts w:ascii="Times New Roman" w:hAnsi="Times New Roman"/>
          <w:b/>
          <w:sz w:val="20"/>
        </w:rPr>
      </w:pPr>
      <w:r>
        <w:rPr>
          <w:rFonts w:ascii="Times New Roman" w:hAnsi="Times New Roman"/>
          <w:b/>
          <w:sz w:val="20"/>
        </w:rPr>
        <w:t xml:space="preserve">Frederick Ahlholm </w:t>
      </w:r>
    </w:p>
    <w:p>
      <w:pPr>
        <w:pStyle w:val="TextBody"/>
        <w:bidi w:val="0"/>
        <w:spacing w:before="120" w:after="0"/>
        <w:jc w:val="left"/>
        <w:rPr>
          <w:rFonts w:ascii="Times New Roman" w:hAnsi="Times New Roman"/>
          <w:sz w:val="20"/>
        </w:rPr>
      </w:pPr>
      <w:r>
        <w:rPr>
          <w:rFonts w:ascii="Times New Roman" w:hAnsi="Times New Roman"/>
          <w:sz w:val="20"/>
        </w:rPr>
        <w:t xml:space="preserve">Chief Financial Officer </w:t>
      </w:r>
    </w:p>
    <w:p>
      <w:pPr>
        <w:pStyle w:val="TextBody"/>
        <w:bidi w:val="0"/>
        <w:spacing w:before="0" w:after="0"/>
        <w:jc w:val="left"/>
        <w:rPr>
          <w:rFonts w:ascii="Times New Roman" w:hAnsi="Times New Roman"/>
          <w:sz w:val="20"/>
        </w:rPr>
      </w:pPr>
      <w:r>
        <w:rPr>
          <w:rFonts w:ascii="Times New Roman" w:hAnsi="Times New Roman"/>
          <w:sz w:val="20"/>
        </w:rPr>
        <w:t xml:space="preserve">Minerva Neurosciences, Inc. </w:t>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fahlholm@minervaneurosciences.com </w:t>
      </w:r>
    </w:p>
    <w:p>
      <w:pPr>
        <w:pStyle w:val="TextBody"/>
        <w:bidi w:val="0"/>
        <w:spacing w:before="360" w:after="0"/>
        <w:jc w:val="left"/>
        <w:rPr>
          <w:rFonts w:ascii="Times New Roman" w:hAnsi="Times New Roman"/>
          <w:b/>
          <w:sz w:val="20"/>
        </w:rPr>
      </w:pPr>
      <w:r>
        <w:rPr>
          <w:rFonts w:ascii="Times New Roman" w:hAnsi="Times New Roman"/>
          <w:b/>
          <w:sz w:val="20"/>
        </w:rPr>
        <w:t xml:space="preserve">Corey Davis, Ph.D. </w:t>
      </w:r>
    </w:p>
    <w:p>
      <w:pPr>
        <w:pStyle w:val="TextBody"/>
        <w:bidi w:val="0"/>
        <w:spacing w:before="120" w:after="0"/>
        <w:jc w:val="left"/>
        <w:rPr>
          <w:rFonts w:ascii="Times New Roman" w:hAnsi="Times New Roman"/>
          <w:sz w:val="20"/>
        </w:rPr>
      </w:pPr>
      <w:r>
        <w:rPr>
          <w:rFonts w:ascii="Times New Roman" w:hAnsi="Times New Roman"/>
          <w:sz w:val="20"/>
        </w:rPr>
        <w:t xml:space="preserve">LifeSci Advisors, LLC </w:t>
      </w:r>
    </w:p>
    <w:p>
      <w:pPr>
        <w:pStyle w:val="TextBody"/>
        <w:bidi w:val="0"/>
        <w:spacing w:before="0" w:after="0"/>
        <w:jc w:val="left"/>
        <w:rPr>
          <w:rFonts w:ascii="Times New Roman" w:hAnsi="Times New Roman"/>
          <w:sz w:val="20"/>
        </w:rPr>
      </w:pPr>
      <w:r>
        <w:rPr>
          <w:rFonts w:ascii="Times New Roman" w:hAnsi="Times New Roman"/>
          <w:sz w:val="20"/>
        </w:rPr>
        <w:t xml:space="preserve">212-915-2577 </w:t>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cdavis@lifesciadvisors.com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CONDENSED CONSOLIDATED BALANCE SHEET DATA </w:t>
      </w:r>
    </w:p>
    <w:p>
      <w:pPr>
        <w:pStyle w:val="TextBody"/>
        <w:bidi w:val="0"/>
        <w:spacing w:before="0" w:after="0"/>
        <w:jc w:val="left"/>
        <w:rPr>
          <w:rFonts w:ascii="Times New Roman" w:hAnsi="Times New Roman"/>
          <w:sz w:val="20"/>
        </w:rPr>
      </w:pPr>
      <w:r>
        <w:rPr>
          <w:rFonts w:ascii="Times New Roman" w:hAnsi="Times New Roman"/>
          <w:sz w:val="20"/>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753"/>
        <w:gridCol w:w="378"/>
        <w:gridCol w:w="195"/>
        <w:gridCol w:w="1228"/>
        <w:gridCol w:w="155"/>
        <w:gridCol w:w="326"/>
        <w:gridCol w:w="269"/>
        <w:gridCol w:w="1743"/>
        <w:gridCol w:w="158"/>
      </w:tblGrid>
      <w:tr>
        <w:trPr/>
        <w:tc>
          <w:tcPr>
            <w:tcW w:w="5753" w:type="dxa"/>
            <w:tcBorders/>
            <w:vAlign w:val="center"/>
          </w:tcPr>
          <w:p>
            <w:pPr>
              <w:pStyle w:val="TableContents"/>
              <w:bidi w:val="0"/>
              <w:spacing w:before="0" w:after="283"/>
              <w:jc w:val="left"/>
              <w:rPr>
                <w:sz w:val="4"/>
                <w:szCs w:val="4"/>
              </w:rPr>
            </w:pPr>
            <w:r>
              <w:rPr>
                <w:sz w:val="4"/>
                <w:szCs w:val="4"/>
              </w:rPr>
            </w:r>
          </w:p>
        </w:tc>
        <w:tc>
          <w:tcPr>
            <w:tcW w:w="378" w:type="dxa"/>
            <w:tcBorders/>
            <w:vAlign w:val="bottom"/>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26" w:type="dxa"/>
            <w:tcBorders/>
            <w:vAlign w:val="bottom"/>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74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53"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1423" w:type="dxa"/>
            <w:gridSpan w:val="2"/>
            <w:tcBorders/>
            <w:vAlign w:val="bottom"/>
          </w:tcPr>
          <w:p>
            <w:pPr>
              <w:pStyle w:val="TableContents"/>
              <w:bidi w:val="0"/>
              <w:spacing w:before="0" w:after="283"/>
              <w:jc w:val="center"/>
              <w:rPr>
                <w:b/>
              </w:rPr>
            </w:pPr>
            <w:r>
              <w:rPr>
                <w:b/>
              </w:rPr>
              <w:t>June 30, 2026</w:t>
            </w:r>
          </w:p>
        </w:tc>
        <w:tc>
          <w:tcPr>
            <w:tcW w:w="155"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2012" w:type="dxa"/>
            <w:gridSpan w:val="2"/>
            <w:tcBorders/>
            <w:vAlign w:val="bottom"/>
          </w:tcPr>
          <w:p>
            <w:pPr>
              <w:pStyle w:val="TableContents"/>
              <w:bidi w:val="0"/>
              <w:spacing w:before="0" w:after="283"/>
              <w:jc w:val="center"/>
              <w:rPr>
                <w:b/>
              </w:rPr>
            </w:pPr>
            <w:r>
              <w:rPr>
                <w:b/>
              </w:rPr>
              <w:t>December 31, 2025</w:t>
            </w:r>
          </w:p>
        </w:tc>
        <w:tc>
          <w:tcPr>
            <w:tcW w:w="158" w:type="dxa"/>
            <w:tcBorders/>
            <w:vAlign w:val="bottom"/>
          </w:tcPr>
          <w:p>
            <w:pPr>
              <w:pStyle w:val="TableContents"/>
              <w:bidi w:val="0"/>
              <w:spacing w:before="0" w:after="283"/>
              <w:jc w:val="left"/>
              <w:rPr/>
            </w:pPr>
            <w:r>
              <w:rPr/>
              <w:t> </w:t>
            </w:r>
          </w:p>
        </w:tc>
      </w:tr>
      <w:tr>
        <w:trPr/>
        <w:tc>
          <w:tcPr>
            <w:tcW w:w="5753"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1423" w:type="dxa"/>
            <w:gridSpan w:val="2"/>
            <w:tcBorders/>
            <w:vAlign w:val="bottom"/>
          </w:tcPr>
          <w:p>
            <w:pPr>
              <w:pStyle w:val="TableContents"/>
              <w:bidi w:val="0"/>
              <w:spacing w:before="0" w:after="283"/>
              <w:jc w:val="center"/>
              <w:rPr/>
            </w:pPr>
            <w:r>
              <w:rPr/>
              <w:t>(in thousands)</w:t>
            </w:r>
          </w:p>
        </w:tc>
        <w:tc>
          <w:tcPr>
            <w:tcW w:w="155"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2012" w:type="dxa"/>
            <w:gridSpan w:val="2"/>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r>
      <w:tr>
        <w:trPr/>
        <w:tc>
          <w:tcPr>
            <w:tcW w:w="575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378"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22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26"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sz w:val="4"/>
                <w:szCs w:val="4"/>
              </w:rPr>
            </w:pPr>
            <w:r>
              <w:rPr>
                <w:sz w:val="4"/>
                <w:szCs w:val="4"/>
              </w:rPr>
            </w:r>
          </w:p>
        </w:tc>
        <w:tc>
          <w:tcPr>
            <w:tcW w:w="1743"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5753" w:type="dxa"/>
            <w:tcBorders/>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378"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122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26"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sz w:val="4"/>
                <w:szCs w:val="4"/>
              </w:rPr>
            </w:pPr>
            <w:r>
              <w:rPr>
                <w:sz w:val="4"/>
                <w:szCs w:val="4"/>
              </w:rPr>
            </w:r>
          </w:p>
        </w:tc>
        <w:tc>
          <w:tcPr>
            <w:tcW w:w="1743"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57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378"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1228" w:type="dxa"/>
            <w:tcBorders/>
            <w:shd w:fill="CCEEFF" w:val="clear"/>
            <w:vAlign w:val="bottom"/>
          </w:tcPr>
          <w:p>
            <w:pPr>
              <w:pStyle w:val="TableContents"/>
              <w:bidi w:val="0"/>
              <w:spacing w:before="0" w:after="283"/>
              <w:jc w:val="right"/>
              <w:rPr/>
            </w:pPr>
            <w:r>
              <w:rPr/>
              <w:t>24,652</w:t>
            </w:r>
          </w:p>
        </w:tc>
        <w:tc>
          <w:tcPr>
            <w:tcW w:w="155"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w:t>
            </w:r>
          </w:p>
        </w:tc>
        <w:tc>
          <w:tcPr>
            <w:tcW w:w="1743" w:type="dxa"/>
            <w:tcBorders/>
            <w:shd w:fill="CCEEFF" w:val="clear"/>
            <w:vAlign w:val="bottom"/>
          </w:tcPr>
          <w:p>
            <w:pPr>
              <w:pStyle w:val="TableContents"/>
              <w:bidi w:val="0"/>
              <w:spacing w:before="0" w:after="283"/>
              <w:jc w:val="right"/>
              <w:rPr/>
            </w:pPr>
            <w:r>
              <w:rPr/>
              <w:t>82,302</w:t>
            </w:r>
          </w:p>
        </w:tc>
        <w:tc>
          <w:tcPr>
            <w:tcW w:w="158" w:type="dxa"/>
            <w:tcBorders/>
            <w:shd w:fill="CCEEFF" w:val="clear"/>
            <w:vAlign w:val="bottom"/>
          </w:tcPr>
          <w:p>
            <w:pPr>
              <w:pStyle w:val="TableContents"/>
              <w:bidi w:val="0"/>
              <w:spacing w:before="0" w:after="283"/>
              <w:jc w:val="left"/>
              <w:rPr/>
            </w:pPr>
            <w:r>
              <w:rPr/>
              <w:t> </w:t>
            </w:r>
          </w:p>
        </w:tc>
      </w:tr>
      <w:tr>
        <w:trPr/>
        <w:tc>
          <w:tcPr>
            <w:tcW w:w="5753" w:type="dxa"/>
            <w:tcBorders/>
          </w:tcPr>
          <w:p>
            <w:pPr>
              <w:pStyle w:val="TableContents"/>
              <w:bidi w:val="0"/>
              <w:spacing w:before="0" w:after="0"/>
              <w:jc w:val="left"/>
              <w:rPr>
                <w:rFonts w:ascii="Times New Roman" w:hAnsi="Times New Roman"/>
                <w:sz w:val="20"/>
              </w:rPr>
            </w:pPr>
            <w:r>
              <w:rPr>
                <w:rFonts w:ascii="Times New Roman" w:hAnsi="Times New Roman"/>
                <w:sz w:val="20"/>
              </w:rPr>
              <w:t>Marketable securities</w:t>
            </w:r>
          </w:p>
        </w:tc>
        <w:tc>
          <w:tcPr>
            <w:tcW w:w="378"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8" w:type="dxa"/>
            <w:tcBorders/>
            <w:vAlign w:val="bottom"/>
          </w:tcPr>
          <w:p>
            <w:pPr>
              <w:pStyle w:val="TableContents"/>
              <w:bidi w:val="0"/>
              <w:spacing w:before="0" w:after="283"/>
              <w:jc w:val="right"/>
              <w:rPr/>
            </w:pPr>
            <w:r>
              <w:rPr/>
              <w:t>50,615</w:t>
            </w:r>
          </w:p>
        </w:tc>
        <w:tc>
          <w:tcPr>
            <w:tcW w:w="155"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743"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57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Restricted cash</w:t>
            </w:r>
          </w:p>
        </w:tc>
        <w:tc>
          <w:tcPr>
            <w:tcW w:w="378"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8" w:type="dxa"/>
            <w:tcBorders/>
            <w:shd w:fill="CCEEFF" w:val="clear"/>
            <w:vAlign w:val="bottom"/>
          </w:tcPr>
          <w:p>
            <w:pPr>
              <w:pStyle w:val="TableContents"/>
              <w:bidi w:val="0"/>
              <w:spacing w:before="0" w:after="283"/>
              <w:jc w:val="right"/>
              <w:rPr/>
            </w:pPr>
            <w:r>
              <w:rPr/>
              <w:t>100</w:t>
            </w:r>
          </w:p>
        </w:tc>
        <w:tc>
          <w:tcPr>
            <w:tcW w:w="155"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1743" w:type="dxa"/>
            <w:tcBorders/>
            <w:shd w:fill="CCEEFF" w:val="clear"/>
            <w:vAlign w:val="bottom"/>
          </w:tcPr>
          <w:p>
            <w:pPr>
              <w:pStyle w:val="TableContents"/>
              <w:bidi w:val="0"/>
              <w:spacing w:before="0" w:after="283"/>
              <w:jc w:val="right"/>
              <w:rPr/>
            </w:pPr>
            <w:r>
              <w:rPr/>
              <w:t>100</w:t>
            </w:r>
          </w:p>
        </w:tc>
        <w:tc>
          <w:tcPr>
            <w:tcW w:w="158" w:type="dxa"/>
            <w:tcBorders/>
            <w:shd w:fill="CCEEFF" w:val="clear"/>
            <w:vAlign w:val="bottom"/>
          </w:tcPr>
          <w:p>
            <w:pPr>
              <w:pStyle w:val="TableContents"/>
              <w:bidi w:val="0"/>
              <w:spacing w:before="0" w:after="283"/>
              <w:jc w:val="left"/>
              <w:rPr/>
            </w:pPr>
            <w:r>
              <w:rPr/>
              <w:t> </w:t>
            </w:r>
          </w:p>
        </w:tc>
      </w:tr>
      <w:tr>
        <w:trPr/>
        <w:tc>
          <w:tcPr>
            <w:tcW w:w="5753" w:type="dxa"/>
            <w:tcBorders/>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378"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8" w:type="dxa"/>
            <w:tcBorders/>
            <w:vAlign w:val="bottom"/>
          </w:tcPr>
          <w:p>
            <w:pPr>
              <w:pStyle w:val="TableContents"/>
              <w:bidi w:val="0"/>
              <w:spacing w:before="0" w:after="283"/>
              <w:jc w:val="right"/>
              <w:rPr/>
            </w:pPr>
            <w:r>
              <w:rPr/>
              <w:t>4,366</w:t>
            </w:r>
          </w:p>
        </w:tc>
        <w:tc>
          <w:tcPr>
            <w:tcW w:w="155"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743" w:type="dxa"/>
            <w:tcBorders/>
            <w:vAlign w:val="bottom"/>
          </w:tcPr>
          <w:p>
            <w:pPr>
              <w:pStyle w:val="TableContents"/>
              <w:bidi w:val="0"/>
              <w:spacing w:before="0" w:after="283"/>
              <w:jc w:val="right"/>
              <w:rPr/>
            </w:pPr>
            <w:r>
              <w:rPr/>
              <w:t>698</w:t>
            </w:r>
          </w:p>
        </w:tc>
        <w:tc>
          <w:tcPr>
            <w:tcW w:w="158" w:type="dxa"/>
            <w:tcBorders/>
            <w:vAlign w:val="bottom"/>
          </w:tcPr>
          <w:p>
            <w:pPr>
              <w:pStyle w:val="TableContents"/>
              <w:bidi w:val="0"/>
              <w:spacing w:before="0" w:after="283"/>
              <w:jc w:val="left"/>
              <w:rPr/>
            </w:pPr>
            <w:r>
              <w:rPr/>
              <w:t> </w:t>
            </w:r>
          </w:p>
        </w:tc>
      </w:tr>
      <w:tr>
        <w:trPr/>
        <w:tc>
          <w:tcPr>
            <w:tcW w:w="5753"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current assets</w:t>
            </w:r>
          </w:p>
        </w:tc>
        <w:tc>
          <w:tcPr>
            <w:tcW w:w="378"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8" w:type="dxa"/>
            <w:tcBorders/>
            <w:shd w:fill="CCEEFF" w:val="clear"/>
            <w:vAlign w:val="bottom"/>
          </w:tcPr>
          <w:p>
            <w:pPr>
              <w:pStyle w:val="TableContents"/>
              <w:bidi w:val="0"/>
              <w:spacing w:before="0" w:after="283"/>
              <w:jc w:val="right"/>
              <w:rPr>
                <w:b/>
              </w:rPr>
            </w:pPr>
            <w:r>
              <w:rPr>
                <w:b/>
              </w:rPr>
              <w:t>79,733</w:t>
            </w:r>
          </w:p>
        </w:tc>
        <w:tc>
          <w:tcPr>
            <w:tcW w:w="155"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1743" w:type="dxa"/>
            <w:tcBorders/>
            <w:shd w:fill="CCEEFF" w:val="clear"/>
            <w:vAlign w:val="bottom"/>
          </w:tcPr>
          <w:p>
            <w:pPr>
              <w:pStyle w:val="TableContents"/>
              <w:bidi w:val="0"/>
              <w:spacing w:before="0" w:after="283"/>
              <w:jc w:val="right"/>
              <w:rPr>
                <w:b/>
              </w:rPr>
            </w:pPr>
            <w:r>
              <w:rPr>
                <w:b/>
              </w:rPr>
              <w:t>83,100</w:t>
            </w:r>
          </w:p>
        </w:tc>
        <w:tc>
          <w:tcPr>
            <w:tcW w:w="158" w:type="dxa"/>
            <w:tcBorders/>
            <w:shd w:fill="CCEEFF" w:val="clear"/>
            <w:vAlign w:val="bottom"/>
          </w:tcPr>
          <w:p>
            <w:pPr>
              <w:pStyle w:val="TableContents"/>
              <w:bidi w:val="0"/>
              <w:spacing w:before="0" w:after="283"/>
              <w:jc w:val="left"/>
              <w:rPr/>
            </w:pPr>
            <w:r>
              <w:rPr/>
              <w:t> </w:t>
            </w:r>
          </w:p>
        </w:tc>
      </w:tr>
      <w:tr>
        <w:trPr/>
        <w:tc>
          <w:tcPr>
            <w:tcW w:w="5753" w:type="dxa"/>
            <w:tcBorders/>
          </w:tcPr>
          <w:p>
            <w:pPr>
              <w:pStyle w:val="TableContents"/>
              <w:bidi w:val="0"/>
              <w:spacing w:before="0" w:after="0"/>
              <w:jc w:val="left"/>
              <w:rPr>
                <w:rFonts w:ascii="Times New Roman" w:hAnsi="Times New Roman"/>
                <w:sz w:val="20"/>
              </w:rPr>
            </w:pPr>
            <w:r>
              <w:rPr>
                <w:rFonts w:ascii="Times New Roman" w:hAnsi="Times New Roman"/>
                <w:sz w:val="20"/>
              </w:rPr>
              <w:t>Goodwill</w:t>
            </w:r>
          </w:p>
        </w:tc>
        <w:tc>
          <w:tcPr>
            <w:tcW w:w="378"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8" w:type="dxa"/>
            <w:tcBorders/>
            <w:vAlign w:val="bottom"/>
          </w:tcPr>
          <w:p>
            <w:pPr>
              <w:pStyle w:val="TableContents"/>
              <w:bidi w:val="0"/>
              <w:spacing w:before="0" w:after="283"/>
              <w:jc w:val="right"/>
              <w:rPr/>
            </w:pPr>
            <w:r>
              <w:rPr/>
              <w:t>14,869</w:t>
            </w:r>
          </w:p>
        </w:tc>
        <w:tc>
          <w:tcPr>
            <w:tcW w:w="155"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743" w:type="dxa"/>
            <w:tcBorders/>
            <w:vAlign w:val="bottom"/>
          </w:tcPr>
          <w:p>
            <w:pPr>
              <w:pStyle w:val="TableContents"/>
              <w:bidi w:val="0"/>
              <w:spacing w:before="0" w:after="283"/>
              <w:jc w:val="right"/>
              <w:rPr/>
            </w:pPr>
            <w:r>
              <w:rPr/>
              <w:t>14,869</w:t>
            </w:r>
          </w:p>
        </w:tc>
        <w:tc>
          <w:tcPr>
            <w:tcW w:w="158" w:type="dxa"/>
            <w:tcBorders/>
            <w:vAlign w:val="bottom"/>
          </w:tcPr>
          <w:p>
            <w:pPr>
              <w:pStyle w:val="TableContents"/>
              <w:bidi w:val="0"/>
              <w:spacing w:before="0" w:after="283"/>
              <w:jc w:val="left"/>
              <w:rPr/>
            </w:pPr>
            <w:r>
              <w:rPr/>
              <w:t> </w:t>
            </w:r>
          </w:p>
        </w:tc>
      </w:tr>
      <w:tr>
        <w:trPr/>
        <w:tc>
          <w:tcPr>
            <w:tcW w:w="57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public offering costs</w:t>
            </w:r>
          </w:p>
        </w:tc>
        <w:tc>
          <w:tcPr>
            <w:tcW w:w="378"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8" w:type="dxa"/>
            <w:tcBorders/>
            <w:shd w:fill="CCEEFF" w:val="clear"/>
            <w:vAlign w:val="bottom"/>
          </w:tcPr>
          <w:p>
            <w:pPr>
              <w:pStyle w:val="TableContents"/>
              <w:bidi w:val="0"/>
              <w:spacing w:before="0" w:after="283"/>
              <w:jc w:val="right"/>
              <w:rPr/>
            </w:pPr>
            <w:r>
              <w:rPr/>
              <w:t>487</w:t>
            </w:r>
          </w:p>
        </w:tc>
        <w:tc>
          <w:tcPr>
            <w:tcW w:w="155"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1743"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5753"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assets</w:t>
            </w:r>
          </w:p>
        </w:tc>
        <w:tc>
          <w:tcPr>
            <w:tcW w:w="378"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b/>
              </w:rPr>
            </w:pPr>
            <w:r>
              <w:rPr>
                <w:b/>
              </w:rPr>
              <w:t>$</w:t>
            </w:r>
          </w:p>
        </w:tc>
        <w:tc>
          <w:tcPr>
            <w:tcW w:w="1228" w:type="dxa"/>
            <w:tcBorders/>
            <w:vAlign w:val="bottom"/>
          </w:tcPr>
          <w:p>
            <w:pPr>
              <w:pStyle w:val="TableContents"/>
              <w:bidi w:val="0"/>
              <w:spacing w:before="0" w:after="283"/>
              <w:jc w:val="right"/>
              <w:rPr>
                <w:b/>
              </w:rPr>
            </w:pPr>
            <w:r>
              <w:rPr>
                <w:b/>
              </w:rPr>
              <w:t>95,089</w:t>
            </w:r>
          </w:p>
        </w:tc>
        <w:tc>
          <w:tcPr>
            <w:tcW w:w="155"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b/>
              </w:rPr>
            </w:pPr>
            <w:r>
              <w:rPr>
                <w:b/>
              </w:rPr>
              <w:t>$</w:t>
            </w:r>
          </w:p>
        </w:tc>
        <w:tc>
          <w:tcPr>
            <w:tcW w:w="1743" w:type="dxa"/>
            <w:tcBorders/>
            <w:vAlign w:val="bottom"/>
          </w:tcPr>
          <w:p>
            <w:pPr>
              <w:pStyle w:val="TableContents"/>
              <w:bidi w:val="0"/>
              <w:spacing w:before="0" w:after="283"/>
              <w:jc w:val="right"/>
              <w:rPr>
                <w:b/>
              </w:rPr>
            </w:pPr>
            <w:r>
              <w:rPr>
                <w:b/>
              </w:rPr>
              <w:t>97,969</w:t>
            </w:r>
          </w:p>
        </w:tc>
        <w:tc>
          <w:tcPr>
            <w:tcW w:w="158" w:type="dxa"/>
            <w:tcBorders/>
            <w:vAlign w:val="bottom"/>
          </w:tcPr>
          <w:p>
            <w:pPr>
              <w:pStyle w:val="TableContents"/>
              <w:bidi w:val="0"/>
              <w:spacing w:before="0" w:after="283"/>
              <w:jc w:val="left"/>
              <w:rPr/>
            </w:pPr>
            <w:r>
              <w:rPr/>
              <w:t> </w:t>
            </w:r>
          </w:p>
        </w:tc>
      </w:tr>
      <w:tr>
        <w:trPr/>
        <w:tc>
          <w:tcPr>
            <w:tcW w:w="575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LIABILITIES, REDEEMABLE PREFERRED STOCK AND STOCKHOLDERS’ DEFICIT</w:t>
            </w:r>
          </w:p>
        </w:tc>
        <w:tc>
          <w:tcPr>
            <w:tcW w:w="378"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22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26"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sz w:val="4"/>
                <w:szCs w:val="4"/>
              </w:rPr>
            </w:pPr>
            <w:r>
              <w:rPr>
                <w:sz w:val="4"/>
                <w:szCs w:val="4"/>
              </w:rPr>
            </w:r>
          </w:p>
        </w:tc>
        <w:tc>
          <w:tcPr>
            <w:tcW w:w="1743"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5753" w:type="dxa"/>
            <w:tcBorders/>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378"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122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26"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sz w:val="4"/>
                <w:szCs w:val="4"/>
              </w:rPr>
            </w:pPr>
            <w:r>
              <w:rPr>
                <w:sz w:val="4"/>
                <w:szCs w:val="4"/>
              </w:rPr>
            </w:r>
          </w:p>
        </w:tc>
        <w:tc>
          <w:tcPr>
            <w:tcW w:w="1743"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57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378"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1228" w:type="dxa"/>
            <w:tcBorders/>
            <w:shd w:fill="CCEEFF" w:val="clear"/>
            <w:vAlign w:val="bottom"/>
          </w:tcPr>
          <w:p>
            <w:pPr>
              <w:pStyle w:val="TableContents"/>
              <w:bidi w:val="0"/>
              <w:spacing w:before="0" w:after="283"/>
              <w:jc w:val="right"/>
              <w:rPr/>
            </w:pPr>
            <w:r>
              <w:rPr/>
              <w:t>1,447</w:t>
            </w:r>
          </w:p>
        </w:tc>
        <w:tc>
          <w:tcPr>
            <w:tcW w:w="155"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w:t>
            </w:r>
          </w:p>
        </w:tc>
        <w:tc>
          <w:tcPr>
            <w:tcW w:w="1743" w:type="dxa"/>
            <w:tcBorders/>
            <w:shd w:fill="CCEEFF" w:val="clear"/>
            <w:vAlign w:val="bottom"/>
          </w:tcPr>
          <w:p>
            <w:pPr>
              <w:pStyle w:val="TableContents"/>
              <w:bidi w:val="0"/>
              <w:spacing w:before="0" w:after="283"/>
              <w:jc w:val="right"/>
              <w:rPr/>
            </w:pPr>
            <w:r>
              <w:rPr/>
              <w:t>639</w:t>
            </w:r>
          </w:p>
        </w:tc>
        <w:tc>
          <w:tcPr>
            <w:tcW w:w="158" w:type="dxa"/>
            <w:tcBorders/>
            <w:shd w:fill="CCEEFF" w:val="clear"/>
            <w:vAlign w:val="bottom"/>
          </w:tcPr>
          <w:p>
            <w:pPr>
              <w:pStyle w:val="TableContents"/>
              <w:bidi w:val="0"/>
              <w:spacing w:before="0" w:after="283"/>
              <w:jc w:val="left"/>
              <w:rPr/>
            </w:pPr>
            <w:r>
              <w:rPr/>
              <w:t> </w:t>
            </w:r>
          </w:p>
        </w:tc>
      </w:tr>
      <w:tr>
        <w:trPr/>
        <w:tc>
          <w:tcPr>
            <w:tcW w:w="5753" w:type="dxa"/>
            <w:tcBorders/>
          </w:tcPr>
          <w:p>
            <w:pPr>
              <w:pStyle w:val="TableContents"/>
              <w:bidi w:val="0"/>
              <w:spacing w:before="0" w:after="0"/>
              <w:jc w:val="left"/>
              <w:rPr>
                <w:rFonts w:ascii="Times New Roman" w:hAnsi="Times New Roman"/>
                <w:sz w:val="20"/>
              </w:rPr>
            </w:pPr>
            <w:r>
              <w:rPr>
                <w:rFonts w:ascii="Times New Roman" w:hAnsi="Times New Roman"/>
                <w:sz w:val="20"/>
              </w:rPr>
              <w:t>Accrued expenses and other current liabilities</w:t>
            </w:r>
          </w:p>
        </w:tc>
        <w:tc>
          <w:tcPr>
            <w:tcW w:w="378"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8" w:type="dxa"/>
            <w:tcBorders/>
            <w:vAlign w:val="bottom"/>
          </w:tcPr>
          <w:p>
            <w:pPr>
              <w:pStyle w:val="TableContents"/>
              <w:bidi w:val="0"/>
              <w:spacing w:before="0" w:after="283"/>
              <w:jc w:val="right"/>
              <w:rPr/>
            </w:pPr>
            <w:r>
              <w:rPr/>
              <w:t>2,511</w:t>
            </w:r>
          </w:p>
        </w:tc>
        <w:tc>
          <w:tcPr>
            <w:tcW w:w="155"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743" w:type="dxa"/>
            <w:tcBorders/>
            <w:vAlign w:val="bottom"/>
          </w:tcPr>
          <w:p>
            <w:pPr>
              <w:pStyle w:val="TableContents"/>
              <w:bidi w:val="0"/>
              <w:spacing w:before="0" w:after="283"/>
              <w:jc w:val="right"/>
              <w:rPr/>
            </w:pPr>
            <w:r>
              <w:rPr/>
              <w:t>1,651</w:t>
            </w:r>
          </w:p>
        </w:tc>
        <w:tc>
          <w:tcPr>
            <w:tcW w:w="158" w:type="dxa"/>
            <w:tcBorders/>
            <w:vAlign w:val="bottom"/>
          </w:tcPr>
          <w:p>
            <w:pPr>
              <w:pStyle w:val="TableContents"/>
              <w:bidi w:val="0"/>
              <w:spacing w:before="0" w:after="283"/>
              <w:jc w:val="left"/>
              <w:rPr/>
            </w:pPr>
            <w:r>
              <w:rPr/>
              <w:t> </w:t>
            </w:r>
          </w:p>
        </w:tc>
      </w:tr>
      <w:tr>
        <w:trPr/>
        <w:tc>
          <w:tcPr>
            <w:tcW w:w="5753"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current liabilities</w:t>
            </w:r>
          </w:p>
        </w:tc>
        <w:tc>
          <w:tcPr>
            <w:tcW w:w="378"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8" w:type="dxa"/>
            <w:tcBorders/>
            <w:shd w:fill="CCEEFF" w:val="clear"/>
            <w:vAlign w:val="bottom"/>
          </w:tcPr>
          <w:p>
            <w:pPr>
              <w:pStyle w:val="TableContents"/>
              <w:bidi w:val="0"/>
              <w:spacing w:before="0" w:after="283"/>
              <w:jc w:val="right"/>
              <w:rPr>
                <w:b/>
              </w:rPr>
            </w:pPr>
            <w:r>
              <w:rPr>
                <w:b/>
              </w:rPr>
              <w:t>3,958</w:t>
            </w:r>
          </w:p>
        </w:tc>
        <w:tc>
          <w:tcPr>
            <w:tcW w:w="155"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1743" w:type="dxa"/>
            <w:tcBorders/>
            <w:shd w:fill="CCEEFF" w:val="clear"/>
            <w:vAlign w:val="bottom"/>
          </w:tcPr>
          <w:p>
            <w:pPr>
              <w:pStyle w:val="TableContents"/>
              <w:bidi w:val="0"/>
              <w:spacing w:before="0" w:after="283"/>
              <w:jc w:val="right"/>
              <w:rPr>
                <w:b/>
              </w:rPr>
            </w:pPr>
            <w:r>
              <w:rPr>
                <w:b/>
              </w:rPr>
              <w:t>2,290</w:t>
            </w:r>
          </w:p>
        </w:tc>
        <w:tc>
          <w:tcPr>
            <w:tcW w:w="158" w:type="dxa"/>
            <w:tcBorders/>
            <w:shd w:fill="CCEEFF" w:val="clear"/>
            <w:vAlign w:val="bottom"/>
          </w:tcPr>
          <w:p>
            <w:pPr>
              <w:pStyle w:val="TableContents"/>
              <w:bidi w:val="0"/>
              <w:spacing w:before="0" w:after="283"/>
              <w:jc w:val="left"/>
              <w:rPr/>
            </w:pPr>
            <w:r>
              <w:rPr/>
              <w:t> </w:t>
            </w:r>
          </w:p>
        </w:tc>
      </w:tr>
      <w:tr>
        <w:trPr/>
        <w:tc>
          <w:tcPr>
            <w:tcW w:w="5753" w:type="dxa"/>
            <w:tcBorders/>
          </w:tcPr>
          <w:p>
            <w:pPr>
              <w:pStyle w:val="TableContents"/>
              <w:bidi w:val="0"/>
              <w:spacing w:before="0" w:after="0"/>
              <w:jc w:val="left"/>
              <w:rPr>
                <w:rFonts w:ascii="Times New Roman" w:hAnsi="Times New Roman"/>
                <w:sz w:val="20"/>
              </w:rPr>
            </w:pPr>
            <w:r>
              <w:rPr>
                <w:rFonts w:ascii="Times New Roman" w:hAnsi="Times New Roman"/>
                <w:sz w:val="20"/>
              </w:rPr>
              <w:t>Long-term liabilities:</w:t>
            </w:r>
          </w:p>
        </w:tc>
        <w:tc>
          <w:tcPr>
            <w:tcW w:w="378"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122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26"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sz w:val="4"/>
                <w:szCs w:val="4"/>
              </w:rPr>
            </w:pPr>
            <w:r>
              <w:rPr>
                <w:sz w:val="4"/>
                <w:szCs w:val="4"/>
              </w:rPr>
            </w:r>
          </w:p>
        </w:tc>
        <w:tc>
          <w:tcPr>
            <w:tcW w:w="1743"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57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Warrant liability</w:t>
            </w:r>
          </w:p>
        </w:tc>
        <w:tc>
          <w:tcPr>
            <w:tcW w:w="378"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8" w:type="dxa"/>
            <w:tcBorders/>
            <w:shd w:fill="CCEEFF" w:val="clear"/>
            <w:vAlign w:val="bottom"/>
          </w:tcPr>
          <w:p>
            <w:pPr>
              <w:pStyle w:val="TableContents"/>
              <w:bidi w:val="0"/>
              <w:spacing w:before="0" w:after="283"/>
              <w:jc w:val="right"/>
              <w:rPr/>
            </w:pPr>
            <w:r>
              <w:rPr/>
              <w:t>232,690</w:t>
            </w:r>
          </w:p>
        </w:tc>
        <w:tc>
          <w:tcPr>
            <w:tcW w:w="155"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1743" w:type="dxa"/>
            <w:tcBorders/>
            <w:shd w:fill="CCEEFF" w:val="clear"/>
            <w:vAlign w:val="bottom"/>
          </w:tcPr>
          <w:p>
            <w:pPr>
              <w:pStyle w:val="TableContents"/>
              <w:bidi w:val="0"/>
              <w:spacing w:before="0" w:after="283"/>
              <w:jc w:val="right"/>
              <w:rPr/>
            </w:pPr>
            <w:r>
              <w:rPr/>
              <w:t>171,465</w:t>
            </w:r>
          </w:p>
        </w:tc>
        <w:tc>
          <w:tcPr>
            <w:tcW w:w="158" w:type="dxa"/>
            <w:tcBorders/>
            <w:shd w:fill="CCEEFF" w:val="clear"/>
            <w:vAlign w:val="bottom"/>
          </w:tcPr>
          <w:p>
            <w:pPr>
              <w:pStyle w:val="TableContents"/>
              <w:bidi w:val="0"/>
              <w:spacing w:before="0" w:after="283"/>
              <w:jc w:val="left"/>
              <w:rPr/>
            </w:pPr>
            <w:r>
              <w:rPr/>
              <w:t> </w:t>
            </w:r>
          </w:p>
        </w:tc>
      </w:tr>
      <w:tr>
        <w:trPr/>
        <w:tc>
          <w:tcPr>
            <w:tcW w:w="5753" w:type="dxa"/>
            <w:tcBorders/>
          </w:tcPr>
          <w:p>
            <w:pPr>
              <w:pStyle w:val="TableContents"/>
              <w:bidi w:val="0"/>
              <w:spacing w:before="0" w:after="0"/>
              <w:jc w:val="left"/>
              <w:rPr>
                <w:rFonts w:ascii="Times New Roman" w:hAnsi="Times New Roman"/>
                <w:sz w:val="20"/>
              </w:rPr>
            </w:pPr>
            <w:r>
              <w:rPr>
                <w:rFonts w:ascii="Times New Roman" w:hAnsi="Times New Roman"/>
                <w:sz w:val="20"/>
              </w:rPr>
              <w:t>Liability related to the sale of future royalties</w:t>
            </w:r>
          </w:p>
        </w:tc>
        <w:tc>
          <w:tcPr>
            <w:tcW w:w="378"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8" w:type="dxa"/>
            <w:tcBorders/>
            <w:vAlign w:val="bottom"/>
          </w:tcPr>
          <w:p>
            <w:pPr>
              <w:pStyle w:val="TableContents"/>
              <w:bidi w:val="0"/>
              <w:spacing w:before="0" w:after="283"/>
              <w:jc w:val="right"/>
              <w:rPr/>
            </w:pPr>
            <w:r>
              <w:rPr/>
              <w:t>60,000</w:t>
            </w:r>
          </w:p>
        </w:tc>
        <w:tc>
          <w:tcPr>
            <w:tcW w:w="155"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743" w:type="dxa"/>
            <w:tcBorders/>
            <w:vAlign w:val="bottom"/>
          </w:tcPr>
          <w:p>
            <w:pPr>
              <w:pStyle w:val="TableContents"/>
              <w:bidi w:val="0"/>
              <w:spacing w:before="0" w:after="283"/>
              <w:jc w:val="right"/>
              <w:rPr/>
            </w:pPr>
            <w:r>
              <w:rPr/>
              <w:t>60,000</w:t>
            </w:r>
          </w:p>
        </w:tc>
        <w:tc>
          <w:tcPr>
            <w:tcW w:w="158" w:type="dxa"/>
            <w:tcBorders/>
            <w:vAlign w:val="bottom"/>
          </w:tcPr>
          <w:p>
            <w:pPr>
              <w:pStyle w:val="TableContents"/>
              <w:bidi w:val="0"/>
              <w:spacing w:before="0" w:after="283"/>
              <w:jc w:val="left"/>
              <w:rPr/>
            </w:pPr>
            <w:r>
              <w:rPr/>
              <w:t> </w:t>
            </w:r>
          </w:p>
        </w:tc>
      </w:tr>
      <w:tr>
        <w:trPr/>
        <w:tc>
          <w:tcPr>
            <w:tcW w:w="5753"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liabilities</w:t>
            </w:r>
          </w:p>
        </w:tc>
        <w:tc>
          <w:tcPr>
            <w:tcW w:w="378"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8" w:type="dxa"/>
            <w:tcBorders/>
            <w:shd w:fill="CCEEFF" w:val="clear"/>
            <w:vAlign w:val="bottom"/>
          </w:tcPr>
          <w:p>
            <w:pPr>
              <w:pStyle w:val="TableContents"/>
              <w:bidi w:val="0"/>
              <w:spacing w:before="0" w:after="283"/>
              <w:jc w:val="right"/>
              <w:rPr>
                <w:b/>
              </w:rPr>
            </w:pPr>
            <w:r>
              <w:rPr>
                <w:b/>
              </w:rPr>
              <w:t>296,648</w:t>
            </w:r>
          </w:p>
        </w:tc>
        <w:tc>
          <w:tcPr>
            <w:tcW w:w="155"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1743" w:type="dxa"/>
            <w:tcBorders/>
            <w:shd w:fill="CCEEFF" w:val="clear"/>
            <w:vAlign w:val="bottom"/>
          </w:tcPr>
          <w:p>
            <w:pPr>
              <w:pStyle w:val="TableContents"/>
              <w:bidi w:val="0"/>
              <w:spacing w:before="0" w:after="283"/>
              <w:jc w:val="right"/>
              <w:rPr>
                <w:b/>
              </w:rPr>
            </w:pPr>
            <w:r>
              <w:rPr>
                <w:b/>
              </w:rPr>
              <w:t>233,755</w:t>
            </w:r>
          </w:p>
        </w:tc>
        <w:tc>
          <w:tcPr>
            <w:tcW w:w="158" w:type="dxa"/>
            <w:tcBorders/>
            <w:shd w:fill="CCEEFF" w:val="clear"/>
            <w:vAlign w:val="bottom"/>
          </w:tcPr>
          <w:p>
            <w:pPr>
              <w:pStyle w:val="TableContents"/>
              <w:bidi w:val="0"/>
              <w:spacing w:before="0" w:after="283"/>
              <w:jc w:val="left"/>
              <w:rPr/>
            </w:pPr>
            <w:r>
              <w:rPr/>
              <w:t> </w:t>
            </w:r>
          </w:p>
        </w:tc>
      </w:tr>
      <w:tr>
        <w:trPr/>
        <w:tc>
          <w:tcPr>
            <w:tcW w:w="5753" w:type="dxa"/>
            <w:tcBorders/>
          </w:tcPr>
          <w:p>
            <w:pPr>
              <w:pStyle w:val="TableContents"/>
              <w:bidi w:val="0"/>
              <w:spacing w:before="0" w:after="0"/>
              <w:jc w:val="left"/>
              <w:rPr>
                <w:rFonts w:ascii="Times New Roman" w:hAnsi="Times New Roman"/>
                <w:sz w:val="20"/>
              </w:rPr>
            </w:pPr>
            <w:r>
              <w:rPr>
                <w:rFonts w:ascii="Times New Roman" w:hAnsi="Times New Roman"/>
                <w:sz w:val="20"/>
              </w:rPr>
              <w:t>Redeemable preferred stock:</w:t>
            </w:r>
          </w:p>
        </w:tc>
        <w:tc>
          <w:tcPr>
            <w:tcW w:w="378"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122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26"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sz w:val="4"/>
                <w:szCs w:val="4"/>
              </w:rPr>
            </w:pPr>
            <w:r>
              <w:rPr>
                <w:sz w:val="4"/>
                <w:szCs w:val="4"/>
              </w:rPr>
            </w:r>
          </w:p>
        </w:tc>
        <w:tc>
          <w:tcPr>
            <w:tcW w:w="1743"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57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A convertible preferred stock</w:t>
            </w:r>
          </w:p>
        </w:tc>
        <w:tc>
          <w:tcPr>
            <w:tcW w:w="378"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8" w:type="dxa"/>
            <w:tcBorders/>
            <w:shd w:fill="CCEEFF" w:val="clear"/>
            <w:vAlign w:val="bottom"/>
          </w:tcPr>
          <w:p>
            <w:pPr>
              <w:pStyle w:val="TableContents"/>
              <w:bidi w:val="0"/>
              <w:spacing w:before="0" w:after="283"/>
              <w:jc w:val="right"/>
              <w:rPr/>
            </w:pPr>
            <w:r>
              <w:rPr/>
              <w:t>11,741</w:t>
            </w:r>
          </w:p>
        </w:tc>
        <w:tc>
          <w:tcPr>
            <w:tcW w:w="155"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1743" w:type="dxa"/>
            <w:tcBorders/>
            <w:shd w:fill="CCEEFF" w:val="clear"/>
            <w:vAlign w:val="bottom"/>
          </w:tcPr>
          <w:p>
            <w:pPr>
              <w:pStyle w:val="TableContents"/>
              <w:bidi w:val="0"/>
              <w:spacing w:before="0" w:after="283"/>
              <w:jc w:val="right"/>
              <w:rPr/>
            </w:pPr>
            <w:r>
              <w:rPr/>
              <w:t>4,962</w:t>
            </w:r>
          </w:p>
        </w:tc>
        <w:tc>
          <w:tcPr>
            <w:tcW w:w="158" w:type="dxa"/>
            <w:tcBorders/>
            <w:shd w:fill="CCEEFF" w:val="clear"/>
            <w:vAlign w:val="bottom"/>
          </w:tcPr>
          <w:p>
            <w:pPr>
              <w:pStyle w:val="TableContents"/>
              <w:bidi w:val="0"/>
              <w:spacing w:before="0" w:after="283"/>
              <w:jc w:val="left"/>
              <w:rPr/>
            </w:pPr>
            <w:r>
              <w:rPr/>
              <w:t> </w:t>
            </w:r>
          </w:p>
        </w:tc>
      </w:tr>
      <w:tr>
        <w:trPr/>
        <w:tc>
          <w:tcPr>
            <w:tcW w:w="5753" w:type="dxa"/>
            <w:tcBorders/>
          </w:tcPr>
          <w:p>
            <w:pPr>
              <w:pStyle w:val="TableContents"/>
              <w:bidi w:val="0"/>
              <w:spacing w:before="0" w:after="0"/>
              <w:jc w:val="left"/>
              <w:rPr>
                <w:rFonts w:ascii="Times New Roman" w:hAnsi="Times New Roman"/>
                <w:sz w:val="20"/>
              </w:rPr>
            </w:pPr>
            <w:r>
              <w:rPr>
                <w:rFonts w:ascii="Times New Roman" w:hAnsi="Times New Roman"/>
                <w:sz w:val="20"/>
              </w:rPr>
              <w:t>Stockholders’ deficit:</w:t>
            </w:r>
          </w:p>
        </w:tc>
        <w:tc>
          <w:tcPr>
            <w:tcW w:w="378"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122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26"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sz w:val="4"/>
                <w:szCs w:val="4"/>
              </w:rPr>
            </w:pPr>
            <w:r>
              <w:rPr>
                <w:sz w:val="4"/>
                <w:szCs w:val="4"/>
              </w:rPr>
            </w:r>
          </w:p>
        </w:tc>
        <w:tc>
          <w:tcPr>
            <w:tcW w:w="1743"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57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Common stock</w:t>
            </w:r>
          </w:p>
        </w:tc>
        <w:tc>
          <w:tcPr>
            <w:tcW w:w="378"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8" w:type="dxa"/>
            <w:tcBorders/>
            <w:shd w:fill="CCEEFF" w:val="clear"/>
            <w:vAlign w:val="bottom"/>
          </w:tcPr>
          <w:p>
            <w:pPr>
              <w:pStyle w:val="TableContents"/>
              <w:bidi w:val="0"/>
              <w:spacing w:before="0" w:after="283"/>
              <w:jc w:val="right"/>
              <w:rPr/>
            </w:pPr>
            <w:r>
              <w:rPr/>
              <w:t>5</w:t>
            </w:r>
          </w:p>
        </w:tc>
        <w:tc>
          <w:tcPr>
            <w:tcW w:w="155"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1743" w:type="dxa"/>
            <w:tcBorders/>
            <w:shd w:fill="CCEEFF" w:val="clear"/>
            <w:vAlign w:val="bottom"/>
          </w:tcPr>
          <w:p>
            <w:pPr>
              <w:pStyle w:val="TableContents"/>
              <w:bidi w:val="0"/>
              <w:spacing w:before="0" w:after="283"/>
              <w:jc w:val="right"/>
              <w:rPr/>
            </w:pPr>
            <w:r>
              <w:rPr/>
              <w:t>4</w:t>
            </w:r>
          </w:p>
        </w:tc>
        <w:tc>
          <w:tcPr>
            <w:tcW w:w="158" w:type="dxa"/>
            <w:tcBorders/>
            <w:shd w:fill="CCEEFF" w:val="clear"/>
            <w:vAlign w:val="bottom"/>
          </w:tcPr>
          <w:p>
            <w:pPr>
              <w:pStyle w:val="TableContents"/>
              <w:bidi w:val="0"/>
              <w:spacing w:before="0" w:after="283"/>
              <w:jc w:val="left"/>
              <w:rPr/>
            </w:pPr>
            <w:r>
              <w:rPr/>
              <w:t> </w:t>
            </w:r>
          </w:p>
        </w:tc>
      </w:tr>
      <w:tr>
        <w:trPr/>
        <w:tc>
          <w:tcPr>
            <w:tcW w:w="5753" w:type="dxa"/>
            <w:tcBorders/>
          </w:tcPr>
          <w:p>
            <w:pPr>
              <w:pStyle w:val="TableContents"/>
              <w:bidi w:val="0"/>
              <w:spacing w:before="0" w:after="0"/>
              <w:jc w:val="left"/>
              <w:rPr>
                <w:rFonts w:ascii="Times New Roman" w:hAnsi="Times New Roman"/>
                <w:sz w:val="20"/>
              </w:rPr>
            </w:pPr>
            <w:r>
              <w:rPr>
                <w:rFonts w:ascii="Times New Roman" w:hAnsi="Times New Roman"/>
                <w:sz w:val="20"/>
              </w:rPr>
              <w:t>Additional paid-in capital</w:t>
            </w:r>
          </w:p>
        </w:tc>
        <w:tc>
          <w:tcPr>
            <w:tcW w:w="378"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8" w:type="dxa"/>
            <w:tcBorders/>
            <w:vAlign w:val="bottom"/>
          </w:tcPr>
          <w:p>
            <w:pPr>
              <w:pStyle w:val="TableContents"/>
              <w:bidi w:val="0"/>
              <w:spacing w:before="0" w:after="283"/>
              <w:jc w:val="right"/>
              <w:rPr/>
            </w:pPr>
            <w:r>
              <w:rPr/>
              <w:t>583,432</w:t>
            </w:r>
          </w:p>
        </w:tc>
        <w:tc>
          <w:tcPr>
            <w:tcW w:w="155"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743" w:type="dxa"/>
            <w:tcBorders/>
            <w:vAlign w:val="bottom"/>
          </w:tcPr>
          <w:p>
            <w:pPr>
              <w:pStyle w:val="TableContents"/>
              <w:bidi w:val="0"/>
              <w:spacing w:before="0" w:after="283"/>
              <w:jc w:val="right"/>
              <w:rPr/>
            </w:pPr>
            <w:r>
              <w:rPr/>
              <w:t>548,047</w:t>
            </w:r>
          </w:p>
        </w:tc>
        <w:tc>
          <w:tcPr>
            <w:tcW w:w="158" w:type="dxa"/>
            <w:tcBorders/>
            <w:vAlign w:val="bottom"/>
          </w:tcPr>
          <w:p>
            <w:pPr>
              <w:pStyle w:val="TableContents"/>
              <w:bidi w:val="0"/>
              <w:spacing w:before="0" w:after="283"/>
              <w:jc w:val="left"/>
              <w:rPr/>
            </w:pPr>
            <w:r>
              <w:rPr/>
              <w:t> </w:t>
            </w:r>
          </w:p>
        </w:tc>
      </w:tr>
      <w:tr>
        <w:trPr/>
        <w:tc>
          <w:tcPr>
            <w:tcW w:w="57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378"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8" w:type="dxa"/>
            <w:tcBorders/>
            <w:shd w:fill="CCEEFF" w:val="clear"/>
            <w:vAlign w:val="bottom"/>
          </w:tcPr>
          <w:p>
            <w:pPr>
              <w:pStyle w:val="TableContents"/>
              <w:bidi w:val="0"/>
              <w:spacing w:before="0" w:after="283"/>
              <w:jc w:val="right"/>
              <w:rPr/>
            </w:pPr>
            <w:r>
              <w:rPr/>
              <w:t>(796,737</w:t>
            </w:r>
          </w:p>
        </w:tc>
        <w:tc>
          <w:tcPr>
            <w:tcW w:w="155"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1743" w:type="dxa"/>
            <w:tcBorders/>
            <w:shd w:fill="CCEEFF" w:val="clear"/>
            <w:vAlign w:val="bottom"/>
          </w:tcPr>
          <w:p>
            <w:pPr>
              <w:pStyle w:val="TableContents"/>
              <w:bidi w:val="0"/>
              <w:spacing w:before="0" w:after="283"/>
              <w:jc w:val="right"/>
              <w:rPr/>
            </w:pPr>
            <w:r>
              <w:rPr/>
              <w:t>(688,799</w:t>
            </w:r>
          </w:p>
        </w:tc>
        <w:tc>
          <w:tcPr>
            <w:tcW w:w="158" w:type="dxa"/>
            <w:tcBorders/>
            <w:shd w:fill="CCEEFF" w:val="clear"/>
            <w:vAlign w:val="bottom"/>
          </w:tcPr>
          <w:p>
            <w:pPr>
              <w:pStyle w:val="TableContents"/>
              <w:bidi w:val="0"/>
              <w:spacing w:before="0" w:after="283"/>
              <w:jc w:val="left"/>
              <w:rPr/>
            </w:pPr>
            <w:r>
              <w:rPr/>
              <w:t>) </w:t>
            </w:r>
          </w:p>
        </w:tc>
      </w:tr>
      <w:tr>
        <w:trPr/>
        <w:tc>
          <w:tcPr>
            <w:tcW w:w="5753"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stockholders’ deficit</w:t>
            </w:r>
          </w:p>
        </w:tc>
        <w:tc>
          <w:tcPr>
            <w:tcW w:w="378"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8" w:type="dxa"/>
            <w:tcBorders/>
            <w:vAlign w:val="bottom"/>
          </w:tcPr>
          <w:p>
            <w:pPr>
              <w:pStyle w:val="TableContents"/>
              <w:bidi w:val="0"/>
              <w:spacing w:before="0" w:after="283"/>
              <w:jc w:val="right"/>
              <w:rPr>
                <w:b/>
              </w:rPr>
            </w:pPr>
            <w:r>
              <w:rPr>
                <w:b/>
              </w:rPr>
              <w:t>(213,300</w:t>
            </w:r>
          </w:p>
        </w:tc>
        <w:tc>
          <w:tcPr>
            <w:tcW w:w="155" w:type="dxa"/>
            <w:tcBorders/>
            <w:vAlign w:val="bottom"/>
          </w:tcPr>
          <w:p>
            <w:pPr>
              <w:pStyle w:val="TableContents"/>
              <w:bidi w:val="0"/>
              <w:spacing w:before="0" w:after="283"/>
              <w:jc w:val="left"/>
              <w:rPr>
                <w:b/>
              </w:rPr>
            </w:pPr>
            <w:r>
              <w:rPr>
                <w:b/>
              </w:rPr>
              <w:t>) </w:t>
            </w:r>
          </w:p>
        </w:tc>
        <w:tc>
          <w:tcPr>
            <w:tcW w:w="326"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743" w:type="dxa"/>
            <w:tcBorders/>
            <w:vAlign w:val="bottom"/>
          </w:tcPr>
          <w:p>
            <w:pPr>
              <w:pStyle w:val="TableContents"/>
              <w:bidi w:val="0"/>
              <w:spacing w:before="0" w:after="283"/>
              <w:jc w:val="right"/>
              <w:rPr>
                <w:b/>
              </w:rPr>
            </w:pPr>
            <w:r>
              <w:rPr>
                <w:b/>
              </w:rPr>
              <w:t>(140,748</w:t>
            </w:r>
          </w:p>
        </w:tc>
        <w:tc>
          <w:tcPr>
            <w:tcW w:w="158" w:type="dxa"/>
            <w:tcBorders/>
            <w:vAlign w:val="bottom"/>
          </w:tcPr>
          <w:p>
            <w:pPr>
              <w:pStyle w:val="TableContents"/>
              <w:bidi w:val="0"/>
              <w:spacing w:before="0" w:after="283"/>
              <w:jc w:val="left"/>
              <w:rPr>
                <w:b/>
              </w:rPr>
            </w:pPr>
            <w:r>
              <w:rPr>
                <w:b/>
              </w:rPr>
              <w:t>) </w:t>
            </w:r>
          </w:p>
        </w:tc>
      </w:tr>
      <w:tr>
        <w:trPr/>
        <w:tc>
          <w:tcPr>
            <w:tcW w:w="5753"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liabilities, redeemable preferred stock and stockholders’ deficit</w:t>
            </w:r>
          </w:p>
        </w:tc>
        <w:tc>
          <w:tcPr>
            <w:tcW w:w="378"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b/>
              </w:rPr>
            </w:pPr>
            <w:r>
              <w:rPr>
                <w:b/>
              </w:rPr>
              <w:t>$</w:t>
            </w:r>
          </w:p>
        </w:tc>
        <w:tc>
          <w:tcPr>
            <w:tcW w:w="1228" w:type="dxa"/>
            <w:tcBorders/>
            <w:shd w:fill="CCEEFF" w:val="clear"/>
            <w:vAlign w:val="bottom"/>
          </w:tcPr>
          <w:p>
            <w:pPr>
              <w:pStyle w:val="TableContents"/>
              <w:bidi w:val="0"/>
              <w:spacing w:before="0" w:after="283"/>
              <w:jc w:val="right"/>
              <w:rPr>
                <w:b/>
              </w:rPr>
            </w:pPr>
            <w:r>
              <w:rPr>
                <w:b/>
              </w:rPr>
              <w:t>95,089</w:t>
            </w:r>
          </w:p>
        </w:tc>
        <w:tc>
          <w:tcPr>
            <w:tcW w:w="155"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b/>
              </w:rPr>
            </w:pPr>
            <w:r>
              <w:rPr>
                <w:b/>
              </w:rPr>
              <w:t>$</w:t>
            </w:r>
          </w:p>
        </w:tc>
        <w:tc>
          <w:tcPr>
            <w:tcW w:w="1743" w:type="dxa"/>
            <w:tcBorders/>
            <w:shd w:fill="CCEEFF" w:val="clear"/>
            <w:vAlign w:val="bottom"/>
          </w:tcPr>
          <w:p>
            <w:pPr>
              <w:pStyle w:val="TableContents"/>
              <w:bidi w:val="0"/>
              <w:spacing w:before="0" w:after="283"/>
              <w:jc w:val="right"/>
              <w:rPr>
                <w:b/>
              </w:rPr>
            </w:pPr>
            <w:r>
              <w:rPr>
                <w:b/>
              </w:rPr>
              <w:t>97,969</w:t>
            </w:r>
          </w:p>
        </w:tc>
        <w:tc>
          <w:tcPr>
            <w:tcW w:w="158" w:type="dxa"/>
            <w:tcBorders/>
            <w:shd w:fill="CCEEFF" w:val="clear"/>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b/>
          <w:sz w:val="20"/>
        </w:rPr>
      </w:pPr>
      <w:r>
        <w:rPr>
          <w:rFonts w:ascii="Times New Roman" w:hAnsi="Times New Roman"/>
          <w:b/>
          <w:sz w:val="20"/>
        </w:rPr>
        <w:t xml:space="preserve">CONDENSED CONSOLIDATED STATEMENTS OF OPERATIONS </w:t>
      </w:r>
    </w:p>
    <w:p>
      <w:pPr>
        <w:pStyle w:val="TextBody"/>
        <w:bidi w:val="0"/>
        <w:spacing w:before="0" w:after="0"/>
        <w:jc w:val="left"/>
        <w:rPr>
          <w:rFonts w:ascii="Times New Roman" w:hAnsi="Times New Roman"/>
          <w:sz w:val="20"/>
        </w:rPr>
      </w:pPr>
      <w:r>
        <w:rPr>
          <w:rFonts w:ascii="Times New Roman" w:hAnsi="Times New Roman"/>
          <w:sz w:val="20"/>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211"/>
        <w:gridCol w:w="195"/>
        <w:gridCol w:w="253"/>
        <w:gridCol w:w="1351"/>
        <w:gridCol w:w="155"/>
        <w:gridCol w:w="143"/>
        <w:gridCol w:w="140"/>
        <w:gridCol w:w="636"/>
        <w:gridCol w:w="155"/>
        <w:gridCol w:w="143"/>
        <w:gridCol w:w="213"/>
        <w:gridCol w:w="1376"/>
        <w:gridCol w:w="155"/>
        <w:gridCol w:w="142"/>
        <w:gridCol w:w="140"/>
        <w:gridCol w:w="636"/>
        <w:gridCol w:w="161"/>
      </w:tblGrid>
      <w:tr>
        <w:trPr/>
        <w:tc>
          <w:tcPr>
            <w:tcW w:w="4211" w:type="dxa"/>
            <w:tcBorders/>
            <w:vAlign w:val="center"/>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211"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604" w:type="dxa"/>
            <w:gridSpan w:val="2"/>
            <w:tcBorders/>
            <w:vAlign w:val="bottom"/>
          </w:tcPr>
          <w:p>
            <w:pPr>
              <w:pStyle w:val="TableContents"/>
              <w:bidi w:val="0"/>
              <w:spacing w:before="0" w:after="283"/>
              <w:jc w:val="center"/>
              <w:rPr>
                <w:b/>
              </w:rPr>
            </w:pPr>
            <w:r>
              <w:rPr>
                <w:b/>
              </w:rPr>
              <w:t>Three Months</w:t>
              <w:br/>
              <w:t>Ended June 30,</w:t>
            </w:r>
          </w:p>
        </w:tc>
        <w:tc>
          <w:tcPr>
            <w:tcW w:w="15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776"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589" w:type="dxa"/>
            <w:gridSpan w:val="2"/>
            <w:tcBorders/>
            <w:vAlign w:val="bottom"/>
          </w:tcPr>
          <w:p>
            <w:pPr>
              <w:pStyle w:val="TableContents"/>
              <w:bidi w:val="0"/>
              <w:spacing w:before="0" w:after="283"/>
              <w:jc w:val="center"/>
              <w:rPr>
                <w:b/>
              </w:rPr>
            </w:pPr>
            <w:r>
              <w:rPr>
                <w:b/>
              </w:rPr>
              <w:t>Six Months</w:t>
              <w:br/>
              <w:t>Ended June 30,</w:t>
            </w:r>
          </w:p>
        </w:tc>
        <w:tc>
          <w:tcPr>
            <w:tcW w:w="15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776" w:type="dxa"/>
            <w:gridSpan w:val="2"/>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r>
      <w:tr>
        <w:trPr/>
        <w:tc>
          <w:tcPr>
            <w:tcW w:w="4211"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604" w:type="dxa"/>
            <w:gridSpan w:val="2"/>
            <w:tcBorders/>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776" w:type="dxa"/>
            <w:gridSpan w:val="2"/>
            <w:tcBorders/>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589" w:type="dxa"/>
            <w:gridSpan w:val="2"/>
            <w:tcBorders/>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776" w:type="dxa"/>
            <w:gridSpan w:val="2"/>
            <w:tcBorders/>
            <w:vAlign w:val="bottom"/>
          </w:tcPr>
          <w:p>
            <w:pPr>
              <w:pStyle w:val="TableContents"/>
              <w:bidi w:val="0"/>
              <w:spacing w:before="0" w:after="283"/>
              <w:jc w:val="center"/>
              <w:rPr>
                <w:b/>
              </w:rPr>
            </w:pPr>
            <w:r>
              <w:rPr>
                <w:b/>
              </w:rPr>
              <w:t>2025</w:t>
            </w:r>
          </w:p>
        </w:tc>
        <w:tc>
          <w:tcPr>
            <w:tcW w:w="161" w:type="dxa"/>
            <w:tcBorders/>
            <w:vAlign w:val="bottom"/>
          </w:tcPr>
          <w:p>
            <w:pPr>
              <w:pStyle w:val="TableContents"/>
              <w:bidi w:val="0"/>
              <w:spacing w:before="0" w:after="283"/>
              <w:jc w:val="left"/>
              <w:rPr/>
            </w:pPr>
            <w:r>
              <w:rPr/>
              <w:t> </w:t>
            </w:r>
          </w:p>
        </w:tc>
      </w:tr>
      <w:tr>
        <w:trPr/>
        <w:tc>
          <w:tcPr>
            <w:tcW w:w="421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Operating expenses:</w:t>
            </w:r>
          </w:p>
        </w:tc>
        <w:tc>
          <w:tcPr>
            <w:tcW w:w="195"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sz w:val="4"/>
                <w:szCs w:val="4"/>
              </w:rPr>
            </w:pPr>
            <w:r>
              <w:rPr>
                <w:sz w:val="4"/>
                <w:szCs w:val="4"/>
              </w:rPr>
            </w:r>
          </w:p>
        </w:tc>
        <w:tc>
          <w:tcPr>
            <w:tcW w:w="135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3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43"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sz w:val="4"/>
                <w:szCs w:val="4"/>
              </w:rPr>
            </w:pPr>
            <w:r>
              <w:rPr>
                <w:sz w:val="4"/>
                <w:szCs w:val="4"/>
              </w:rPr>
            </w:r>
          </w:p>
        </w:tc>
        <w:tc>
          <w:tcPr>
            <w:tcW w:w="137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36"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4211"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195"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w:t>
            </w:r>
          </w:p>
        </w:tc>
        <w:tc>
          <w:tcPr>
            <w:tcW w:w="1351" w:type="dxa"/>
            <w:tcBorders/>
            <w:vAlign w:val="bottom"/>
          </w:tcPr>
          <w:p>
            <w:pPr>
              <w:pStyle w:val="TableContents"/>
              <w:bidi w:val="0"/>
              <w:spacing w:before="0" w:after="283"/>
              <w:jc w:val="right"/>
              <w:rPr/>
            </w:pPr>
            <w:r>
              <w:rPr/>
              <w:t>7,187</w:t>
            </w:r>
          </w:p>
        </w:tc>
        <w:tc>
          <w:tcPr>
            <w:tcW w:w="15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36" w:type="dxa"/>
            <w:tcBorders/>
            <w:vAlign w:val="bottom"/>
          </w:tcPr>
          <w:p>
            <w:pPr>
              <w:pStyle w:val="TableContents"/>
              <w:bidi w:val="0"/>
              <w:spacing w:before="0" w:after="283"/>
              <w:jc w:val="right"/>
              <w:rPr/>
            </w:pPr>
            <w:r>
              <w:rPr/>
              <w:t>1,298</w:t>
            </w:r>
          </w:p>
        </w:tc>
        <w:tc>
          <w:tcPr>
            <w:tcW w:w="15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w:t>
            </w:r>
          </w:p>
        </w:tc>
        <w:tc>
          <w:tcPr>
            <w:tcW w:w="1376" w:type="dxa"/>
            <w:tcBorders/>
            <w:vAlign w:val="bottom"/>
          </w:tcPr>
          <w:p>
            <w:pPr>
              <w:pStyle w:val="TableContents"/>
              <w:bidi w:val="0"/>
              <w:spacing w:before="0" w:after="283"/>
              <w:jc w:val="right"/>
              <w:rPr/>
            </w:pPr>
            <w:r>
              <w:rPr/>
              <w:t>12,442</w:t>
            </w:r>
          </w:p>
        </w:tc>
        <w:tc>
          <w:tcPr>
            <w:tcW w:w="15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36" w:type="dxa"/>
            <w:tcBorders/>
            <w:vAlign w:val="bottom"/>
          </w:tcPr>
          <w:p>
            <w:pPr>
              <w:pStyle w:val="TableContents"/>
              <w:bidi w:val="0"/>
              <w:spacing w:before="0" w:after="283"/>
              <w:jc w:val="right"/>
              <w:rPr/>
            </w:pPr>
            <w:r>
              <w:rPr/>
              <w:t>2,660</w:t>
            </w:r>
          </w:p>
        </w:tc>
        <w:tc>
          <w:tcPr>
            <w:tcW w:w="161" w:type="dxa"/>
            <w:tcBorders/>
            <w:vAlign w:val="bottom"/>
          </w:tcPr>
          <w:p>
            <w:pPr>
              <w:pStyle w:val="TableContents"/>
              <w:bidi w:val="0"/>
              <w:spacing w:before="0" w:after="283"/>
              <w:jc w:val="left"/>
              <w:rPr/>
            </w:pPr>
            <w:r>
              <w:rPr/>
              <w:t> </w:t>
            </w:r>
          </w:p>
        </w:tc>
      </w:tr>
      <w:tr>
        <w:trPr/>
        <w:tc>
          <w:tcPr>
            <w:tcW w:w="42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195"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1351" w:type="dxa"/>
            <w:tcBorders/>
            <w:shd w:fill="CCEEFF" w:val="clear"/>
            <w:vAlign w:val="bottom"/>
          </w:tcPr>
          <w:p>
            <w:pPr>
              <w:pStyle w:val="TableContents"/>
              <w:bidi w:val="0"/>
              <w:spacing w:before="0" w:after="283"/>
              <w:jc w:val="right"/>
              <w:rPr/>
            </w:pPr>
            <w:r>
              <w:rPr/>
              <w:t>3,455</w:t>
            </w:r>
          </w:p>
        </w:tc>
        <w:tc>
          <w:tcPr>
            <w:tcW w:w="15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6" w:type="dxa"/>
            <w:tcBorders/>
            <w:shd w:fill="CCEEFF" w:val="clear"/>
            <w:vAlign w:val="bottom"/>
          </w:tcPr>
          <w:p>
            <w:pPr>
              <w:pStyle w:val="TableContents"/>
              <w:bidi w:val="0"/>
              <w:spacing w:before="0" w:after="283"/>
              <w:jc w:val="right"/>
              <w:rPr/>
            </w:pPr>
            <w:r>
              <w:rPr/>
              <w:t>2,076</w:t>
            </w:r>
          </w:p>
        </w:tc>
        <w:tc>
          <w:tcPr>
            <w:tcW w:w="15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1376" w:type="dxa"/>
            <w:tcBorders/>
            <w:shd w:fill="CCEEFF" w:val="clear"/>
            <w:vAlign w:val="bottom"/>
          </w:tcPr>
          <w:p>
            <w:pPr>
              <w:pStyle w:val="TableContents"/>
              <w:bidi w:val="0"/>
              <w:spacing w:before="0" w:after="283"/>
              <w:jc w:val="right"/>
              <w:rPr/>
            </w:pPr>
            <w:r>
              <w:rPr/>
              <w:t>14,872</w:t>
            </w:r>
          </w:p>
        </w:tc>
        <w:tc>
          <w:tcPr>
            <w:tcW w:w="15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6" w:type="dxa"/>
            <w:tcBorders/>
            <w:shd w:fill="CCEEFF" w:val="clear"/>
            <w:vAlign w:val="bottom"/>
          </w:tcPr>
          <w:p>
            <w:pPr>
              <w:pStyle w:val="TableContents"/>
              <w:bidi w:val="0"/>
              <w:spacing w:before="0" w:after="283"/>
              <w:jc w:val="right"/>
              <w:rPr/>
            </w:pPr>
            <w:r>
              <w:rPr/>
              <w:t>4,617</w:t>
            </w:r>
          </w:p>
        </w:tc>
        <w:tc>
          <w:tcPr>
            <w:tcW w:w="161" w:type="dxa"/>
            <w:tcBorders/>
            <w:shd w:fill="CCEEFF" w:val="clear"/>
            <w:vAlign w:val="bottom"/>
          </w:tcPr>
          <w:p>
            <w:pPr>
              <w:pStyle w:val="TableContents"/>
              <w:bidi w:val="0"/>
              <w:spacing w:before="0" w:after="283"/>
              <w:jc w:val="left"/>
              <w:rPr/>
            </w:pPr>
            <w:r>
              <w:rPr/>
              <w:t> </w:t>
            </w:r>
          </w:p>
        </w:tc>
      </w:tr>
      <w:tr>
        <w:trPr/>
        <w:tc>
          <w:tcPr>
            <w:tcW w:w="4211"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operating expenses</w:t>
            </w:r>
          </w:p>
        </w:tc>
        <w:tc>
          <w:tcPr>
            <w:tcW w:w="195"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351" w:type="dxa"/>
            <w:tcBorders/>
            <w:vAlign w:val="bottom"/>
          </w:tcPr>
          <w:p>
            <w:pPr>
              <w:pStyle w:val="TableContents"/>
              <w:bidi w:val="0"/>
              <w:spacing w:before="0" w:after="283"/>
              <w:jc w:val="right"/>
              <w:rPr>
                <w:b/>
              </w:rPr>
            </w:pPr>
            <w:r>
              <w:rPr>
                <w:b/>
              </w:rPr>
              <w:t>10,642</w:t>
            </w:r>
          </w:p>
        </w:tc>
        <w:tc>
          <w:tcPr>
            <w:tcW w:w="15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6" w:type="dxa"/>
            <w:tcBorders/>
            <w:vAlign w:val="bottom"/>
          </w:tcPr>
          <w:p>
            <w:pPr>
              <w:pStyle w:val="TableContents"/>
              <w:bidi w:val="0"/>
              <w:spacing w:before="0" w:after="283"/>
              <w:jc w:val="right"/>
              <w:rPr>
                <w:b/>
              </w:rPr>
            </w:pPr>
            <w:r>
              <w:rPr>
                <w:b/>
              </w:rPr>
              <w:t>3,374</w:t>
            </w:r>
          </w:p>
        </w:tc>
        <w:tc>
          <w:tcPr>
            <w:tcW w:w="15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376" w:type="dxa"/>
            <w:tcBorders/>
            <w:vAlign w:val="bottom"/>
          </w:tcPr>
          <w:p>
            <w:pPr>
              <w:pStyle w:val="TableContents"/>
              <w:bidi w:val="0"/>
              <w:spacing w:before="0" w:after="283"/>
              <w:jc w:val="right"/>
              <w:rPr>
                <w:b/>
              </w:rPr>
            </w:pPr>
            <w:r>
              <w:rPr>
                <w:b/>
              </w:rPr>
              <w:t>27,314</w:t>
            </w:r>
          </w:p>
        </w:tc>
        <w:tc>
          <w:tcPr>
            <w:tcW w:w="15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6" w:type="dxa"/>
            <w:tcBorders/>
            <w:vAlign w:val="bottom"/>
          </w:tcPr>
          <w:p>
            <w:pPr>
              <w:pStyle w:val="TableContents"/>
              <w:bidi w:val="0"/>
              <w:spacing w:before="0" w:after="283"/>
              <w:jc w:val="right"/>
              <w:rPr>
                <w:b/>
              </w:rPr>
            </w:pPr>
            <w:r>
              <w:rPr>
                <w:b/>
              </w:rPr>
              <w:t>7,277</w:t>
            </w:r>
          </w:p>
        </w:tc>
        <w:tc>
          <w:tcPr>
            <w:tcW w:w="161" w:type="dxa"/>
            <w:tcBorders/>
            <w:vAlign w:val="bottom"/>
          </w:tcPr>
          <w:p>
            <w:pPr>
              <w:pStyle w:val="TableContents"/>
              <w:bidi w:val="0"/>
              <w:spacing w:before="0" w:after="283"/>
              <w:jc w:val="left"/>
              <w:rPr/>
            </w:pPr>
            <w:r>
              <w:rPr/>
              <w:t> </w:t>
            </w:r>
          </w:p>
        </w:tc>
      </w:tr>
      <w:tr>
        <w:trPr/>
        <w:tc>
          <w:tcPr>
            <w:tcW w:w="4211"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Loss from operations</w:t>
            </w:r>
          </w:p>
        </w:tc>
        <w:tc>
          <w:tcPr>
            <w:tcW w:w="195"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1351" w:type="dxa"/>
            <w:tcBorders/>
            <w:shd w:fill="CCEEFF" w:val="clear"/>
            <w:vAlign w:val="bottom"/>
          </w:tcPr>
          <w:p>
            <w:pPr>
              <w:pStyle w:val="TableContents"/>
              <w:bidi w:val="0"/>
              <w:spacing w:before="0" w:after="283"/>
              <w:jc w:val="right"/>
              <w:rPr>
                <w:b/>
              </w:rPr>
            </w:pPr>
            <w:r>
              <w:rPr>
                <w:b/>
              </w:rPr>
              <w:t>(10,642</w:t>
            </w:r>
          </w:p>
        </w:tc>
        <w:tc>
          <w:tcPr>
            <w:tcW w:w="155" w:type="dxa"/>
            <w:tcBorders/>
            <w:shd w:fill="CCEEFF" w:val="clear"/>
            <w:vAlign w:val="bottom"/>
          </w:tcPr>
          <w:p>
            <w:pPr>
              <w:pStyle w:val="TableContents"/>
              <w:bidi w:val="0"/>
              <w:spacing w:before="0" w:after="283"/>
              <w:jc w:val="left"/>
              <w:rPr>
                <w:b/>
              </w:rPr>
            </w:pPr>
            <w:r>
              <w:rPr>
                <w:b/>
              </w:rPr>
              <w:t>) </w:t>
            </w:r>
          </w:p>
        </w:tc>
        <w:tc>
          <w:tcPr>
            <w:tcW w:w="1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6" w:type="dxa"/>
            <w:tcBorders/>
            <w:shd w:fill="CCEEFF" w:val="clear"/>
            <w:vAlign w:val="bottom"/>
          </w:tcPr>
          <w:p>
            <w:pPr>
              <w:pStyle w:val="TableContents"/>
              <w:bidi w:val="0"/>
              <w:spacing w:before="0" w:after="283"/>
              <w:jc w:val="right"/>
              <w:rPr>
                <w:b/>
              </w:rPr>
            </w:pPr>
            <w:r>
              <w:rPr>
                <w:b/>
              </w:rPr>
              <w:t>(3,374</w:t>
            </w:r>
          </w:p>
        </w:tc>
        <w:tc>
          <w:tcPr>
            <w:tcW w:w="155" w:type="dxa"/>
            <w:tcBorders/>
            <w:shd w:fill="CCEEFF" w:val="clear"/>
            <w:vAlign w:val="bottom"/>
          </w:tcPr>
          <w:p>
            <w:pPr>
              <w:pStyle w:val="TableContents"/>
              <w:bidi w:val="0"/>
              <w:spacing w:before="0" w:after="283"/>
              <w:jc w:val="left"/>
              <w:rPr>
                <w:b/>
              </w:rPr>
            </w:pPr>
            <w:r>
              <w:rPr>
                <w:b/>
              </w:rPr>
              <w:t>) </w:t>
            </w:r>
          </w:p>
        </w:tc>
        <w:tc>
          <w:tcPr>
            <w:tcW w:w="143"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1376" w:type="dxa"/>
            <w:tcBorders/>
            <w:shd w:fill="CCEEFF" w:val="clear"/>
            <w:vAlign w:val="bottom"/>
          </w:tcPr>
          <w:p>
            <w:pPr>
              <w:pStyle w:val="TableContents"/>
              <w:bidi w:val="0"/>
              <w:spacing w:before="0" w:after="283"/>
              <w:jc w:val="right"/>
              <w:rPr>
                <w:b/>
              </w:rPr>
            </w:pPr>
            <w:r>
              <w:rPr>
                <w:b/>
              </w:rPr>
              <w:t>(27,314</w:t>
            </w:r>
          </w:p>
        </w:tc>
        <w:tc>
          <w:tcPr>
            <w:tcW w:w="155" w:type="dxa"/>
            <w:tcBorders/>
            <w:shd w:fill="CCEEFF" w:val="clear"/>
            <w:vAlign w:val="bottom"/>
          </w:tcPr>
          <w:p>
            <w:pPr>
              <w:pStyle w:val="TableContents"/>
              <w:bidi w:val="0"/>
              <w:spacing w:before="0" w:after="283"/>
              <w:jc w:val="left"/>
              <w:rPr>
                <w:b/>
              </w:rPr>
            </w:pPr>
            <w:r>
              <w:rPr>
                <w:b/>
              </w:rPr>
              <w:t>) </w:t>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6" w:type="dxa"/>
            <w:tcBorders/>
            <w:shd w:fill="CCEEFF" w:val="clear"/>
            <w:vAlign w:val="bottom"/>
          </w:tcPr>
          <w:p>
            <w:pPr>
              <w:pStyle w:val="TableContents"/>
              <w:bidi w:val="0"/>
              <w:spacing w:before="0" w:after="283"/>
              <w:jc w:val="right"/>
              <w:rPr>
                <w:b/>
              </w:rPr>
            </w:pPr>
            <w:r>
              <w:rPr>
                <w:b/>
              </w:rPr>
              <w:t>(7,277</w:t>
            </w:r>
          </w:p>
        </w:tc>
        <w:tc>
          <w:tcPr>
            <w:tcW w:w="161" w:type="dxa"/>
            <w:tcBorders/>
            <w:shd w:fill="CCEEFF" w:val="clear"/>
            <w:vAlign w:val="bottom"/>
          </w:tcPr>
          <w:p>
            <w:pPr>
              <w:pStyle w:val="TableContents"/>
              <w:bidi w:val="0"/>
              <w:spacing w:before="0" w:after="283"/>
              <w:jc w:val="left"/>
              <w:rPr>
                <w:b/>
              </w:rPr>
            </w:pPr>
            <w:r>
              <w:rPr>
                <w:b/>
              </w:rPr>
              <w:t>) </w:t>
            </w:r>
          </w:p>
        </w:tc>
      </w:tr>
      <w:tr>
        <w:trPr/>
        <w:tc>
          <w:tcPr>
            <w:tcW w:w="4211" w:type="dxa"/>
            <w:tcBorders/>
          </w:tcPr>
          <w:p>
            <w:pPr>
              <w:pStyle w:val="TableContents"/>
              <w:bidi w:val="0"/>
              <w:spacing w:before="0" w:after="0"/>
              <w:jc w:val="left"/>
              <w:rPr>
                <w:rFonts w:ascii="Times New Roman" w:hAnsi="Times New Roman"/>
                <w:sz w:val="20"/>
              </w:rPr>
            </w:pPr>
            <w:r>
              <w:rPr>
                <w:rFonts w:ascii="Times New Roman" w:hAnsi="Times New Roman"/>
                <w:sz w:val="20"/>
              </w:rPr>
              <w:t>Foreign exchange losses</w:t>
            </w:r>
          </w:p>
        </w:tc>
        <w:tc>
          <w:tcPr>
            <w:tcW w:w="195"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351" w:type="dxa"/>
            <w:tcBorders/>
            <w:vAlign w:val="bottom"/>
          </w:tcPr>
          <w:p>
            <w:pPr>
              <w:pStyle w:val="TableContents"/>
              <w:bidi w:val="0"/>
              <w:spacing w:before="0" w:after="283"/>
              <w:jc w:val="right"/>
              <w:rPr/>
            </w:pPr>
            <w:r>
              <w:rPr/>
              <w:t>(14</w:t>
            </w:r>
          </w:p>
        </w:tc>
        <w:tc>
          <w:tcPr>
            <w:tcW w:w="15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6" w:type="dxa"/>
            <w:tcBorders/>
            <w:vAlign w:val="bottom"/>
          </w:tcPr>
          <w:p>
            <w:pPr>
              <w:pStyle w:val="TableContents"/>
              <w:bidi w:val="0"/>
              <w:spacing w:before="0" w:after="283"/>
              <w:jc w:val="right"/>
              <w:rPr/>
            </w:pPr>
            <w:r>
              <w:rPr/>
              <w:t>(21</w:t>
            </w:r>
          </w:p>
        </w:tc>
        <w:tc>
          <w:tcPr>
            <w:tcW w:w="15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376" w:type="dxa"/>
            <w:tcBorders/>
            <w:vAlign w:val="bottom"/>
          </w:tcPr>
          <w:p>
            <w:pPr>
              <w:pStyle w:val="TableContents"/>
              <w:bidi w:val="0"/>
              <w:spacing w:before="0" w:after="283"/>
              <w:jc w:val="right"/>
              <w:rPr/>
            </w:pPr>
            <w:r>
              <w:rPr/>
              <w:t>(16</w:t>
            </w:r>
          </w:p>
        </w:tc>
        <w:tc>
          <w:tcPr>
            <w:tcW w:w="15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6" w:type="dxa"/>
            <w:tcBorders/>
            <w:vAlign w:val="bottom"/>
          </w:tcPr>
          <w:p>
            <w:pPr>
              <w:pStyle w:val="TableContents"/>
              <w:bidi w:val="0"/>
              <w:spacing w:before="0" w:after="283"/>
              <w:jc w:val="right"/>
              <w:rPr/>
            </w:pPr>
            <w:r>
              <w:rPr/>
              <w:t>(30</w:t>
            </w:r>
          </w:p>
        </w:tc>
        <w:tc>
          <w:tcPr>
            <w:tcW w:w="161" w:type="dxa"/>
            <w:tcBorders/>
            <w:vAlign w:val="bottom"/>
          </w:tcPr>
          <w:p>
            <w:pPr>
              <w:pStyle w:val="TableContents"/>
              <w:bidi w:val="0"/>
              <w:spacing w:before="0" w:after="283"/>
              <w:jc w:val="left"/>
              <w:rPr/>
            </w:pPr>
            <w:r>
              <w:rPr/>
              <w:t>) </w:t>
            </w:r>
          </w:p>
        </w:tc>
      </w:tr>
      <w:tr>
        <w:trPr/>
        <w:tc>
          <w:tcPr>
            <w:tcW w:w="42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Investment income</w:t>
            </w:r>
          </w:p>
        </w:tc>
        <w:tc>
          <w:tcPr>
            <w:tcW w:w="195"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1351" w:type="dxa"/>
            <w:tcBorders/>
            <w:shd w:fill="CCEEFF" w:val="clear"/>
            <w:vAlign w:val="bottom"/>
          </w:tcPr>
          <w:p>
            <w:pPr>
              <w:pStyle w:val="TableContents"/>
              <w:bidi w:val="0"/>
              <w:spacing w:before="0" w:after="283"/>
              <w:jc w:val="right"/>
              <w:rPr/>
            </w:pPr>
            <w:r>
              <w:rPr/>
              <w:t>569</w:t>
            </w:r>
          </w:p>
        </w:tc>
        <w:tc>
          <w:tcPr>
            <w:tcW w:w="15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6" w:type="dxa"/>
            <w:tcBorders/>
            <w:shd w:fill="CCEEFF" w:val="clear"/>
            <w:vAlign w:val="bottom"/>
          </w:tcPr>
          <w:p>
            <w:pPr>
              <w:pStyle w:val="TableContents"/>
              <w:bidi w:val="0"/>
              <w:spacing w:before="0" w:after="283"/>
              <w:jc w:val="right"/>
              <w:rPr/>
            </w:pPr>
            <w:r>
              <w:rPr/>
              <w:t>136</w:t>
            </w:r>
          </w:p>
        </w:tc>
        <w:tc>
          <w:tcPr>
            <w:tcW w:w="15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1376" w:type="dxa"/>
            <w:tcBorders/>
            <w:shd w:fill="CCEEFF" w:val="clear"/>
            <w:vAlign w:val="bottom"/>
          </w:tcPr>
          <w:p>
            <w:pPr>
              <w:pStyle w:val="TableContents"/>
              <w:bidi w:val="0"/>
              <w:spacing w:before="0" w:after="283"/>
              <w:jc w:val="right"/>
              <w:rPr/>
            </w:pPr>
            <w:r>
              <w:rPr/>
              <w:t>1,199</w:t>
            </w:r>
          </w:p>
        </w:tc>
        <w:tc>
          <w:tcPr>
            <w:tcW w:w="15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6" w:type="dxa"/>
            <w:tcBorders/>
            <w:shd w:fill="CCEEFF" w:val="clear"/>
            <w:vAlign w:val="bottom"/>
          </w:tcPr>
          <w:p>
            <w:pPr>
              <w:pStyle w:val="TableContents"/>
              <w:bidi w:val="0"/>
              <w:spacing w:before="0" w:after="283"/>
              <w:jc w:val="right"/>
              <w:rPr/>
            </w:pPr>
            <w:r>
              <w:rPr/>
              <w:t>295</w:t>
            </w:r>
          </w:p>
        </w:tc>
        <w:tc>
          <w:tcPr>
            <w:tcW w:w="161" w:type="dxa"/>
            <w:tcBorders/>
            <w:shd w:fill="CCEEFF" w:val="clear"/>
            <w:vAlign w:val="bottom"/>
          </w:tcPr>
          <w:p>
            <w:pPr>
              <w:pStyle w:val="TableContents"/>
              <w:bidi w:val="0"/>
              <w:spacing w:before="0" w:after="283"/>
              <w:jc w:val="left"/>
              <w:rPr/>
            </w:pPr>
            <w:r>
              <w:rPr/>
              <w:t> </w:t>
            </w:r>
          </w:p>
        </w:tc>
      </w:tr>
      <w:tr>
        <w:trPr/>
        <w:tc>
          <w:tcPr>
            <w:tcW w:w="4211" w:type="dxa"/>
            <w:tcBorders/>
          </w:tcPr>
          <w:p>
            <w:pPr>
              <w:pStyle w:val="TableContents"/>
              <w:bidi w:val="0"/>
              <w:spacing w:before="0" w:after="0"/>
              <w:jc w:val="left"/>
              <w:rPr>
                <w:rFonts w:ascii="Times New Roman" w:hAnsi="Times New Roman"/>
                <w:sz w:val="20"/>
              </w:rPr>
            </w:pPr>
            <w:r>
              <w:rPr>
                <w:rFonts w:ascii="Times New Roman" w:hAnsi="Times New Roman"/>
                <w:sz w:val="20"/>
              </w:rPr>
              <w:t>Change in fair value of warrant liability</w:t>
            </w:r>
          </w:p>
        </w:tc>
        <w:tc>
          <w:tcPr>
            <w:tcW w:w="195"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351" w:type="dxa"/>
            <w:tcBorders/>
            <w:vAlign w:val="bottom"/>
          </w:tcPr>
          <w:p>
            <w:pPr>
              <w:pStyle w:val="TableContents"/>
              <w:bidi w:val="0"/>
              <w:spacing w:before="0" w:after="283"/>
              <w:jc w:val="right"/>
              <w:rPr/>
            </w:pPr>
            <w:r>
              <w:rPr/>
              <w:t>27,553</w:t>
            </w:r>
          </w:p>
        </w:tc>
        <w:tc>
          <w:tcPr>
            <w:tcW w:w="15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376" w:type="dxa"/>
            <w:tcBorders/>
            <w:vAlign w:val="bottom"/>
          </w:tcPr>
          <w:p>
            <w:pPr>
              <w:pStyle w:val="TableContents"/>
              <w:bidi w:val="0"/>
              <w:spacing w:before="0" w:after="283"/>
              <w:jc w:val="right"/>
              <w:rPr/>
            </w:pPr>
            <w:r>
              <w:rPr/>
              <w:t>(81,807</w:t>
            </w:r>
          </w:p>
        </w:tc>
        <w:tc>
          <w:tcPr>
            <w:tcW w:w="15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6" w:type="dxa"/>
            <w:tcBorders/>
            <w:vAlign w:val="bottom"/>
          </w:tcPr>
          <w:p>
            <w:pPr>
              <w:pStyle w:val="TableContents"/>
              <w:bidi w:val="0"/>
              <w:spacing w:before="0" w:after="283"/>
              <w:jc w:val="right"/>
              <w:rPr/>
            </w:pPr>
            <w:r>
              <w:rPr/>
              <w:t>— </w:t>
            </w:r>
          </w:p>
        </w:tc>
        <w:tc>
          <w:tcPr>
            <w:tcW w:w="161" w:type="dxa"/>
            <w:tcBorders/>
            <w:vAlign w:val="bottom"/>
          </w:tcPr>
          <w:p>
            <w:pPr>
              <w:pStyle w:val="TableContents"/>
              <w:bidi w:val="0"/>
              <w:spacing w:before="0" w:after="283"/>
              <w:jc w:val="left"/>
              <w:rPr/>
            </w:pPr>
            <w:r>
              <w:rPr/>
              <w:t> </w:t>
            </w:r>
          </w:p>
        </w:tc>
      </w:tr>
      <w:tr>
        <w:trPr/>
        <w:tc>
          <w:tcPr>
            <w:tcW w:w="4211"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Net income (loss)</w:t>
            </w:r>
          </w:p>
        </w:tc>
        <w:tc>
          <w:tcPr>
            <w:tcW w:w="195"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b/>
              </w:rPr>
            </w:pPr>
            <w:r>
              <w:rPr>
                <w:b/>
              </w:rPr>
              <w:t>$</w:t>
            </w:r>
          </w:p>
        </w:tc>
        <w:tc>
          <w:tcPr>
            <w:tcW w:w="1351" w:type="dxa"/>
            <w:tcBorders/>
            <w:shd w:fill="CCEEFF" w:val="clear"/>
            <w:vAlign w:val="bottom"/>
          </w:tcPr>
          <w:p>
            <w:pPr>
              <w:pStyle w:val="TableContents"/>
              <w:bidi w:val="0"/>
              <w:spacing w:before="0" w:after="283"/>
              <w:jc w:val="right"/>
              <w:rPr>
                <w:b/>
              </w:rPr>
            </w:pPr>
            <w:r>
              <w:rPr>
                <w:b/>
              </w:rPr>
              <w:t>17,466</w:t>
            </w:r>
          </w:p>
        </w:tc>
        <w:tc>
          <w:tcPr>
            <w:tcW w:w="15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636" w:type="dxa"/>
            <w:tcBorders/>
            <w:shd w:fill="CCEEFF" w:val="clear"/>
            <w:vAlign w:val="bottom"/>
          </w:tcPr>
          <w:p>
            <w:pPr>
              <w:pStyle w:val="TableContents"/>
              <w:bidi w:val="0"/>
              <w:spacing w:before="0" w:after="283"/>
              <w:jc w:val="right"/>
              <w:rPr>
                <w:b/>
              </w:rPr>
            </w:pPr>
            <w:r>
              <w:rPr>
                <w:b/>
              </w:rPr>
              <w:t>(3,259</w:t>
            </w:r>
          </w:p>
        </w:tc>
        <w:tc>
          <w:tcPr>
            <w:tcW w:w="155" w:type="dxa"/>
            <w:tcBorders/>
            <w:shd w:fill="CCEEFF" w:val="clear"/>
            <w:vAlign w:val="bottom"/>
          </w:tcPr>
          <w:p>
            <w:pPr>
              <w:pStyle w:val="TableContents"/>
              <w:bidi w:val="0"/>
              <w:spacing w:before="0" w:after="283"/>
              <w:jc w:val="left"/>
              <w:rPr>
                <w:b/>
              </w:rPr>
            </w:pPr>
            <w:r>
              <w:rPr>
                <w:b/>
              </w:rPr>
              <w:t>) </w:t>
            </w:r>
          </w:p>
        </w:tc>
        <w:tc>
          <w:tcPr>
            <w:tcW w:w="143"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b/>
              </w:rPr>
            </w:pPr>
            <w:r>
              <w:rPr>
                <w:b/>
              </w:rPr>
              <w:t>$</w:t>
            </w:r>
          </w:p>
        </w:tc>
        <w:tc>
          <w:tcPr>
            <w:tcW w:w="1376" w:type="dxa"/>
            <w:tcBorders/>
            <w:shd w:fill="CCEEFF" w:val="clear"/>
            <w:vAlign w:val="bottom"/>
          </w:tcPr>
          <w:p>
            <w:pPr>
              <w:pStyle w:val="TableContents"/>
              <w:bidi w:val="0"/>
              <w:spacing w:before="0" w:after="283"/>
              <w:jc w:val="right"/>
              <w:rPr>
                <w:b/>
              </w:rPr>
            </w:pPr>
            <w:r>
              <w:rPr>
                <w:b/>
              </w:rPr>
              <w:t>(107,938</w:t>
            </w:r>
          </w:p>
        </w:tc>
        <w:tc>
          <w:tcPr>
            <w:tcW w:w="155" w:type="dxa"/>
            <w:tcBorders/>
            <w:shd w:fill="CCEEFF" w:val="clear"/>
            <w:vAlign w:val="bottom"/>
          </w:tcPr>
          <w:p>
            <w:pPr>
              <w:pStyle w:val="TableContents"/>
              <w:bidi w:val="0"/>
              <w:spacing w:before="0" w:after="283"/>
              <w:jc w:val="left"/>
              <w:rPr>
                <w:b/>
              </w:rPr>
            </w:pPr>
            <w:r>
              <w:rPr>
                <w:b/>
              </w:rPr>
              <w:t>) </w:t>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636" w:type="dxa"/>
            <w:tcBorders/>
            <w:shd w:fill="CCEEFF" w:val="clear"/>
            <w:vAlign w:val="bottom"/>
          </w:tcPr>
          <w:p>
            <w:pPr>
              <w:pStyle w:val="TableContents"/>
              <w:bidi w:val="0"/>
              <w:spacing w:before="0" w:after="283"/>
              <w:jc w:val="right"/>
              <w:rPr>
                <w:b/>
              </w:rPr>
            </w:pPr>
            <w:r>
              <w:rPr>
                <w:b/>
              </w:rPr>
              <w:t>(7,012</w:t>
            </w:r>
          </w:p>
        </w:tc>
        <w:tc>
          <w:tcPr>
            <w:tcW w:w="161" w:type="dxa"/>
            <w:tcBorders/>
            <w:shd w:fill="CCEEFF" w:val="clear"/>
            <w:vAlign w:val="bottom"/>
          </w:tcPr>
          <w:p>
            <w:pPr>
              <w:pStyle w:val="TableContents"/>
              <w:bidi w:val="0"/>
              <w:spacing w:before="0" w:after="283"/>
              <w:jc w:val="left"/>
              <w:rPr>
                <w:b/>
              </w:rPr>
            </w:pPr>
            <w:r>
              <w:rPr>
                <w:b/>
              </w:rPr>
              <w:t>) </w:t>
            </w:r>
          </w:p>
        </w:tc>
      </w:tr>
      <w:tr>
        <w:trPr/>
        <w:tc>
          <w:tcPr>
            <w:tcW w:w="4211" w:type="dxa"/>
            <w:tcBorders/>
          </w:tcPr>
          <w:p>
            <w:pPr>
              <w:pStyle w:val="TableContents"/>
              <w:bidi w:val="0"/>
              <w:spacing w:before="0" w:after="0"/>
              <w:jc w:val="left"/>
              <w:rPr>
                <w:rFonts w:ascii="Times New Roman" w:hAnsi="Times New Roman"/>
                <w:sz w:val="20"/>
              </w:rPr>
            </w:pPr>
            <w:r>
              <w:rPr>
                <w:rFonts w:ascii="Times New Roman" w:hAnsi="Times New Roman"/>
                <w:sz w:val="20"/>
              </w:rPr>
              <w:t>Undistributed earnings attributable to participating preferred stock</w:t>
            </w:r>
          </w:p>
        </w:tc>
        <w:tc>
          <w:tcPr>
            <w:tcW w:w="195"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351" w:type="dxa"/>
            <w:tcBorders/>
            <w:vAlign w:val="bottom"/>
          </w:tcPr>
          <w:p>
            <w:pPr>
              <w:pStyle w:val="TableContents"/>
              <w:bidi w:val="0"/>
              <w:spacing w:before="0" w:after="283"/>
              <w:jc w:val="right"/>
              <w:rPr/>
            </w:pPr>
            <w:r>
              <w:rPr/>
              <w:t>(819</w:t>
            </w:r>
          </w:p>
        </w:tc>
        <w:tc>
          <w:tcPr>
            <w:tcW w:w="15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37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6" w:type="dxa"/>
            <w:tcBorders/>
            <w:vAlign w:val="bottom"/>
          </w:tcPr>
          <w:p>
            <w:pPr>
              <w:pStyle w:val="TableContents"/>
              <w:bidi w:val="0"/>
              <w:spacing w:before="0" w:after="283"/>
              <w:jc w:val="right"/>
              <w:rPr/>
            </w:pPr>
            <w:r>
              <w:rPr/>
              <w:t>— </w:t>
            </w:r>
          </w:p>
        </w:tc>
        <w:tc>
          <w:tcPr>
            <w:tcW w:w="161" w:type="dxa"/>
            <w:tcBorders/>
            <w:vAlign w:val="bottom"/>
          </w:tcPr>
          <w:p>
            <w:pPr>
              <w:pStyle w:val="TableContents"/>
              <w:bidi w:val="0"/>
              <w:spacing w:before="0" w:after="283"/>
              <w:jc w:val="left"/>
              <w:rPr/>
            </w:pPr>
            <w:r>
              <w:rPr/>
              <w:t> </w:t>
            </w:r>
          </w:p>
        </w:tc>
      </w:tr>
      <w:tr>
        <w:trPr/>
        <w:tc>
          <w:tcPr>
            <w:tcW w:w="4211"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Net income (loss) attributable to common stockholders</w:t>
            </w:r>
          </w:p>
        </w:tc>
        <w:tc>
          <w:tcPr>
            <w:tcW w:w="195"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b/>
              </w:rPr>
            </w:pPr>
            <w:r>
              <w:rPr>
                <w:b/>
              </w:rPr>
              <w:t>$</w:t>
            </w:r>
          </w:p>
        </w:tc>
        <w:tc>
          <w:tcPr>
            <w:tcW w:w="1351" w:type="dxa"/>
            <w:tcBorders/>
            <w:shd w:fill="CCEEFF" w:val="clear"/>
            <w:vAlign w:val="bottom"/>
          </w:tcPr>
          <w:p>
            <w:pPr>
              <w:pStyle w:val="TableContents"/>
              <w:bidi w:val="0"/>
              <w:spacing w:before="0" w:after="283"/>
              <w:jc w:val="right"/>
              <w:rPr>
                <w:b/>
              </w:rPr>
            </w:pPr>
            <w:r>
              <w:rPr>
                <w:b/>
              </w:rPr>
              <w:t>16,647</w:t>
            </w:r>
          </w:p>
        </w:tc>
        <w:tc>
          <w:tcPr>
            <w:tcW w:w="15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636" w:type="dxa"/>
            <w:tcBorders/>
            <w:shd w:fill="CCEEFF" w:val="clear"/>
            <w:vAlign w:val="bottom"/>
          </w:tcPr>
          <w:p>
            <w:pPr>
              <w:pStyle w:val="TableContents"/>
              <w:bidi w:val="0"/>
              <w:spacing w:before="0" w:after="283"/>
              <w:jc w:val="right"/>
              <w:rPr>
                <w:b/>
              </w:rPr>
            </w:pPr>
            <w:r>
              <w:rPr>
                <w:b/>
              </w:rPr>
              <w:t>(3,259</w:t>
            </w:r>
          </w:p>
        </w:tc>
        <w:tc>
          <w:tcPr>
            <w:tcW w:w="155" w:type="dxa"/>
            <w:tcBorders/>
            <w:shd w:fill="CCEEFF" w:val="clear"/>
            <w:vAlign w:val="bottom"/>
          </w:tcPr>
          <w:p>
            <w:pPr>
              <w:pStyle w:val="TableContents"/>
              <w:bidi w:val="0"/>
              <w:spacing w:before="0" w:after="283"/>
              <w:jc w:val="left"/>
              <w:rPr>
                <w:b/>
              </w:rPr>
            </w:pPr>
            <w:r>
              <w:rPr>
                <w:b/>
              </w:rPr>
              <w:t>) </w:t>
            </w:r>
          </w:p>
        </w:tc>
        <w:tc>
          <w:tcPr>
            <w:tcW w:w="143"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b/>
              </w:rPr>
            </w:pPr>
            <w:r>
              <w:rPr>
                <w:b/>
              </w:rPr>
              <w:t>$</w:t>
            </w:r>
          </w:p>
        </w:tc>
        <w:tc>
          <w:tcPr>
            <w:tcW w:w="1376" w:type="dxa"/>
            <w:tcBorders/>
            <w:shd w:fill="CCEEFF" w:val="clear"/>
            <w:vAlign w:val="bottom"/>
          </w:tcPr>
          <w:p>
            <w:pPr>
              <w:pStyle w:val="TableContents"/>
              <w:bidi w:val="0"/>
              <w:spacing w:before="0" w:after="283"/>
              <w:jc w:val="right"/>
              <w:rPr>
                <w:b/>
              </w:rPr>
            </w:pPr>
            <w:r>
              <w:rPr>
                <w:b/>
              </w:rPr>
              <w:t>(107,938</w:t>
            </w:r>
          </w:p>
        </w:tc>
        <w:tc>
          <w:tcPr>
            <w:tcW w:w="155" w:type="dxa"/>
            <w:tcBorders/>
            <w:shd w:fill="CCEEFF" w:val="clear"/>
            <w:vAlign w:val="bottom"/>
          </w:tcPr>
          <w:p>
            <w:pPr>
              <w:pStyle w:val="TableContents"/>
              <w:bidi w:val="0"/>
              <w:spacing w:before="0" w:after="283"/>
              <w:jc w:val="left"/>
              <w:rPr>
                <w:b/>
              </w:rPr>
            </w:pPr>
            <w:r>
              <w:rPr>
                <w:b/>
              </w:rPr>
              <w:t>) </w:t>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636" w:type="dxa"/>
            <w:tcBorders/>
            <w:shd w:fill="CCEEFF" w:val="clear"/>
            <w:vAlign w:val="bottom"/>
          </w:tcPr>
          <w:p>
            <w:pPr>
              <w:pStyle w:val="TableContents"/>
              <w:bidi w:val="0"/>
              <w:spacing w:before="0" w:after="283"/>
              <w:jc w:val="right"/>
              <w:rPr>
                <w:b/>
              </w:rPr>
            </w:pPr>
            <w:r>
              <w:rPr>
                <w:b/>
              </w:rPr>
              <w:t>(7,012</w:t>
            </w:r>
          </w:p>
        </w:tc>
        <w:tc>
          <w:tcPr>
            <w:tcW w:w="161" w:type="dxa"/>
            <w:tcBorders/>
            <w:shd w:fill="CCEEFF" w:val="clear"/>
            <w:vAlign w:val="bottom"/>
          </w:tcPr>
          <w:p>
            <w:pPr>
              <w:pStyle w:val="TableContents"/>
              <w:bidi w:val="0"/>
              <w:spacing w:before="0" w:after="283"/>
              <w:jc w:val="left"/>
              <w:rPr>
                <w:b/>
              </w:rPr>
            </w:pPr>
            <w:r>
              <w:rPr>
                <w:b/>
              </w:rPr>
              <w:t>) </w:t>
            </w:r>
          </w:p>
        </w:tc>
      </w:tr>
      <w:tr>
        <w:trPr/>
        <w:tc>
          <w:tcPr>
            <w:tcW w:w="4211" w:type="dxa"/>
            <w:tcBorders/>
          </w:tcPr>
          <w:p>
            <w:pPr>
              <w:pStyle w:val="TableContents"/>
              <w:bidi w:val="0"/>
              <w:spacing w:before="0" w:after="0"/>
              <w:jc w:val="left"/>
              <w:rPr>
                <w:rFonts w:ascii="Times New Roman" w:hAnsi="Times New Roman"/>
                <w:sz w:val="20"/>
              </w:rPr>
            </w:pPr>
            <w:r>
              <w:rPr>
                <w:rFonts w:ascii="Times New Roman" w:hAnsi="Times New Roman"/>
                <w:sz w:val="20"/>
              </w:rPr>
              <w:t>Net income (loss) per share, basic</w:t>
            </w:r>
          </w:p>
        </w:tc>
        <w:tc>
          <w:tcPr>
            <w:tcW w:w="195"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w:t>
            </w:r>
          </w:p>
        </w:tc>
        <w:tc>
          <w:tcPr>
            <w:tcW w:w="1351" w:type="dxa"/>
            <w:tcBorders/>
            <w:vAlign w:val="bottom"/>
          </w:tcPr>
          <w:p>
            <w:pPr>
              <w:pStyle w:val="TableContents"/>
              <w:bidi w:val="0"/>
              <w:spacing w:before="0" w:after="283"/>
              <w:jc w:val="right"/>
              <w:rPr/>
            </w:pPr>
            <w:r>
              <w:rPr/>
              <w:t>0.36</w:t>
            </w:r>
          </w:p>
        </w:tc>
        <w:tc>
          <w:tcPr>
            <w:tcW w:w="15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36" w:type="dxa"/>
            <w:tcBorders/>
            <w:vAlign w:val="bottom"/>
          </w:tcPr>
          <w:p>
            <w:pPr>
              <w:pStyle w:val="TableContents"/>
              <w:bidi w:val="0"/>
              <w:spacing w:before="0" w:after="283"/>
              <w:jc w:val="right"/>
              <w:rPr/>
            </w:pPr>
            <w:r>
              <w:rPr/>
              <w:t>(0.43</w:t>
            </w:r>
          </w:p>
        </w:tc>
        <w:tc>
          <w:tcPr>
            <w:tcW w:w="15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w:t>
            </w:r>
          </w:p>
        </w:tc>
        <w:tc>
          <w:tcPr>
            <w:tcW w:w="1376" w:type="dxa"/>
            <w:tcBorders/>
            <w:vAlign w:val="bottom"/>
          </w:tcPr>
          <w:p>
            <w:pPr>
              <w:pStyle w:val="TableContents"/>
              <w:bidi w:val="0"/>
              <w:spacing w:before="0" w:after="283"/>
              <w:jc w:val="right"/>
              <w:rPr/>
            </w:pPr>
            <w:r>
              <w:rPr/>
              <w:t>(2.38</w:t>
            </w:r>
          </w:p>
        </w:tc>
        <w:tc>
          <w:tcPr>
            <w:tcW w:w="15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36" w:type="dxa"/>
            <w:tcBorders/>
            <w:vAlign w:val="bottom"/>
          </w:tcPr>
          <w:p>
            <w:pPr>
              <w:pStyle w:val="TableContents"/>
              <w:bidi w:val="0"/>
              <w:spacing w:before="0" w:after="283"/>
              <w:jc w:val="right"/>
              <w:rPr/>
            </w:pPr>
            <w:r>
              <w:rPr/>
              <w:t>(0.93</w:t>
            </w:r>
          </w:p>
        </w:tc>
        <w:tc>
          <w:tcPr>
            <w:tcW w:w="161" w:type="dxa"/>
            <w:tcBorders/>
            <w:vAlign w:val="bottom"/>
          </w:tcPr>
          <w:p>
            <w:pPr>
              <w:pStyle w:val="TableContents"/>
              <w:bidi w:val="0"/>
              <w:spacing w:before="0" w:after="283"/>
              <w:jc w:val="left"/>
              <w:rPr/>
            </w:pPr>
            <w:r>
              <w:rPr/>
              <w:t>) </w:t>
            </w:r>
          </w:p>
        </w:tc>
      </w:tr>
      <w:tr>
        <w:trPr/>
        <w:tc>
          <w:tcPr>
            <w:tcW w:w="42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average shares outstanding, basic</w:t>
            </w:r>
          </w:p>
        </w:tc>
        <w:tc>
          <w:tcPr>
            <w:tcW w:w="195"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1351" w:type="dxa"/>
            <w:tcBorders/>
            <w:shd w:fill="CCEEFF" w:val="clear"/>
            <w:vAlign w:val="bottom"/>
          </w:tcPr>
          <w:p>
            <w:pPr>
              <w:pStyle w:val="TableContents"/>
              <w:bidi w:val="0"/>
              <w:spacing w:before="0" w:after="283"/>
              <w:jc w:val="right"/>
              <w:rPr/>
            </w:pPr>
            <w:r>
              <w:rPr/>
              <w:t>46,599</w:t>
            </w:r>
          </w:p>
        </w:tc>
        <w:tc>
          <w:tcPr>
            <w:tcW w:w="15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6" w:type="dxa"/>
            <w:tcBorders/>
            <w:shd w:fill="CCEEFF" w:val="clear"/>
            <w:vAlign w:val="bottom"/>
          </w:tcPr>
          <w:p>
            <w:pPr>
              <w:pStyle w:val="TableContents"/>
              <w:bidi w:val="0"/>
              <w:spacing w:before="0" w:after="283"/>
              <w:jc w:val="right"/>
              <w:rPr/>
            </w:pPr>
            <w:r>
              <w:rPr/>
              <w:t>7,569</w:t>
            </w:r>
          </w:p>
        </w:tc>
        <w:tc>
          <w:tcPr>
            <w:tcW w:w="15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1376" w:type="dxa"/>
            <w:tcBorders/>
            <w:shd w:fill="CCEEFF" w:val="clear"/>
            <w:vAlign w:val="bottom"/>
          </w:tcPr>
          <w:p>
            <w:pPr>
              <w:pStyle w:val="TableContents"/>
              <w:bidi w:val="0"/>
              <w:spacing w:before="0" w:after="283"/>
              <w:jc w:val="right"/>
              <w:rPr/>
            </w:pPr>
            <w:r>
              <w:rPr/>
              <w:t>45,257</w:t>
            </w:r>
          </w:p>
        </w:tc>
        <w:tc>
          <w:tcPr>
            <w:tcW w:w="15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6" w:type="dxa"/>
            <w:tcBorders/>
            <w:shd w:fill="CCEEFF" w:val="clear"/>
            <w:vAlign w:val="bottom"/>
          </w:tcPr>
          <w:p>
            <w:pPr>
              <w:pStyle w:val="TableContents"/>
              <w:bidi w:val="0"/>
              <w:spacing w:before="0" w:after="283"/>
              <w:jc w:val="right"/>
              <w:rPr/>
            </w:pPr>
            <w:r>
              <w:rPr/>
              <w:t>7,569</w:t>
            </w:r>
          </w:p>
        </w:tc>
        <w:tc>
          <w:tcPr>
            <w:tcW w:w="161" w:type="dxa"/>
            <w:tcBorders/>
            <w:shd w:fill="CCEEFF" w:val="clear"/>
            <w:vAlign w:val="bottom"/>
          </w:tcPr>
          <w:p>
            <w:pPr>
              <w:pStyle w:val="TableContents"/>
              <w:bidi w:val="0"/>
              <w:spacing w:before="0" w:after="283"/>
              <w:jc w:val="left"/>
              <w:rPr/>
            </w:pPr>
            <w:r>
              <w:rPr/>
              <w:t> </w:t>
            </w:r>
          </w:p>
        </w:tc>
      </w:tr>
      <w:tr>
        <w:trPr/>
        <w:tc>
          <w:tcPr>
            <w:tcW w:w="4211" w:type="dxa"/>
            <w:tcBorders/>
          </w:tcPr>
          <w:p>
            <w:pPr>
              <w:pStyle w:val="TableContents"/>
              <w:bidi w:val="0"/>
              <w:spacing w:before="0" w:after="0"/>
              <w:jc w:val="left"/>
              <w:rPr>
                <w:rFonts w:ascii="Times New Roman" w:hAnsi="Times New Roman"/>
                <w:sz w:val="20"/>
              </w:rPr>
            </w:pPr>
            <w:r>
              <w:rPr>
                <w:rFonts w:ascii="Times New Roman" w:hAnsi="Times New Roman"/>
                <w:sz w:val="20"/>
              </w:rPr>
              <w:t>Net income (loss) per share, diluted</w:t>
            </w:r>
          </w:p>
        </w:tc>
        <w:tc>
          <w:tcPr>
            <w:tcW w:w="195"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w:t>
            </w:r>
          </w:p>
        </w:tc>
        <w:tc>
          <w:tcPr>
            <w:tcW w:w="1351" w:type="dxa"/>
            <w:tcBorders/>
            <w:vAlign w:val="bottom"/>
          </w:tcPr>
          <w:p>
            <w:pPr>
              <w:pStyle w:val="TableContents"/>
              <w:bidi w:val="0"/>
              <w:spacing w:before="0" w:after="283"/>
              <w:jc w:val="right"/>
              <w:rPr/>
            </w:pPr>
            <w:r>
              <w:rPr/>
              <w:t>(0.14</w:t>
            </w:r>
          </w:p>
        </w:tc>
        <w:tc>
          <w:tcPr>
            <w:tcW w:w="15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36" w:type="dxa"/>
            <w:tcBorders/>
            <w:vAlign w:val="bottom"/>
          </w:tcPr>
          <w:p>
            <w:pPr>
              <w:pStyle w:val="TableContents"/>
              <w:bidi w:val="0"/>
              <w:spacing w:before="0" w:after="283"/>
              <w:jc w:val="right"/>
              <w:rPr/>
            </w:pPr>
            <w:r>
              <w:rPr/>
              <w:t>(0.43</w:t>
            </w:r>
          </w:p>
        </w:tc>
        <w:tc>
          <w:tcPr>
            <w:tcW w:w="15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w:t>
            </w:r>
          </w:p>
        </w:tc>
        <w:tc>
          <w:tcPr>
            <w:tcW w:w="1376" w:type="dxa"/>
            <w:tcBorders/>
            <w:vAlign w:val="bottom"/>
          </w:tcPr>
          <w:p>
            <w:pPr>
              <w:pStyle w:val="TableContents"/>
              <w:bidi w:val="0"/>
              <w:spacing w:before="0" w:after="283"/>
              <w:jc w:val="right"/>
              <w:rPr/>
            </w:pPr>
            <w:r>
              <w:rPr/>
              <w:t>(2.38</w:t>
            </w:r>
          </w:p>
        </w:tc>
        <w:tc>
          <w:tcPr>
            <w:tcW w:w="15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36" w:type="dxa"/>
            <w:tcBorders/>
            <w:vAlign w:val="bottom"/>
          </w:tcPr>
          <w:p>
            <w:pPr>
              <w:pStyle w:val="TableContents"/>
              <w:bidi w:val="0"/>
              <w:spacing w:before="0" w:after="283"/>
              <w:jc w:val="right"/>
              <w:rPr/>
            </w:pPr>
            <w:r>
              <w:rPr/>
              <w:t>(0.93</w:t>
            </w:r>
          </w:p>
        </w:tc>
        <w:tc>
          <w:tcPr>
            <w:tcW w:w="161" w:type="dxa"/>
            <w:tcBorders/>
            <w:vAlign w:val="bottom"/>
          </w:tcPr>
          <w:p>
            <w:pPr>
              <w:pStyle w:val="TableContents"/>
              <w:bidi w:val="0"/>
              <w:spacing w:before="0" w:after="283"/>
              <w:jc w:val="left"/>
              <w:rPr/>
            </w:pPr>
            <w:r>
              <w:rPr/>
              <w:t>) </w:t>
            </w:r>
          </w:p>
        </w:tc>
      </w:tr>
      <w:tr>
        <w:trPr/>
        <w:tc>
          <w:tcPr>
            <w:tcW w:w="42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average shares outstanding, diluted</w:t>
            </w:r>
          </w:p>
        </w:tc>
        <w:tc>
          <w:tcPr>
            <w:tcW w:w="195"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1351" w:type="dxa"/>
            <w:tcBorders/>
            <w:shd w:fill="CCEEFF" w:val="clear"/>
            <w:vAlign w:val="bottom"/>
          </w:tcPr>
          <w:p>
            <w:pPr>
              <w:pStyle w:val="TableContents"/>
              <w:bidi w:val="0"/>
              <w:spacing w:before="0" w:after="283"/>
              <w:jc w:val="right"/>
              <w:rPr/>
            </w:pPr>
            <w:r>
              <w:rPr/>
              <w:t>79,105</w:t>
            </w:r>
          </w:p>
        </w:tc>
        <w:tc>
          <w:tcPr>
            <w:tcW w:w="15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6" w:type="dxa"/>
            <w:tcBorders/>
            <w:shd w:fill="CCEEFF" w:val="clear"/>
            <w:vAlign w:val="bottom"/>
          </w:tcPr>
          <w:p>
            <w:pPr>
              <w:pStyle w:val="TableContents"/>
              <w:bidi w:val="0"/>
              <w:spacing w:before="0" w:after="283"/>
              <w:jc w:val="right"/>
              <w:rPr/>
            </w:pPr>
            <w:r>
              <w:rPr/>
              <w:t>7,569</w:t>
            </w:r>
          </w:p>
        </w:tc>
        <w:tc>
          <w:tcPr>
            <w:tcW w:w="15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1376" w:type="dxa"/>
            <w:tcBorders/>
            <w:shd w:fill="CCEEFF" w:val="clear"/>
            <w:vAlign w:val="bottom"/>
          </w:tcPr>
          <w:p>
            <w:pPr>
              <w:pStyle w:val="TableContents"/>
              <w:bidi w:val="0"/>
              <w:spacing w:before="0" w:after="283"/>
              <w:jc w:val="right"/>
              <w:rPr/>
            </w:pPr>
            <w:r>
              <w:rPr/>
              <w:t>45,257</w:t>
            </w:r>
          </w:p>
        </w:tc>
        <w:tc>
          <w:tcPr>
            <w:tcW w:w="15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6" w:type="dxa"/>
            <w:tcBorders/>
            <w:shd w:fill="CCEEFF" w:val="clear"/>
            <w:vAlign w:val="bottom"/>
          </w:tcPr>
          <w:p>
            <w:pPr>
              <w:pStyle w:val="TableContents"/>
              <w:bidi w:val="0"/>
              <w:spacing w:before="0" w:after="283"/>
              <w:jc w:val="right"/>
              <w:rPr/>
            </w:pPr>
            <w:r>
              <w:rPr/>
              <w:t>7,569</w:t>
            </w:r>
          </w:p>
        </w:tc>
        <w:tc>
          <w:tcPr>
            <w:tcW w:w="161"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RECONCILIATION OF TOTAL LIABILITIES - NON-GAAP </w:t>
      </w:r>
    </w:p>
    <w:p>
      <w:pPr>
        <w:pStyle w:val="TextBody"/>
        <w:bidi w:val="0"/>
        <w:spacing w:before="0" w:after="0"/>
        <w:jc w:val="left"/>
        <w:rPr>
          <w:rFonts w:ascii="Times New Roman" w:hAnsi="Times New Roman"/>
          <w:sz w:val="20"/>
        </w:rPr>
      </w:pPr>
      <w:r>
        <w:rPr>
          <w:rFonts w:ascii="Times New Roman" w:hAnsi="Times New Roman"/>
          <w:sz w:val="20"/>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614"/>
        <w:gridCol w:w="466"/>
        <w:gridCol w:w="195"/>
        <w:gridCol w:w="1235"/>
        <w:gridCol w:w="155"/>
        <w:gridCol w:w="414"/>
        <w:gridCol w:w="269"/>
        <w:gridCol w:w="1698"/>
        <w:gridCol w:w="159"/>
      </w:tblGrid>
      <w:tr>
        <w:trPr/>
        <w:tc>
          <w:tcPr>
            <w:tcW w:w="5614" w:type="dxa"/>
            <w:tcBorders/>
            <w:vAlign w:val="center"/>
          </w:tcPr>
          <w:p>
            <w:pPr>
              <w:pStyle w:val="TableContents"/>
              <w:bidi w:val="0"/>
              <w:spacing w:before="0" w:after="283"/>
              <w:jc w:val="left"/>
              <w:rPr>
                <w:sz w:val="4"/>
                <w:szCs w:val="4"/>
              </w:rPr>
            </w:pPr>
            <w:r>
              <w:rPr>
                <w:sz w:val="4"/>
                <w:szCs w:val="4"/>
              </w:rPr>
            </w:r>
          </w:p>
        </w:tc>
        <w:tc>
          <w:tcPr>
            <w:tcW w:w="466" w:type="dxa"/>
            <w:tcBorders/>
            <w:vAlign w:val="bottom"/>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14" w:type="dxa"/>
            <w:tcBorders/>
            <w:vAlign w:val="bottom"/>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69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614" w:type="dxa"/>
            <w:tcBorders/>
            <w:vAlign w:val="bottom"/>
          </w:tcPr>
          <w:p>
            <w:pPr>
              <w:pStyle w:val="TableContents"/>
              <w:bidi w:val="0"/>
              <w:spacing w:before="0" w:after="283"/>
              <w:jc w:val="left"/>
              <w:rPr/>
            </w:pPr>
            <w:r>
              <w:rPr/>
              <w:t> </w:t>
            </w:r>
          </w:p>
        </w:tc>
        <w:tc>
          <w:tcPr>
            <w:tcW w:w="466" w:type="dxa"/>
            <w:tcBorders/>
            <w:vAlign w:val="bottom"/>
          </w:tcPr>
          <w:p>
            <w:pPr>
              <w:pStyle w:val="TableContents"/>
              <w:bidi w:val="0"/>
              <w:spacing w:before="0" w:after="283"/>
              <w:jc w:val="left"/>
              <w:rPr/>
            </w:pPr>
            <w:r>
              <w:rPr/>
              <w:t>  </w:t>
            </w:r>
          </w:p>
        </w:tc>
        <w:tc>
          <w:tcPr>
            <w:tcW w:w="1430" w:type="dxa"/>
            <w:gridSpan w:val="2"/>
            <w:tcBorders/>
            <w:vAlign w:val="bottom"/>
          </w:tcPr>
          <w:p>
            <w:pPr>
              <w:pStyle w:val="TableContents"/>
              <w:bidi w:val="0"/>
              <w:spacing w:before="0" w:after="283"/>
              <w:jc w:val="center"/>
              <w:rPr>
                <w:b/>
              </w:rPr>
            </w:pPr>
            <w:r>
              <w:rPr>
                <w:b/>
              </w:rPr>
              <w:t>June 30, 2026</w:t>
            </w:r>
          </w:p>
        </w:tc>
        <w:tc>
          <w:tcPr>
            <w:tcW w:w="155" w:type="dxa"/>
            <w:tcBorders/>
            <w:vAlign w:val="bottom"/>
          </w:tcPr>
          <w:p>
            <w:pPr>
              <w:pStyle w:val="TableContents"/>
              <w:bidi w:val="0"/>
              <w:spacing w:before="0" w:after="283"/>
              <w:jc w:val="left"/>
              <w:rPr/>
            </w:pPr>
            <w:r>
              <w:rPr/>
              <w:t> </w:t>
            </w:r>
          </w:p>
        </w:tc>
        <w:tc>
          <w:tcPr>
            <w:tcW w:w="414" w:type="dxa"/>
            <w:tcBorders/>
            <w:vAlign w:val="bottom"/>
          </w:tcPr>
          <w:p>
            <w:pPr>
              <w:pStyle w:val="TableContents"/>
              <w:bidi w:val="0"/>
              <w:spacing w:before="0" w:after="283"/>
              <w:jc w:val="left"/>
              <w:rPr/>
            </w:pPr>
            <w:r>
              <w:rPr/>
              <w:t> </w:t>
            </w:r>
          </w:p>
        </w:tc>
        <w:tc>
          <w:tcPr>
            <w:tcW w:w="1967" w:type="dxa"/>
            <w:gridSpan w:val="2"/>
            <w:tcBorders/>
            <w:vAlign w:val="bottom"/>
          </w:tcPr>
          <w:p>
            <w:pPr>
              <w:pStyle w:val="TableContents"/>
              <w:bidi w:val="0"/>
              <w:spacing w:before="0" w:after="283"/>
              <w:jc w:val="center"/>
              <w:rPr>
                <w:b/>
              </w:rPr>
            </w:pPr>
            <w:r>
              <w:rPr>
                <w:b/>
              </w:rPr>
              <w:t>December 31, 2025</w:t>
            </w:r>
          </w:p>
        </w:tc>
        <w:tc>
          <w:tcPr>
            <w:tcW w:w="159" w:type="dxa"/>
            <w:tcBorders/>
            <w:vAlign w:val="bottom"/>
          </w:tcPr>
          <w:p>
            <w:pPr>
              <w:pStyle w:val="TableContents"/>
              <w:bidi w:val="0"/>
              <w:spacing w:before="0" w:after="283"/>
              <w:jc w:val="left"/>
              <w:rPr/>
            </w:pPr>
            <w:r>
              <w:rPr/>
              <w:t> </w:t>
            </w:r>
          </w:p>
        </w:tc>
      </w:tr>
      <w:tr>
        <w:trPr/>
        <w:tc>
          <w:tcPr>
            <w:tcW w:w="56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466"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23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14"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sz w:val="4"/>
                <w:szCs w:val="4"/>
              </w:rPr>
            </w:pPr>
            <w:r>
              <w:rPr>
                <w:sz w:val="4"/>
                <w:szCs w:val="4"/>
              </w:rPr>
            </w:r>
          </w:p>
        </w:tc>
        <w:tc>
          <w:tcPr>
            <w:tcW w:w="1698"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5614"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466"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w:t>
            </w:r>
          </w:p>
        </w:tc>
        <w:tc>
          <w:tcPr>
            <w:tcW w:w="1235" w:type="dxa"/>
            <w:tcBorders/>
            <w:vAlign w:val="bottom"/>
          </w:tcPr>
          <w:p>
            <w:pPr>
              <w:pStyle w:val="TableContents"/>
              <w:bidi w:val="0"/>
              <w:spacing w:before="0" w:after="283"/>
              <w:jc w:val="right"/>
              <w:rPr/>
            </w:pPr>
            <w:r>
              <w:rPr/>
              <w:t>1,447</w:t>
            </w:r>
          </w:p>
        </w:tc>
        <w:tc>
          <w:tcPr>
            <w:tcW w:w="155" w:type="dxa"/>
            <w:tcBorders/>
            <w:vAlign w:val="bottom"/>
          </w:tcPr>
          <w:p>
            <w:pPr>
              <w:pStyle w:val="TableContents"/>
              <w:bidi w:val="0"/>
              <w:spacing w:before="0" w:after="283"/>
              <w:jc w:val="left"/>
              <w:rPr/>
            </w:pPr>
            <w:r>
              <w:rPr/>
              <w:t> </w:t>
            </w:r>
          </w:p>
        </w:tc>
        <w:tc>
          <w:tcPr>
            <w:tcW w:w="414"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w:t>
            </w:r>
          </w:p>
        </w:tc>
        <w:tc>
          <w:tcPr>
            <w:tcW w:w="1698" w:type="dxa"/>
            <w:tcBorders/>
            <w:vAlign w:val="bottom"/>
          </w:tcPr>
          <w:p>
            <w:pPr>
              <w:pStyle w:val="TableContents"/>
              <w:bidi w:val="0"/>
              <w:spacing w:before="0" w:after="283"/>
              <w:jc w:val="right"/>
              <w:rPr/>
            </w:pPr>
            <w:r>
              <w:rPr/>
              <w:t>639</w:t>
            </w:r>
          </w:p>
        </w:tc>
        <w:tc>
          <w:tcPr>
            <w:tcW w:w="159" w:type="dxa"/>
            <w:tcBorders/>
            <w:vAlign w:val="bottom"/>
          </w:tcPr>
          <w:p>
            <w:pPr>
              <w:pStyle w:val="TableContents"/>
              <w:bidi w:val="0"/>
              <w:spacing w:before="0" w:after="283"/>
              <w:jc w:val="left"/>
              <w:rPr/>
            </w:pPr>
            <w:r>
              <w:rPr/>
              <w:t> </w:t>
            </w:r>
          </w:p>
        </w:tc>
      </w:tr>
      <w:tr>
        <w:trPr/>
        <w:tc>
          <w:tcPr>
            <w:tcW w:w="56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expenses and other current liabilities</w:t>
            </w:r>
          </w:p>
        </w:tc>
        <w:tc>
          <w:tcPr>
            <w:tcW w:w="466"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35" w:type="dxa"/>
            <w:tcBorders/>
            <w:shd w:fill="CCEEFF" w:val="clear"/>
            <w:vAlign w:val="bottom"/>
          </w:tcPr>
          <w:p>
            <w:pPr>
              <w:pStyle w:val="TableContents"/>
              <w:bidi w:val="0"/>
              <w:spacing w:before="0" w:after="283"/>
              <w:jc w:val="right"/>
              <w:rPr/>
            </w:pPr>
            <w:r>
              <w:rPr/>
              <w:t>2,511</w:t>
            </w:r>
          </w:p>
        </w:tc>
        <w:tc>
          <w:tcPr>
            <w:tcW w:w="155" w:type="dxa"/>
            <w:tcBorders/>
            <w:shd w:fill="CCEEFF" w:val="clear"/>
            <w:vAlign w:val="bottom"/>
          </w:tcPr>
          <w:p>
            <w:pPr>
              <w:pStyle w:val="TableContents"/>
              <w:bidi w:val="0"/>
              <w:spacing w:before="0" w:after="283"/>
              <w:jc w:val="left"/>
              <w:rPr/>
            </w:pPr>
            <w:r>
              <w:rPr/>
              <w:t> </w:t>
            </w:r>
          </w:p>
        </w:tc>
        <w:tc>
          <w:tcPr>
            <w:tcW w:w="414"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1698" w:type="dxa"/>
            <w:tcBorders/>
            <w:shd w:fill="CCEEFF" w:val="clear"/>
            <w:vAlign w:val="bottom"/>
          </w:tcPr>
          <w:p>
            <w:pPr>
              <w:pStyle w:val="TableContents"/>
              <w:bidi w:val="0"/>
              <w:spacing w:before="0" w:after="283"/>
              <w:jc w:val="right"/>
              <w:rPr/>
            </w:pPr>
            <w:r>
              <w:rPr/>
              <w:t>1,651</w:t>
            </w:r>
          </w:p>
        </w:tc>
        <w:tc>
          <w:tcPr>
            <w:tcW w:w="159" w:type="dxa"/>
            <w:tcBorders/>
            <w:shd w:fill="CCEEFF" w:val="clear"/>
            <w:vAlign w:val="bottom"/>
          </w:tcPr>
          <w:p>
            <w:pPr>
              <w:pStyle w:val="TableContents"/>
              <w:bidi w:val="0"/>
              <w:spacing w:before="0" w:after="283"/>
              <w:jc w:val="left"/>
              <w:rPr/>
            </w:pPr>
            <w:r>
              <w:rPr/>
              <w:t> </w:t>
            </w:r>
          </w:p>
        </w:tc>
      </w:tr>
      <w:tr>
        <w:trPr/>
        <w:tc>
          <w:tcPr>
            <w:tcW w:w="5614"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current liabilities</w:t>
            </w:r>
          </w:p>
        </w:tc>
        <w:tc>
          <w:tcPr>
            <w:tcW w:w="466"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35" w:type="dxa"/>
            <w:tcBorders/>
            <w:vAlign w:val="bottom"/>
          </w:tcPr>
          <w:p>
            <w:pPr>
              <w:pStyle w:val="TableContents"/>
              <w:bidi w:val="0"/>
              <w:spacing w:before="0" w:after="283"/>
              <w:jc w:val="right"/>
              <w:rPr>
                <w:b/>
              </w:rPr>
            </w:pPr>
            <w:r>
              <w:rPr>
                <w:b/>
              </w:rPr>
              <w:t>3,958</w:t>
            </w:r>
          </w:p>
        </w:tc>
        <w:tc>
          <w:tcPr>
            <w:tcW w:w="155" w:type="dxa"/>
            <w:tcBorders/>
            <w:vAlign w:val="bottom"/>
          </w:tcPr>
          <w:p>
            <w:pPr>
              <w:pStyle w:val="TableContents"/>
              <w:bidi w:val="0"/>
              <w:spacing w:before="0" w:after="283"/>
              <w:jc w:val="left"/>
              <w:rPr/>
            </w:pPr>
            <w:r>
              <w:rPr/>
              <w:t> </w:t>
            </w:r>
          </w:p>
        </w:tc>
        <w:tc>
          <w:tcPr>
            <w:tcW w:w="414"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698" w:type="dxa"/>
            <w:tcBorders/>
            <w:vAlign w:val="bottom"/>
          </w:tcPr>
          <w:p>
            <w:pPr>
              <w:pStyle w:val="TableContents"/>
              <w:bidi w:val="0"/>
              <w:spacing w:before="0" w:after="283"/>
              <w:jc w:val="right"/>
              <w:rPr>
                <w:b/>
              </w:rPr>
            </w:pPr>
            <w:r>
              <w:rPr>
                <w:b/>
              </w:rPr>
              <w:t>2,290</w:t>
            </w:r>
          </w:p>
        </w:tc>
        <w:tc>
          <w:tcPr>
            <w:tcW w:w="159" w:type="dxa"/>
            <w:tcBorders/>
            <w:vAlign w:val="bottom"/>
          </w:tcPr>
          <w:p>
            <w:pPr>
              <w:pStyle w:val="TableContents"/>
              <w:bidi w:val="0"/>
              <w:spacing w:before="0" w:after="283"/>
              <w:jc w:val="left"/>
              <w:rPr/>
            </w:pPr>
            <w:r>
              <w:rPr/>
              <w:t> </w:t>
            </w:r>
          </w:p>
        </w:tc>
      </w:tr>
      <w:tr>
        <w:trPr/>
        <w:tc>
          <w:tcPr>
            <w:tcW w:w="56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Long-term liabilities:</w:t>
            </w:r>
          </w:p>
        </w:tc>
        <w:tc>
          <w:tcPr>
            <w:tcW w:w="466"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23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14"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sz w:val="4"/>
                <w:szCs w:val="4"/>
              </w:rPr>
            </w:pPr>
            <w:r>
              <w:rPr>
                <w:sz w:val="4"/>
                <w:szCs w:val="4"/>
              </w:rPr>
            </w:r>
          </w:p>
        </w:tc>
        <w:tc>
          <w:tcPr>
            <w:tcW w:w="1698"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5614" w:type="dxa"/>
            <w:tcBorders/>
          </w:tcPr>
          <w:p>
            <w:pPr>
              <w:pStyle w:val="TableContents"/>
              <w:bidi w:val="0"/>
              <w:spacing w:before="0" w:after="0"/>
              <w:jc w:val="left"/>
              <w:rPr>
                <w:rFonts w:ascii="Times New Roman" w:hAnsi="Times New Roman"/>
                <w:sz w:val="20"/>
              </w:rPr>
            </w:pPr>
            <w:r>
              <w:rPr>
                <w:rFonts w:ascii="Times New Roman" w:hAnsi="Times New Roman"/>
                <w:sz w:val="20"/>
              </w:rPr>
              <w:t>Warrant liability</w:t>
            </w:r>
          </w:p>
        </w:tc>
        <w:tc>
          <w:tcPr>
            <w:tcW w:w="466"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35" w:type="dxa"/>
            <w:tcBorders/>
            <w:vAlign w:val="bottom"/>
          </w:tcPr>
          <w:p>
            <w:pPr>
              <w:pStyle w:val="TableContents"/>
              <w:bidi w:val="0"/>
              <w:spacing w:before="0" w:after="283"/>
              <w:jc w:val="right"/>
              <w:rPr/>
            </w:pPr>
            <w:r>
              <w:rPr/>
              <w:t>232,690</w:t>
            </w:r>
          </w:p>
        </w:tc>
        <w:tc>
          <w:tcPr>
            <w:tcW w:w="155" w:type="dxa"/>
            <w:tcBorders/>
            <w:vAlign w:val="bottom"/>
          </w:tcPr>
          <w:p>
            <w:pPr>
              <w:pStyle w:val="TableContents"/>
              <w:bidi w:val="0"/>
              <w:spacing w:before="0" w:after="283"/>
              <w:jc w:val="left"/>
              <w:rPr/>
            </w:pPr>
            <w:r>
              <w:rPr/>
              <w:t> </w:t>
            </w:r>
          </w:p>
        </w:tc>
        <w:tc>
          <w:tcPr>
            <w:tcW w:w="414"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698" w:type="dxa"/>
            <w:tcBorders/>
            <w:vAlign w:val="bottom"/>
          </w:tcPr>
          <w:p>
            <w:pPr>
              <w:pStyle w:val="TableContents"/>
              <w:bidi w:val="0"/>
              <w:spacing w:before="0" w:after="283"/>
              <w:jc w:val="right"/>
              <w:rPr/>
            </w:pPr>
            <w:r>
              <w:rPr/>
              <w:t>171,465</w:t>
            </w:r>
          </w:p>
        </w:tc>
        <w:tc>
          <w:tcPr>
            <w:tcW w:w="159" w:type="dxa"/>
            <w:tcBorders/>
            <w:vAlign w:val="bottom"/>
          </w:tcPr>
          <w:p>
            <w:pPr>
              <w:pStyle w:val="TableContents"/>
              <w:bidi w:val="0"/>
              <w:spacing w:before="0" w:after="283"/>
              <w:jc w:val="left"/>
              <w:rPr/>
            </w:pPr>
            <w:r>
              <w:rPr/>
              <w:t> </w:t>
            </w:r>
          </w:p>
        </w:tc>
      </w:tr>
      <w:tr>
        <w:trPr/>
        <w:tc>
          <w:tcPr>
            <w:tcW w:w="56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Liability related to the sale of future royalties</w:t>
            </w:r>
          </w:p>
        </w:tc>
        <w:tc>
          <w:tcPr>
            <w:tcW w:w="466"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35" w:type="dxa"/>
            <w:tcBorders/>
            <w:shd w:fill="CCEEFF" w:val="clear"/>
            <w:vAlign w:val="bottom"/>
          </w:tcPr>
          <w:p>
            <w:pPr>
              <w:pStyle w:val="TableContents"/>
              <w:bidi w:val="0"/>
              <w:spacing w:before="0" w:after="283"/>
              <w:jc w:val="right"/>
              <w:rPr/>
            </w:pPr>
            <w:r>
              <w:rPr/>
              <w:t>60,000</w:t>
            </w:r>
          </w:p>
        </w:tc>
        <w:tc>
          <w:tcPr>
            <w:tcW w:w="155" w:type="dxa"/>
            <w:tcBorders/>
            <w:shd w:fill="CCEEFF" w:val="clear"/>
            <w:vAlign w:val="bottom"/>
          </w:tcPr>
          <w:p>
            <w:pPr>
              <w:pStyle w:val="TableContents"/>
              <w:bidi w:val="0"/>
              <w:spacing w:before="0" w:after="283"/>
              <w:jc w:val="left"/>
              <w:rPr/>
            </w:pPr>
            <w:r>
              <w:rPr/>
              <w:t> </w:t>
            </w:r>
          </w:p>
        </w:tc>
        <w:tc>
          <w:tcPr>
            <w:tcW w:w="414"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1698" w:type="dxa"/>
            <w:tcBorders/>
            <w:shd w:fill="CCEEFF" w:val="clear"/>
            <w:vAlign w:val="bottom"/>
          </w:tcPr>
          <w:p>
            <w:pPr>
              <w:pStyle w:val="TableContents"/>
              <w:bidi w:val="0"/>
              <w:spacing w:before="0" w:after="283"/>
              <w:jc w:val="right"/>
              <w:rPr/>
            </w:pPr>
            <w:r>
              <w:rPr/>
              <w:t>60,000</w:t>
            </w:r>
          </w:p>
        </w:tc>
        <w:tc>
          <w:tcPr>
            <w:tcW w:w="159" w:type="dxa"/>
            <w:tcBorders/>
            <w:shd w:fill="CCEEFF" w:val="clear"/>
            <w:vAlign w:val="bottom"/>
          </w:tcPr>
          <w:p>
            <w:pPr>
              <w:pStyle w:val="TableContents"/>
              <w:bidi w:val="0"/>
              <w:spacing w:before="0" w:after="283"/>
              <w:jc w:val="left"/>
              <w:rPr/>
            </w:pPr>
            <w:r>
              <w:rPr/>
              <w:t> </w:t>
            </w:r>
          </w:p>
        </w:tc>
      </w:tr>
      <w:tr>
        <w:trPr/>
        <w:tc>
          <w:tcPr>
            <w:tcW w:w="5614"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liabilities - GAAP</w:t>
            </w:r>
          </w:p>
        </w:tc>
        <w:tc>
          <w:tcPr>
            <w:tcW w:w="466"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35" w:type="dxa"/>
            <w:tcBorders/>
            <w:vAlign w:val="bottom"/>
          </w:tcPr>
          <w:p>
            <w:pPr>
              <w:pStyle w:val="TableContents"/>
              <w:bidi w:val="0"/>
              <w:spacing w:before="0" w:after="283"/>
              <w:jc w:val="right"/>
              <w:rPr>
                <w:b/>
              </w:rPr>
            </w:pPr>
            <w:r>
              <w:rPr>
                <w:b/>
              </w:rPr>
              <w:t>296,648</w:t>
            </w:r>
          </w:p>
        </w:tc>
        <w:tc>
          <w:tcPr>
            <w:tcW w:w="155" w:type="dxa"/>
            <w:tcBorders/>
            <w:vAlign w:val="bottom"/>
          </w:tcPr>
          <w:p>
            <w:pPr>
              <w:pStyle w:val="TableContents"/>
              <w:bidi w:val="0"/>
              <w:spacing w:before="0" w:after="283"/>
              <w:jc w:val="left"/>
              <w:rPr/>
            </w:pPr>
            <w:r>
              <w:rPr/>
              <w:t> </w:t>
            </w:r>
          </w:p>
        </w:tc>
        <w:tc>
          <w:tcPr>
            <w:tcW w:w="414"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698" w:type="dxa"/>
            <w:tcBorders/>
            <w:vAlign w:val="bottom"/>
          </w:tcPr>
          <w:p>
            <w:pPr>
              <w:pStyle w:val="TableContents"/>
              <w:bidi w:val="0"/>
              <w:spacing w:before="0" w:after="283"/>
              <w:jc w:val="right"/>
              <w:rPr>
                <w:b/>
              </w:rPr>
            </w:pPr>
            <w:r>
              <w:rPr>
                <w:b/>
              </w:rPr>
              <w:t>233,755</w:t>
            </w:r>
          </w:p>
        </w:tc>
        <w:tc>
          <w:tcPr>
            <w:tcW w:w="159" w:type="dxa"/>
            <w:tcBorders/>
            <w:vAlign w:val="bottom"/>
          </w:tcPr>
          <w:p>
            <w:pPr>
              <w:pStyle w:val="TableContents"/>
              <w:bidi w:val="0"/>
              <w:spacing w:before="0" w:after="283"/>
              <w:jc w:val="left"/>
              <w:rPr/>
            </w:pPr>
            <w:r>
              <w:rPr/>
              <w:t> </w:t>
            </w:r>
          </w:p>
        </w:tc>
      </w:tr>
      <w:tr>
        <w:trPr/>
        <w:tc>
          <w:tcPr>
            <w:tcW w:w="56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Reconciling items:</w:t>
            </w:r>
          </w:p>
        </w:tc>
        <w:tc>
          <w:tcPr>
            <w:tcW w:w="466"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23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14"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sz w:val="4"/>
                <w:szCs w:val="4"/>
              </w:rPr>
            </w:pPr>
            <w:r>
              <w:rPr>
                <w:sz w:val="4"/>
                <w:szCs w:val="4"/>
              </w:rPr>
            </w:r>
          </w:p>
        </w:tc>
        <w:tc>
          <w:tcPr>
            <w:tcW w:w="1698"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5614" w:type="dxa"/>
            <w:tcBorders/>
          </w:tcPr>
          <w:p>
            <w:pPr>
              <w:pStyle w:val="TableContents"/>
              <w:bidi w:val="0"/>
              <w:spacing w:before="0" w:after="0"/>
              <w:jc w:val="left"/>
              <w:rPr>
                <w:rFonts w:ascii="Times New Roman" w:hAnsi="Times New Roman"/>
                <w:sz w:val="20"/>
              </w:rPr>
            </w:pPr>
            <w:r>
              <w:rPr>
                <w:rFonts w:ascii="Times New Roman" w:hAnsi="Times New Roman"/>
                <w:sz w:val="20"/>
              </w:rPr>
              <w:t>Warrant liability</w:t>
            </w:r>
          </w:p>
        </w:tc>
        <w:tc>
          <w:tcPr>
            <w:tcW w:w="466"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35" w:type="dxa"/>
            <w:tcBorders/>
            <w:vAlign w:val="bottom"/>
          </w:tcPr>
          <w:p>
            <w:pPr>
              <w:pStyle w:val="TableContents"/>
              <w:bidi w:val="0"/>
              <w:spacing w:before="0" w:after="283"/>
              <w:jc w:val="right"/>
              <w:rPr/>
            </w:pPr>
            <w:r>
              <w:rPr/>
              <w:t>(232,690</w:t>
            </w:r>
          </w:p>
        </w:tc>
        <w:tc>
          <w:tcPr>
            <w:tcW w:w="155" w:type="dxa"/>
            <w:tcBorders/>
            <w:vAlign w:val="bottom"/>
          </w:tcPr>
          <w:p>
            <w:pPr>
              <w:pStyle w:val="TableContents"/>
              <w:bidi w:val="0"/>
              <w:spacing w:before="0" w:after="283"/>
              <w:jc w:val="left"/>
              <w:rPr/>
            </w:pPr>
            <w:r>
              <w:rPr/>
              <w:t>) </w:t>
            </w:r>
          </w:p>
        </w:tc>
        <w:tc>
          <w:tcPr>
            <w:tcW w:w="414"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698" w:type="dxa"/>
            <w:tcBorders/>
            <w:vAlign w:val="bottom"/>
          </w:tcPr>
          <w:p>
            <w:pPr>
              <w:pStyle w:val="TableContents"/>
              <w:bidi w:val="0"/>
              <w:spacing w:before="0" w:after="283"/>
              <w:jc w:val="right"/>
              <w:rPr/>
            </w:pPr>
            <w:r>
              <w:rPr/>
              <w:t>(171,465</w:t>
            </w:r>
          </w:p>
        </w:tc>
        <w:tc>
          <w:tcPr>
            <w:tcW w:w="159" w:type="dxa"/>
            <w:tcBorders/>
            <w:vAlign w:val="bottom"/>
          </w:tcPr>
          <w:p>
            <w:pPr>
              <w:pStyle w:val="TableContents"/>
              <w:bidi w:val="0"/>
              <w:spacing w:before="0" w:after="283"/>
              <w:jc w:val="left"/>
              <w:rPr/>
            </w:pPr>
            <w:r>
              <w:rPr/>
              <w:t>) </w:t>
            </w:r>
          </w:p>
        </w:tc>
      </w:tr>
      <w:tr>
        <w:trPr/>
        <w:tc>
          <w:tcPr>
            <w:tcW w:w="56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Liability related to the sale of future royalties</w:t>
            </w:r>
          </w:p>
        </w:tc>
        <w:tc>
          <w:tcPr>
            <w:tcW w:w="466"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35" w:type="dxa"/>
            <w:tcBorders/>
            <w:shd w:fill="CCEEFF" w:val="clear"/>
            <w:vAlign w:val="bottom"/>
          </w:tcPr>
          <w:p>
            <w:pPr>
              <w:pStyle w:val="TableContents"/>
              <w:bidi w:val="0"/>
              <w:spacing w:before="0" w:after="283"/>
              <w:jc w:val="right"/>
              <w:rPr/>
            </w:pPr>
            <w:r>
              <w:rPr/>
              <w:t>(60,000</w:t>
            </w:r>
          </w:p>
        </w:tc>
        <w:tc>
          <w:tcPr>
            <w:tcW w:w="155" w:type="dxa"/>
            <w:tcBorders/>
            <w:shd w:fill="CCEEFF" w:val="clear"/>
            <w:vAlign w:val="bottom"/>
          </w:tcPr>
          <w:p>
            <w:pPr>
              <w:pStyle w:val="TableContents"/>
              <w:bidi w:val="0"/>
              <w:spacing w:before="0" w:after="283"/>
              <w:jc w:val="left"/>
              <w:rPr/>
            </w:pPr>
            <w:r>
              <w:rPr/>
              <w:t>) </w:t>
            </w:r>
          </w:p>
        </w:tc>
        <w:tc>
          <w:tcPr>
            <w:tcW w:w="414"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1698" w:type="dxa"/>
            <w:tcBorders/>
            <w:shd w:fill="CCEEFF" w:val="clear"/>
            <w:vAlign w:val="bottom"/>
          </w:tcPr>
          <w:p>
            <w:pPr>
              <w:pStyle w:val="TableContents"/>
              <w:bidi w:val="0"/>
              <w:spacing w:before="0" w:after="283"/>
              <w:jc w:val="right"/>
              <w:rPr/>
            </w:pPr>
            <w:r>
              <w:rPr/>
              <w:t>(60,000</w:t>
            </w:r>
          </w:p>
        </w:tc>
        <w:tc>
          <w:tcPr>
            <w:tcW w:w="159" w:type="dxa"/>
            <w:tcBorders/>
            <w:shd w:fill="CCEEFF" w:val="clear"/>
            <w:vAlign w:val="bottom"/>
          </w:tcPr>
          <w:p>
            <w:pPr>
              <w:pStyle w:val="TableContents"/>
              <w:bidi w:val="0"/>
              <w:spacing w:before="0" w:after="283"/>
              <w:jc w:val="left"/>
              <w:rPr/>
            </w:pPr>
            <w:r>
              <w:rPr/>
              <w:t>) </w:t>
            </w:r>
          </w:p>
        </w:tc>
      </w:tr>
      <w:tr>
        <w:trPr/>
        <w:tc>
          <w:tcPr>
            <w:tcW w:w="5614"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liabilities - non-GAAP</w:t>
            </w:r>
          </w:p>
        </w:tc>
        <w:tc>
          <w:tcPr>
            <w:tcW w:w="466"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b/>
              </w:rPr>
            </w:pPr>
            <w:r>
              <w:rPr>
                <w:b/>
              </w:rPr>
              <w:t>$</w:t>
            </w:r>
          </w:p>
        </w:tc>
        <w:tc>
          <w:tcPr>
            <w:tcW w:w="1235" w:type="dxa"/>
            <w:tcBorders/>
            <w:vAlign w:val="bottom"/>
          </w:tcPr>
          <w:p>
            <w:pPr>
              <w:pStyle w:val="TableContents"/>
              <w:bidi w:val="0"/>
              <w:spacing w:before="0" w:after="283"/>
              <w:jc w:val="right"/>
              <w:rPr>
                <w:b/>
              </w:rPr>
            </w:pPr>
            <w:r>
              <w:rPr>
                <w:b/>
              </w:rPr>
              <w:t>3,958</w:t>
            </w:r>
          </w:p>
        </w:tc>
        <w:tc>
          <w:tcPr>
            <w:tcW w:w="155" w:type="dxa"/>
            <w:tcBorders/>
            <w:vAlign w:val="bottom"/>
          </w:tcPr>
          <w:p>
            <w:pPr>
              <w:pStyle w:val="TableContents"/>
              <w:bidi w:val="0"/>
              <w:spacing w:before="0" w:after="283"/>
              <w:jc w:val="left"/>
              <w:rPr/>
            </w:pPr>
            <w:r>
              <w:rPr/>
              <w:t> </w:t>
            </w:r>
          </w:p>
        </w:tc>
        <w:tc>
          <w:tcPr>
            <w:tcW w:w="414"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b/>
              </w:rPr>
            </w:pPr>
            <w:r>
              <w:rPr>
                <w:b/>
              </w:rPr>
              <w:t>$</w:t>
            </w:r>
          </w:p>
        </w:tc>
        <w:tc>
          <w:tcPr>
            <w:tcW w:w="1698" w:type="dxa"/>
            <w:tcBorders/>
            <w:vAlign w:val="bottom"/>
          </w:tcPr>
          <w:p>
            <w:pPr>
              <w:pStyle w:val="TableContents"/>
              <w:bidi w:val="0"/>
              <w:spacing w:before="0" w:after="283"/>
              <w:jc w:val="right"/>
              <w:rPr>
                <w:b/>
              </w:rPr>
            </w:pPr>
            <w:r>
              <w:rPr>
                <w:b/>
              </w:rPr>
              <w:t>2,290</w:t>
            </w:r>
          </w:p>
        </w:tc>
        <w:tc>
          <w:tcPr>
            <w:tcW w:w="159"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b/>
          <w:sz w:val="20"/>
        </w:rPr>
      </w:pPr>
      <w:r>
        <w:rPr>
          <w:rFonts w:ascii="Times New Roman" w:hAnsi="Times New Roman"/>
          <w:b/>
          <w:sz w:val="20"/>
        </w:rPr>
        <w:t xml:space="preserve">RECONCILIATION OF ADJUSTED NET (LOSS) INCOME - NON-GAAP </w:t>
      </w:r>
    </w:p>
    <w:p>
      <w:pPr>
        <w:pStyle w:val="TextBody"/>
        <w:bidi w:val="0"/>
        <w:spacing w:before="0" w:after="0"/>
        <w:jc w:val="left"/>
        <w:rPr>
          <w:rFonts w:ascii="Times New Roman" w:hAnsi="Times New Roman"/>
          <w:sz w:val="20"/>
        </w:rPr>
      </w:pPr>
      <w:r>
        <w:rPr>
          <w:rFonts w:ascii="Times New Roman" w:hAnsi="Times New Roman"/>
          <w:sz w:val="20"/>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210"/>
        <w:gridCol w:w="195"/>
        <w:gridCol w:w="253"/>
        <w:gridCol w:w="1350"/>
        <w:gridCol w:w="155"/>
        <w:gridCol w:w="144"/>
        <w:gridCol w:w="140"/>
        <w:gridCol w:w="635"/>
        <w:gridCol w:w="155"/>
        <w:gridCol w:w="144"/>
        <w:gridCol w:w="213"/>
        <w:gridCol w:w="1375"/>
        <w:gridCol w:w="155"/>
        <w:gridCol w:w="143"/>
        <w:gridCol w:w="140"/>
        <w:gridCol w:w="635"/>
        <w:gridCol w:w="163"/>
      </w:tblGrid>
      <w:tr>
        <w:trPr/>
        <w:tc>
          <w:tcPr>
            <w:tcW w:w="4210" w:type="dxa"/>
            <w:tcBorders/>
            <w:vAlign w:val="center"/>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21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603" w:type="dxa"/>
            <w:gridSpan w:val="2"/>
            <w:tcBorders/>
            <w:vAlign w:val="bottom"/>
          </w:tcPr>
          <w:p>
            <w:pPr>
              <w:pStyle w:val="TableContents"/>
              <w:bidi w:val="0"/>
              <w:spacing w:before="0" w:after="283"/>
              <w:jc w:val="center"/>
              <w:rPr>
                <w:b/>
              </w:rPr>
            </w:pPr>
            <w:r>
              <w:rPr>
                <w:b/>
              </w:rPr>
              <w:t>Three Months</w:t>
              <w:br/>
              <w:t>Ended June 30,</w:t>
            </w:r>
          </w:p>
        </w:tc>
        <w:tc>
          <w:tcPr>
            <w:tcW w:w="155"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775"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588" w:type="dxa"/>
            <w:gridSpan w:val="2"/>
            <w:tcBorders/>
            <w:vAlign w:val="bottom"/>
          </w:tcPr>
          <w:p>
            <w:pPr>
              <w:pStyle w:val="TableContents"/>
              <w:bidi w:val="0"/>
              <w:spacing w:before="0" w:after="283"/>
              <w:jc w:val="center"/>
              <w:rPr>
                <w:b/>
              </w:rPr>
            </w:pPr>
            <w:r>
              <w:rPr>
                <w:b/>
              </w:rPr>
              <w:t>Six Months</w:t>
              <w:br/>
              <w:t>Ended June 30,</w:t>
            </w:r>
          </w:p>
        </w:tc>
        <w:tc>
          <w:tcPr>
            <w:tcW w:w="15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775" w:type="dxa"/>
            <w:gridSpan w:val="2"/>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r>
      <w:tr>
        <w:trPr/>
        <w:tc>
          <w:tcPr>
            <w:tcW w:w="421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603" w:type="dxa"/>
            <w:gridSpan w:val="2"/>
            <w:tcBorders/>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775" w:type="dxa"/>
            <w:gridSpan w:val="2"/>
            <w:tcBorders/>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588" w:type="dxa"/>
            <w:gridSpan w:val="2"/>
            <w:tcBorders/>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775" w:type="dxa"/>
            <w:gridSpan w:val="2"/>
            <w:tcBorders/>
            <w:vAlign w:val="bottom"/>
          </w:tcPr>
          <w:p>
            <w:pPr>
              <w:pStyle w:val="TableContents"/>
              <w:bidi w:val="0"/>
              <w:spacing w:before="0" w:after="283"/>
              <w:jc w:val="center"/>
              <w:rPr>
                <w:b/>
              </w:rPr>
            </w:pPr>
            <w:r>
              <w:rPr>
                <w:b/>
              </w:rPr>
              <w:t>2025</w:t>
            </w:r>
          </w:p>
        </w:tc>
        <w:tc>
          <w:tcPr>
            <w:tcW w:w="163" w:type="dxa"/>
            <w:tcBorders/>
            <w:vAlign w:val="bottom"/>
          </w:tcPr>
          <w:p>
            <w:pPr>
              <w:pStyle w:val="TableContents"/>
              <w:bidi w:val="0"/>
              <w:spacing w:before="0" w:after="283"/>
              <w:jc w:val="left"/>
              <w:rPr/>
            </w:pPr>
            <w:r>
              <w:rPr/>
              <w:t> </w:t>
            </w:r>
          </w:p>
        </w:tc>
      </w:tr>
      <w:tr>
        <w:trPr/>
        <w:tc>
          <w:tcPr>
            <w:tcW w:w="42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(loss) - GAAP</w:t>
            </w:r>
          </w:p>
        </w:tc>
        <w:tc>
          <w:tcPr>
            <w:tcW w:w="195"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w:t>
            </w:r>
          </w:p>
        </w:tc>
        <w:tc>
          <w:tcPr>
            <w:tcW w:w="1350" w:type="dxa"/>
            <w:tcBorders/>
            <w:shd w:fill="CCEEFF" w:val="clear"/>
            <w:vAlign w:val="bottom"/>
          </w:tcPr>
          <w:p>
            <w:pPr>
              <w:pStyle w:val="TableContents"/>
              <w:bidi w:val="0"/>
              <w:spacing w:before="0" w:after="283"/>
              <w:jc w:val="right"/>
              <w:rPr/>
            </w:pPr>
            <w:r>
              <w:rPr/>
              <w:t>17,466</w:t>
            </w:r>
          </w:p>
        </w:tc>
        <w:tc>
          <w:tcPr>
            <w:tcW w:w="155"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35" w:type="dxa"/>
            <w:tcBorders/>
            <w:shd w:fill="CCEEFF" w:val="clear"/>
            <w:vAlign w:val="bottom"/>
          </w:tcPr>
          <w:p>
            <w:pPr>
              <w:pStyle w:val="TableContents"/>
              <w:bidi w:val="0"/>
              <w:spacing w:before="0" w:after="283"/>
              <w:jc w:val="right"/>
              <w:rPr/>
            </w:pPr>
            <w:r>
              <w:rPr/>
              <w:t>(3,259</w:t>
            </w:r>
          </w:p>
        </w:tc>
        <w:tc>
          <w:tcPr>
            <w:tcW w:w="155"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w:t>
            </w:r>
          </w:p>
        </w:tc>
        <w:tc>
          <w:tcPr>
            <w:tcW w:w="1375" w:type="dxa"/>
            <w:tcBorders/>
            <w:shd w:fill="CCEEFF" w:val="clear"/>
            <w:vAlign w:val="bottom"/>
          </w:tcPr>
          <w:p>
            <w:pPr>
              <w:pStyle w:val="TableContents"/>
              <w:bidi w:val="0"/>
              <w:spacing w:before="0" w:after="283"/>
              <w:jc w:val="right"/>
              <w:rPr/>
            </w:pPr>
            <w:r>
              <w:rPr/>
              <w:t>(107,938</w:t>
            </w:r>
          </w:p>
        </w:tc>
        <w:tc>
          <w:tcPr>
            <w:tcW w:w="15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35" w:type="dxa"/>
            <w:tcBorders/>
            <w:shd w:fill="CCEEFF" w:val="clear"/>
            <w:vAlign w:val="bottom"/>
          </w:tcPr>
          <w:p>
            <w:pPr>
              <w:pStyle w:val="TableContents"/>
              <w:bidi w:val="0"/>
              <w:spacing w:before="0" w:after="283"/>
              <w:jc w:val="right"/>
              <w:rPr/>
            </w:pPr>
            <w:r>
              <w:rPr/>
              <w:t>(7,012</w:t>
            </w:r>
          </w:p>
        </w:tc>
        <w:tc>
          <w:tcPr>
            <w:tcW w:w="163" w:type="dxa"/>
            <w:tcBorders/>
            <w:shd w:fill="CCEEFF" w:val="clear"/>
            <w:vAlign w:val="bottom"/>
          </w:tcPr>
          <w:p>
            <w:pPr>
              <w:pStyle w:val="TableContents"/>
              <w:bidi w:val="0"/>
              <w:spacing w:before="0" w:after="283"/>
              <w:jc w:val="left"/>
              <w:rPr/>
            </w:pPr>
            <w:r>
              <w:rPr/>
              <w:t>) </w:t>
            </w:r>
          </w:p>
        </w:tc>
      </w:tr>
      <w:tr>
        <w:trPr/>
        <w:tc>
          <w:tcPr>
            <w:tcW w:w="4210" w:type="dxa"/>
            <w:tcBorders/>
          </w:tcPr>
          <w:p>
            <w:pPr>
              <w:pStyle w:val="TableContents"/>
              <w:bidi w:val="0"/>
              <w:spacing w:before="0" w:after="0"/>
              <w:jc w:val="left"/>
              <w:rPr>
                <w:rFonts w:ascii="Times New Roman" w:hAnsi="Times New Roman"/>
                <w:sz w:val="20"/>
              </w:rPr>
            </w:pPr>
            <w:r>
              <w:rPr>
                <w:rFonts w:ascii="Times New Roman" w:hAnsi="Times New Roman"/>
                <w:sz w:val="20"/>
              </w:rPr>
              <w:t>Reconciling items:</w:t>
            </w:r>
          </w:p>
        </w:tc>
        <w:tc>
          <w:tcPr>
            <w:tcW w:w="195"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sz w:val="4"/>
                <w:szCs w:val="4"/>
              </w:rPr>
            </w:pPr>
            <w:r>
              <w:rPr>
                <w:sz w:val="4"/>
                <w:szCs w:val="4"/>
              </w:rPr>
            </w:r>
          </w:p>
        </w:tc>
        <w:tc>
          <w:tcPr>
            <w:tcW w:w="135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3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sz w:val="4"/>
                <w:szCs w:val="4"/>
              </w:rPr>
            </w:pPr>
            <w:r>
              <w:rPr>
                <w:sz w:val="4"/>
                <w:szCs w:val="4"/>
              </w:rPr>
            </w:r>
          </w:p>
        </w:tc>
        <w:tc>
          <w:tcPr>
            <w:tcW w:w="13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35"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r>
      <w:tr>
        <w:trPr/>
        <w:tc>
          <w:tcPr>
            <w:tcW w:w="42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Stock-based compensation expense</w:t>
            </w:r>
          </w:p>
        </w:tc>
        <w:tc>
          <w:tcPr>
            <w:tcW w:w="195"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1350" w:type="dxa"/>
            <w:tcBorders/>
            <w:shd w:fill="CCEEFF" w:val="clear"/>
            <w:vAlign w:val="bottom"/>
          </w:tcPr>
          <w:p>
            <w:pPr>
              <w:pStyle w:val="TableContents"/>
              <w:bidi w:val="0"/>
              <w:spacing w:before="0" w:after="283"/>
              <w:jc w:val="right"/>
              <w:rPr/>
            </w:pPr>
            <w:r>
              <w:rPr/>
              <w:t>2,273</w:t>
            </w:r>
          </w:p>
        </w:tc>
        <w:tc>
          <w:tcPr>
            <w:tcW w:w="155"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298</w:t>
            </w:r>
          </w:p>
        </w:tc>
        <w:tc>
          <w:tcPr>
            <w:tcW w:w="155"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1375" w:type="dxa"/>
            <w:tcBorders/>
            <w:shd w:fill="CCEEFF" w:val="clear"/>
            <w:vAlign w:val="bottom"/>
          </w:tcPr>
          <w:p>
            <w:pPr>
              <w:pStyle w:val="TableContents"/>
              <w:bidi w:val="0"/>
              <w:spacing w:before="0" w:after="283"/>
              <w:jc w:val="right"/>
              <w:rPr/>
            </w:pPr>
            <w:r>
              <w:rPr/>
              <w:t>10,983</w:t>
            </w:r>
          </w:p>
        </w:tc>
        <w:tc>
          <w:tcPr>
            <w:tcW w:w="15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595</w:t>
            </w:r>
          </w:p>
        </w:tc>
        <w:tc>
          <w:tcPr>
            <w:tcW w:w="163" w:type="dxa"/>
            <w:tcBorders/>
            <w:shd w:fill="CCEEFF" w:val="clear"/>
            <w:vAlign w:val="bottom"/>
          </w:tcPr>
          <w:p>
            <w:pPr>
              <w:pStyle w:val="TableContents"/>
              <w:bidi w:val="0"/>
              <w:spacing w:before="0" w:after="283"/>
              <w:jc w:val="left"/>
              <w:rPr/>
            </w:pPr>
            <w:r>
              <w:rPr/>
              <w:t> </w:t>
            </w:r>
          </w:p>
        </w:tc>
      </w:tr>
      <w:tr>
        <w:trPr/>
        <w:tc>
          <w:tcPr>
            <w:tcW w:w="4210" w:type="dxa"/>
            <w:tcBorders/>
          </w:tcPr>
          <w:p>
            <w:pPr>
              <w:pStyle w:val="TableContents"/>
              <w:bidi w:val="0"/>
              <w:spacing w:before="0" w:after="0"/>
              <w:jc w:val="left"/>
              <w:rPr>
                <w:rFonts w:ascii="Times New Roman" w:hAnsi="Times New Roman"/>
                <w:sz w:val="20"/>
              </w:rPr>
            </w:pPr>
            <w:r>
              <w:rPr>
                <w:rFonts w:ascii="Times New Roman" w:hAnsi="Times New Roman"/>
                <w:sz w:val="20"/>
              </w:rPr>
              <w:t>Changes in fair value of warrant liability</w:t>
            </w:r>
          </w:p>
        </w:tc>
        <w:tc>
          <w:tcPr>
            <w:tcW w:w="195"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350" w:type="dxa"/>
            <w:tcBorders/>
            <w:vAlign w:val="bottom"/>
          </w:tcPr>
          <w:p>
            <w:pPr>
              <w:pStyle w:val="TableContents"/>
              <w:bidi w:val="0"/>
              <w:spacing w:before="0" w:after="283"/>
              <w:jc w:val="right"/>
              <w:rPr/>
            </w:pPr>
            <w:r>
              <w:rPr/>
              <w:t>(27,553</w:t>
            </w:r>
          </w:p>
        </w:tc>
        <w:tc>
          <w:tcPr>
            <w:tcW w:w="155"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375" w:type="dxa"/>
            <w:tcBorders/>
            <w:vAlign w:val="bottom"/>
          </w:tcPr>
          <w:p>
            <w:pPr>
              <w:pStyle w:val="TableContents"/>
              <w:bidi w:val="0"/>
              <w:spacing w:before="0" w:after="283"/>
              <w:jc w:val="right"/>
              <w:rPr/>
            </w:pPr>
            <w:r>
              <w:rPr/>
              <w:t>81,807</w:t>
            </w:r>
          </w:p>
        </w:tc>
        <w:tc>
          <w:tcPr>
            <w:tcW w:w="15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— </w:t>
            </w:r>
          </w:p>
        </w:tc>
        <w:tc>
          <w:tcPr>
            <w:tcW w:w="163" w:type="dxa"/>
            <w:tcBorders/>
            <w:vAlign w:val="bottom"/>
          </w:tcPr>
          <w:p>
            <w:pPr>
              <w:pStyle w:val="TableContents"/>
              <w:bidi w:val="0"/>
              <w:spacing w:before="0" w:after="283"/>
              <w:jc w:val="left"/>
              <w:rPr/>
            </w:pPr>
            <w:r>
              <w:rPr/>
              <w:t> </w:t>
            </w:r>
          </w:p>
        </w:tc>
      </w:tr>
      <w:tr>
        <w:trPr/>
        <w:tc>
          <w:tcPr>
            <w:tcW w:w="421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Adjusted net (loss) income - non-GAAP</w:t>
            </w:r>
          </w:p>
        </w:tc>
        <w:tc>
          <w:tcPr>
            <w:tcW w:w="195"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b/>
              </w:rPr>
            </w:pPr>
            <w:r>
              <w:rPr>
                <w:b/>
              </w:rPr>
              <w:t>$</w:t>
            </w:r>
          </w:p>
        </w:tc>
        <w:tc>
          <w:tcPr>
            <w:tcW w:w="1350" w:type="dxa"/>
            <w:tcBorders/>
            <w:shd w:fill="CCEEFF" w:val="clear"/>
            <w:vAlign w:val="bottom"/>
          </w:tcPr>
          <w:p>
            <w:pPr>
              <w:pStyle w:val="TableContents"/>
              <w:bidi w:val="0"/>
              <w:spacing w:before="0" w:after="283"/>
              <w:jc w:val="right"/>
              <w:rPr>
                <w:b/>
              </w:rPr>
            </w:pPr>
            <w:r>
              <w:rPr>
                <w:b/>
              </w:rPr>
              <w:t>(7,814</w:t>
            </w:r>
          </w:p>
        </w:tc>
        <w:tc>
          <w:tcPr>
            <w:tcW w:w="155" w:type="dxa"/>
            <w:tcBorders/>
            <w:shd w:fill="CCEEFF" w:val="clear"/>
            <w:vAlign w:val="bottom"/>
          </w:tcPr>
          <w:p>
            <w:pPr>
              <w:pStyle w:val="TableContents"/>
              <w:bidi w:val="0"/>
              <w:spacing w:before="0" w:after="283"/>
              <w:jc w:val="left"/>
              <w:rPr>
                <w:b/>
              </w:rPr>
            </w:pPr>
            <w:r>
              <w:rPr>
                <w:b/>
              </w:rPr>
              <w:t>) </w:t>
            </w:r>
          </w:p>
        </w:tc>
        <w:tc>
          <w:tcPr>
            <w:tcW w:w="1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635" w:type="dxa"/>
            <w:tcBorders/>
            <w:shd w:fill="CCEEFF" w:val="clear"/>
            <w:vAlign w:val="bottom"/>
          </w:tcPr>
          <w:p>
            <w:pPr>
              <w:pStyle w:val="TableContents"/>
              <w:bidi w:val="0"/>
              <w:spacing w:before="0" w:after="283"/>
              <w:jc w:val="right"/>
              <w:rPr>
                <w:b/>
              </w:rPr>
            </w:pPr>
            <w:r>
              <w:rPr>
                <w:b/>
              </w:rPr>
              <w:t>(2,961</w:t>
            </w:r>
          </w:p>
        </w:tc>
        <w:tc>
          <w:tcPr>
            <w:tcW w:w="155" w:type="dxa"/>
            <w:tcBorders/>
            <w:shd w:fill="CCEEFF" w:val="clear"/>
            <w:vAlign w:val="bottom"/>
          </w:tcPr>
          <w:p>
            <w:pPr>
              <w:pStyle w:val="TableContents"/>
              <w:bidi w:val="0"/>
              <w:spacing w:before="0" w:after="283"/>
              <w:jc w:val="left"/>
              <w:rPr>
                <w:b/>
              </w:rPr>
            </w:pPr>
            <w:r>
              <w:rPr>
                <w:b/>
              </w:rPr>
              <w:t>) </w:t>
            </w:r>
          </w:p>
        </w:tc>
        <w:tc>
          <w:tcPr>
            <w:tcW w:w="144"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b/>
              </w:rPr>
            </w:pPr>
            <w:r>
              <w:rPr>
                <w:b/>
              </w:rPr>
              <w:t>$</w:t>
            </w:r>
          </w:p>
        </w:tc>
        <w:tc>
          <w:tcPr>
            <w:tcW w:w="1375" w:type="dxa"/>
            <w:tcBorders/>
            <w:shd w:fill="CCEEFF" w:val="clear"/>
            <w:vAlign w:val="bottom"/>
          </w:tcPr>
          <w:p>
            <w:pPr>
              <w:pStyle w:val="TableContents"/>
              <w:bidi w:val="0"/>
              <w:spacing w:before="0" w:after="283"/>
              <w:jc w:val="right"/>
              <w:rPr>
                <w:b/>
              </w:rPr>
            </w:pPr>
            <w:r>
              <w:rPr>
                <w:b/>
              </w:rPr>
              <w:t>(15,148</w:t>
            </w:r>
          </w:p>
        </w:tc>
        <w:tc>
          <w:tcPr>
            <w:tcW w:w="155" w:type="dxa"/>
            <w:tcBorders/>
            <w:shd w:fill="CCEEFF" w:val="clear"/>
            <w:vAlign w:val="bottom"/>
          </w:tcPr>
          <w:p>
            <w:pPr>
              <w:pStyle w:val="TableContents"/>
              <w:bidi w:val="0"/>
              <w:spacing w:before="0" w:after="283"/>
              <w:jc w:val="left"/>
              <w:rPr>
                <w:b/>
              </w:rPr>
            </w:pPr>
            <w:r>
              <w:rPr>
                <w:b/>
              </w:rPr>
              <w:t>) </w:t>
            </w:r>
          </w:p>
        </w:tc>
        <w:tc>
          <w:tcPr>
            <w:tcW w:w="1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635" w:type="dxa"/>
            <w:tcBorders/>
            <w:shd w:fill="CCEEFF" w:val="clear"/>
            <w:vAlign w:val="bottom"/>
          </w:tcPr>
          <w:p>
            <w:pPr>
              <w:pStyle w:val="TableContents"/>
              <w:bidi w:val="0"/>
              <w:spacing w:before="0" w:after="283"/>
              <w:jc w:val="right"/>
              <w:rPr>
                <w:b/>
              </w:rPr>
            </w:pPr>
            <w:r>
              <w:rPr>
                <w:b/>
              </w:rPr>
              <w:t>(6,417</w:t>
            </w:r>
          </w:p>
        </w:tc>
        <w:tc>
          <w:tcPr>
            <w:tcW w:w="163" w:type="dxa"/>
            <w:tcBorders/>
            <w:shd w:fill="CCEEFF" w:val="clear"/>
            <w:vAlign w:val="bottom"/>
          </w:tcPr>
          <w:p>
            <w:pPr>
              <w:pStyle w:val="TableContents"/>
              <w:bidi w:val="0"/>
              <w:spacing w:before="0" w:after="283"/>
              <w:jc w:val="left"/>
              <w:rPr>
                <w:b/>
              </w:rPr>
            </w:pPr>
            <w:r>
              <w:rPr>
                <w:b/>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3633</Words>
  <Characters>20763</Characters>
  <CharactersWithSpaces>24660</CharactersWithSpaces>
  <Paragraphs>908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