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6" w:lineRule="exact"/>
        <w:rPr>
          <w:rFonts w:ascii="MS PGothic" w:cs="MS PGothic" w:eastAsia="MS PGothic" w:hAnsi="MS PGothic"/>
          <w:sz w:val="18"/>
          <w:szCs w:val="18"/>
          <w:color w:val="auto"/>
        </w:rPr>
      </w:pPr>
    </w:p>
    <w:p>
      <w:pPr>
        <w:ind w:left="40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2024</w:t>
      </w:r>
    </w:p>
    <w:p>
      <w:pPr>
        <w:spacing w:after="0" w:line="72"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80" w:lineRule="exact"/>
        <w:rPr>
          <w:sz w:val="24"/>
          <w:szCs w:val="24"/>
          <w:color w:val="auto"/>
        </w:rPr>
      </w:pPr>
    </w:p>
    <w:p>
      <w:pPr>
        <w:ind w:left="520" w:right="820" w:hanging="512"/>
        <w:spacing w:after="0" w:line="285" w:lineRule="auto"/>
        <w:tabs>
          <w:tab w:leader="none" w:pos="4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6320" w:type="dxa"/>
            <w:vAlign w:val="bottom"/>
            <w:gridSpan w:val="3"/>
          </w:tcPr>
          <w:p>
            <w:pPr>
              <w:jc w:val="center"/>
              <w:ind w:left="1627"/>
              <w:spacing w:after="0"/>
              <w:rPr>
                <w:sz w:val="20"/>
                <w:szCs w:val="20"/>
                <w:color w:val="auto"/>
              </w:rPr>
            </w:pPr>
            <w:r>
              <w:rPr>
                <w:rFonts w:ascii="Times New Roman" w:cs="Times New Roman" w:eastAsia="Times New Roman" w:hAnsi="Times New Roman"/>
                <w:sz w:val="16"/>
                <w:szCs w:val="16"/>
                <w:b w:val="1"/>
                <w:bCs w:val="1"/>
                <w:color w:val="auto"/>
              </w:rPr>
              <w:t>Commission File Number 001-36517</w:t>
            </w:r>
          </w:p>
        </w:tc>
        <w:tc>
          <w:tcPr>
            <w:tcW w:w="1160" w:type="dxa"/>
            <w:vAlign w:val="bottom"/>
          </w:tcPr>
          <w:p>
            <w:pPr>
              <w:spacing w:after="0"/>
              <w:rPr>
                <w:sz w:val="18"/>
                <w:szCs w:val="18"/>
                <w:color w:val="auto"/>
              </w:rPr>
            </w:pPr>
          </w:p>
        </w:tc>
      </w:tr>
      <w:tr>
        <w:trPr>
          <w:trHeight w:val="87"/>
        </w:trPr>
        <w:tc>
          <w:tcPr>
            <w:tcW w:w="29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464"/>
        </w:trPr>
        <w:tc>
          <w:tcPr>
            <w:tcW w:w="6320" w:type="dxa"/>
            <w:vAlign w:val="bottom"/>
            <w:gridSpan w:val="3"/>
          </w:tcPr>
          <w:p>
            <w:pPr>
              <w:ind w:left="1700"/>
              <w:spacing w:after="0"/>
              <w:rPr>
                <w:sz w:val="20"/>
                <w:szCs w:val="20"/>
                <w:color w:val="auto"/>
              </w:rPr>
            </w:pPr>
            <w:r>
              <w:rPr>
                <w:rFonts w:ascii="Times New Roman" w:cs="Times New Roman" w:eastAsia="Times New Roman" w:hAnsi="Times New Roman"/>
                <w:sz w:val="38"/>
                <w:szCs w:val="38"/>
                <w:b w:val="1"/>
                <w:bCs w:val="1"/>
                <w:color w:val="auto"/>
                <w:w w:val="99"/>
              </w:rPr>
              <w:t>Minerva Neurosciences, Inc.</w:t>
            </w:r>
          </w:p>
        </w:tc>
        <w:tc>
          <w:tcPr>
            <w:tcW w:w="1160" w:type="dxa"/>
            <w:vAlign w:val="bottom"/>
          </w:tcPr>
          <w:p>
            <w:pPr>
              <w:spacing w:after="0"/>
              <w:rPr>
                <w:sz w:val="24"/>
                <w:szCs w:val="24"/>
                <w:color w:val="auto"/>
              </w:rPr>
            </w:pPr>
          </w:p>
        </w:tc>
      </w:tr>
      <w:tr>
        <w:trPr>
          <w:trHeight w:val="212"/>
        </w:trPr>
        <w:tc>
          <w:tcPr>
            <w:tcW w:w="6320" w:type="dxa"/>
            <w:vAlign w:val="bottom"/>
            <w:gridSpan w:val="3"/>
          </w:tcPr>
          <w:p>
            <w:pPr>
              <w:jc w:val="center"/>
              <w:ind w:left="162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160" w:type="dxa"/>
            <w:vAlign w:val="bottom"/>
          </w:tcPr>
          <w:p>
            <w:pPr>
              <w:spacing w:after="0"/>
              <w:rPr>
                <w:sz w:val="18"/>
                <w:szCs w:val="18"/>
                <w:color w:val="auto"/>
              </w:rPr>
            </w:pPr>
          </w:p>
        </w:tc>
      </w:tr>
      <w:tr>
        <w:trPr>
          <w:trHeight w:val="100"/>
        </w:trPr>
        <w:tc>
          <w:tcPr>
            <w:tcW w:w="29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52"/>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148"/>
        </w:trPr>
        <w:tc>
          <w:tcPr>
            <w:tcW w:w="6320" w:type="dxa"/>
            <w:vAlign w:val="bottom"/>
            <w:gridSpan w:val="3"/>
          </w:tcPr>
          <w:p>
            <w:pPr>
              <w:jc w:val="center"/>
              <w:ind w:right="39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4"/>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1500 District Avenue</w:t>
            </w:r>
          </w:p>
        </w:tc>
        <w:tc>
          <w:tcPr>
            <w:tcW w:w="1160" w:type="dxa"/>
            <w:vAlign w:val="bottom"/>
          </w:tcPr>
          <w:p>
            <w:pPr>
              <w:spacing w:after="0"/>
              <w:rPr>
                <w:sz w:val="21"/>
                <w:szCs w:val="21"/>
                <w:color w:val="auto"/>
              </w:rPr>
            </w:pPr>
          </w:p>
        </w:tc>
      </w:tr>
      <w:tr>
        <w:trPr>
          <w:trHeight w:val="214"/>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rPr>
              <w:t>Burlington, MA</w:t>
            </w:r>
          </w:p>
        </w:tc>
        <w:tc>
          <w:tcPr>
            <w:tcW w:w="11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190"/>
        </w:trPr>
        <w:tc>
          <w:tcPr>
            <w:tcW w:w="6320" w:type="dxa"/>
            <w:vAlign w:val="bottom"/>
            <w:gridSpan w:val="3"/>
          </w:tcPr>
          <w:p>
            <w:pPr>
              <w:jc w:val="center"/>
              <w:ind w:right="39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1"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600-7373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 w:type="dxa"/>
            <w:vAlign w:val="bottom"/>
            <w:tcBorders>
              <w:top w:val="single" w:sz="8" w:color="auto"/>
              <w:bottom w:val="single" w:sz="8" w:color="auto"/>
            </w:tcBorders>
          </w:tcPr>
          <w:p>
            <w:pPr>
              <w:spacing w:after="0"/>
              <w:rPr>
                <w:sz w:val="21"/>
                <w:szCs w:val="21"/>
                <w:color w:val="auto"/>
              </w:rPr>
            </w:pPr>
          </w:p>
        </w:tc>
        <w:tc>
          <w:tcPr>
            <w:tcW w:w="3880" w:type="dxa"/>
            <w:vAlign w:val="bottom"/>
            <w:tcBorders>
              <w:top w:val="single" w:sz="8" w:color="auto"/>
              <w:bottom w:val="single" w:sz="8" w:color="auto"/>
              <w:right w:val="single" w:sz="8" w:color="auto"/>
            </w:tcBorders>
            <w:gridSpan w:val="4"/>
          </w:tcPr>
          <w:p>
            <w:pPr>
              <w:jc w:val="center"/>
              <w:ind w:right="339"/>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3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NERV</w:t>
            </w: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gridSpan w:val="3"/>
          </w:tcPr>
          <w:p>
            <w:pPr>
              <w:jc w:val="center"/>
              <w:ind w:right="779"/>
              <w:spacing w:after="0" w:line="193"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5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2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267"/>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2"/>
              </w:rPr>
              <w:t>YES</w:t>
            </w:r>
          </w:p>
        </w:tc>
        <w:tc>
          <w:tcPr>
            <w:tcW w:w="2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72"/>
        </w:trPr>
        <w:tc>
          <w:tcPr>
            <w:tcW w:w="7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tc>
        <w:tc>
          <w:tcPr>
            <w:tcW w:w="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YES</w:t>
            </w:r>
          </w:p>
        </w:tc>
        <w:tc>
          <w:tcPr>
            <w:tcW w:w="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28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20"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160"/>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Accelerated filer</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06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spacing w:after="0"/>
              <w:rPr>
                <w:sz w:val="23"/>
                <w:szCs w:val="23"/>
                <w:color w:val="auto"/>
              </w:rPr>
            </w:pPr>
          </w:p>
        </w:tc>
        <w:tc>
          <w:tcPr>
            <w:tcW w:w="1760" w:type="dxa"/>
            <w:vAlign w:val="bottom"/>
          </w:tcPr>
          <w:p>
            <w:pPr>
              <w:spacing w:after="0"/>
              <w:rPr>
                <w:sz w:val="23"/>
                <w:szCs w:val="23"/>
                <w:color w:val="auto"/>
              </w:rPr>
            </w:pPr>
          </w:p>
        </w:tc>
      </w:tr>
    </w:tbl>
    <w:p>
      <w:pPr>
        <w:spacing w:after="0" w:line="20"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right="2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tabs>
          <w:tab w:leader="none" w:pos="7560" w:val="left"/>
          <w:tab w:leader="none" w:pos="82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3" w:lineRule="exact"/>
        <w:rPr>
          <w:sz w:val="24"/>
          <w:szCs w:val="24"/>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The aggregate value of the Company’s Common Stock held by non-affiliates of the Company was approximately $12.9 million as of June 30, 2024, when the last reported sales price was $3.19 per share.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February 20, 2025 was 6,993,406.</w:t>
      </w:r>
    </w:p>
    <w:p>
      <w:pPr>
        <w:spacing w:after="0" w:line="7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73" w:lineRule="exact"/>
        <w:rPr>
          <w:sz w:val="24"/>
          <w:szCs w:val="24"/>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2025 Annual Meeting of Stockholders to be filed pursuant to Regulation 14A with the Securities and Exchange Commission are incorporated by reference into Part III of this Report. Such proxy statement will be filed with the Securities and Exchange Commission not later than 120 days following the end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614680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80" w:type="dxa"/>
            <w:vAlign w:val="bottom"/>
            <w:gridSpan w:val="11"/>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MINERVA NEUROSCIENCES, INC.</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0" w:type="dxa"/>
            <w:vAlign w:val="bottom"/>
            <w:gridSpan w:val="9"/>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w:t>
            </w:r>
          </w:p>
        </w:tc>
        <w:tc>
          <w:tcPr>
            <w:tcW w:w="56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60" w:type="dxa"/>
            <w:vAlign w:val="bottom"/>
            <w:tcBorders>
              <w:bottom w:val="single" w:sz="8" w:color="0000EE"/>
            </w:tcBorders>
            <w:vMerge w:val="continue"/>
          </w:tcPr>
          <w:p>
            <w:pPr>
              <w:spacing w:after="0"/>
              <w:rPr>
                <w:sz w:val="14"/>
                <w:szCs w:val="14"/>
                <w:color w:val="auto"/>
              </w:rPr>
            </w:pPr>
          </w:p>
        </w:tc>
        <w:tc>
          <w:tcPr>
            <w:tcW w:w="5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48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52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8800" w:type="dxa"/>
            <w:vAlign w:val="bottom"/>
            <w:gridSpan w:val="2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20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460" w:type="dxa"/>
            <w:vAlign w:val="bottom"/>
            <w:gridSpan w:val="4"/>
          </w:tcPr>
          <w:p>
            <w:pPr>
              <w:spacing w:after="0"/>
              <w:rPr>
                <w:sz w:val="17"/>
                <w:szCs w:val="17"/>
                <w:color w:val="auto"/>
              </w:rPr>
            </w:pPr>
          </w:p>
        </w:tc>
        <w:tc>
          <w:tcPr>
            <w:tcW w:w="81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4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8740" w:type="dxa"/>
            <w:vAlign w:val="bottom"/>
            <w:gridSpan w:val="2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EE"/>
            </w:tcBorders>
            <w:gridSpan w:val="3"/>
          </w:tcPr>
          <w:p>
            <w:pPr>
              <w:spacing w:after="0"/>
              <w:rPr>
                <w:sz w:val="17"/>
                <w:szCs w:val="17"/>
                <w:color w:val="auto"/>
              </w:rPr>
            </w:pPr>
          </w:p>
        </w:tc>
        <w:tc>
          <w:tcPr>
            <w:tcW w:w="308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620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06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76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22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8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8"/>
              </w:rPr>
              <w:t>PART III.</w:t>
            </w:r>
          </w:p>
        </w:tc>
        <w:tc>
          <w:tcPr>
            <w:tcW w:w="420" w:type="dxa"/>
            <w:vAlign w:val="bottom"/>
            <w:gridSpan w:val="2"/>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44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24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Person Transactions and Director Independence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9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60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440" w:type="dxa"/>
            <w:vAlign w:val="bottom"/>
            <w:gridSpan w:val="3"/>
          </w:tcPr>
          <w:p>
            <w:pPr>
              <w:spacing w:after="0"/>
              <w:rPr>
                <w:sz w:val="17"/>
                <w:szCs w:val="17"/>
                <w:color w:val="auto"/>
              </w:rPr>
            </w:pP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Exhibit Index</w:t>
            </w: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All trademarks, trade names, service marks, and copyrights appearing in this Annual Report on Form 10-K are the property of their respective owners.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Annual Report on Form 10-K under Part I, Item IA, “Risk Factors.”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summary of risks below provides an overview of the principal risks that we are exposed to in the normal course of our business activities. The below summary of risks is not exhaustive, and such summary should be considered in addition to the other risks described elsewhere in this report:</w:t>
      </w:r>
    </w:p>
    <w:p>
      <w:pPr>
        <w:spacing w:after="0" w:line="54" w:lineRule="exact"/>
        <w:rPr>
          <w:sz w:val="20"/>
          <w:szCs w:val="20"/>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continue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by issuing equity securities will cause dilution to existing stockholders. Raising additional funds through debt financings may involve restrictive covenants and raising funds through lending and licensing arrangements may restrict our operations or require us to relinquish proprietary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regarding fair value of intangible assets may result in an adverse impact on our results of operations;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give any assurance that any of our product candidates will receive regulatory approval in a timely manner or at all. The results of clinical trials conducted at sites outside the U.S. may not be accepted by the FDA and the results of clinical trials conducted at sites in the U.S. may not be accepted by comparable foreign regulatory authorities;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in clinical testing, we will be delayed in commercializing our product candidates, our costs may increase, and our business may be harmed. If we are unable to enroll subjects in clinical trials, we will be unable to complete these trials on a timely basis or at all. Our clinical trials may fail to demonstrate adequately the safety and efficacy of our product candidates, which could prevent or delay regulatory approval and commercialization, and also increase costs;</w:t>
      </w:r>
    </w:p>
    <w:p>
      <w:pPr>
        <w:spacing w:after="0" w:line="71"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or comparable foreign regulatory authorities caused by funding shortages or global health concerns could negatively impact our business;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a product candidate or the approval may be for a narrower indication than we expect. We have no experience in advancing product candidates beyond Phase 3 clinical trials, which makes it difficult to assess our ability to develop and commercialize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 w:name="page4"/>
    <w:bookmarkEnd w:id="3"/>
    <w:p>
      <w:pPr>
        <w:ind w:left="503" w:right="1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our product candidate, MIN-301, has not yet been determined. Depending on the pathway, we may be subject to different regulatory requirements;</w:t>
      </w:r>
    </w:p>
    <w:p>
      <w:pPr>
        <w:spacing w:after="0" w:line="53"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any product that we or our collaborators develop are smaller than we believe, our revenue may be adversely affected and our business may suffer;</w:t>
      </w:r>
    </w:p>
    <w:p>
      <w:pPr>
        <w:spacing w:after="0" w:line="53" w:lineRule="exact"/>
        <w:rPr>
          <w:rFonts w:ascii="Times New Roman" w:cs="Times New Roman" w:eastAsia="Times New Roman" w:hAnsi="Times New Roman"/>
          <w:sz w:val="18"/>
          <w:szCs w:val="18"/>
          <w:color w:val="auto"/>
        </w:rPr>
      </w:pPr>
    </w:p>
    <w:p>
      <w:pPr>
        <w:ind w:left="503" w:right="9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us;</w:t>
      </w:r>
    </w:p>
    <w:p>
      <w:pPr>
        <w:spacing w:after="0" w:line="53" w:lineRule="exact"/>
        <w:rPr>
          <w:rFonts w:ascii="Times New Roman" w:cs="Times New Roman" w:eastAsia="Times New Roman" w:hAnsi="Times New Roman"/>
          <w:sz w:val="18"/>
          <w:szCs w:val="18"/>
          <w:color w:val="auto"/>
        </w:rPr>
      </w:pPr>
    </w:p>
    <w:p>
      <w:pPr>
        <w:ind w:left="503" w:right="5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drug candidates receives regulatory approval, it may fail to achieve the degree of market acceptance by physicians, patients, third-party payors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503" w:right="12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 limited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 Even if we commercialize any of our product candidates, these products may become subject to unfavorable pricing regulations, third-party reimbursement practices or healthcare reform initiatives, which could harm our business;</w:t>
      </w:r>
    </w:p>
    <w:p>
      <w:pPr>
        <w:spacing w:after="0" w:line="75"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and future legislation may increase the difficulty and cost for us to commercialize our product candidates and affect the prices we may obtain;</w:t>
      </w:r>
    </w:p>
    <w:p>
      <w:pPr>
        <w:spacing w:after="0" w:line="53" w:lineRule="exact"/>
        <w:rPr>
          <w:rFonts w:ascii="Times New Roman" w:cs="Times New Roman" w:eastAsia="Times New Roman" w:hAnsi="Times New Roman"/>
          <w:sz w:val="18"/>
          <w:szCs w:val="18"/>
          <w:color w:val="auto"/>
        </w:rPr>
      </w:pPr>
    </w:p>
    <w:p>
      <w:pPr>
        <w:ind w:left="503" w:right="10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system failures. 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 Our disclosure controls and procedures may not prevent or detect all errors or acts of fraud;</w:t>
      </w:r>
    </w:p>
    <w:p>
      <w:pPr>
        <w:spacing w:after="0" w:line="71" w:lineRule="exact"/>
        <w:rPr>
          <w:rFonts w:ascii="Times New Roman" w:cs="Times New Roman" w:eastAsia="Times New Roman" w:hAnsi="Times New Roman"/>
          <w:sz w:val="18"/>
          <w:szCs w:val="18"/>
          <w:color w:val="auto"/>
        </w:rPr>
      </w:pPr>
    </w:p>
    <w:p>
      <w:pPr>
        <w:ind w:left="503" w:right="40" w:hanging="503"/>
        <w:spacing w:after="0" w:line="312" w:lineRule="auto"/>
        <w:tabs>
          <w:tab w:leader="none" w:pos="5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w:t>
      </w:r>
    </w:p>
    <w:p>
      <w:pPr>
        <w:spacing w:after="0" w:line="31" w:lineRule="exact"/>
        <w:rPr>
          <w:rFonts w:ascii="Times New Roman" w:cs="Times New Roman" w:eastAsia="Times New Roman" w:hAnsi="Times New Roman"/>
          <w:sz w:val="17"/>
          <w:szCs w:val="17"/>
          <w:color w:val="auto"/>
        </w:rPr>
      </w:pPr>
    </w:p>
    <w:p>
      <w:pPr>
        <w:ind w:left="503" w:right="2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U.S. and foreign laws, regulations, and rules, contractual obligations, policies, industry standards, and other obligations related to data privacy and security.</w:t>
      </w:r>
    </w:p>
    <w:p>
      <w:pPr>
        <w:spacing w:after="0" w:line="53" w:lineRule="exact"/>
        <w:rPr>
          <w:rFonts w:ascii="Times New Roman" w:cs="Times New Roman" w:eastAsia="Times New Roman" w:hAnsi="Times New Roman"/>
          <w:sz w:val="18"/>
          <w:szCs w:val="18"/>
          <w:color w:val="auto"/>
        </w:rPr>
      </w:pPr>
    </w:p>
    <w:p>
      <w:pPr>
        <w:ind w:left="503" w:right="66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71"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continue to expect to rely on third parties to conduct our future clinical trials. The failure of these third parties to successfully carry out their contractual duties or meet expected deadlines could substantially harm our business;</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collaborations with certain of our licensing partners, and could be seriously harmed if our license agreements are terminated or breached;</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potential future milestone payments to the Company depend on the development and commercialization of seltorexant, and we may be obligated to make related payments to certain of our contractual partners even if certain of our other contractual partners breach their obligations to pay us;</w:t>
      </w:r>
    </w:p>
    <w:p>
      <w:pPr>
        <w:spacing w:after="0" w:line="67"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new collaborations, which could adversely affect our ability to develop future product candidates and commercialize future products;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53" w:lineRule="exact"/>
        <w:rPr>
          <w:rFonts w:ascii="Times New Roman" w:cs="Times New Roman" w:eastAsia="Times New Roman" w:hAnsi="Times New Roman"/>
          <w:sz w:val="18"/>
          <w:szCs w:val="18"/>
          <w:color w:val="auto"/>
        </w:rPr>
      </w:pPr>
    </w:p>
    <w:p>
      <w:pPr>
        <w:ind w:left="503" w:right="7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patents or other intellectual property, which could be expensive, time consuming and unsuccessful;</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what the market price of our common stock will be and, as a result, it may be difficult for you to sell your shares of our common stock;</w:t>
      </w:r>
    </w:p>
    <w:p>
      <w:pPr>
        <w:spacing w:after="0" w:line="53"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will be able to exert significant control over matters subject to stockholder approval;</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by our existing stockholders in the public market could cause our stock price to fall;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litigation could result in substantial damages and may divert management’s time and attention from our business;</w:t>
      </w:r>
    </w:p>
    <w:p>
      <w:pPr>
        <w:spacing w:after="0" w:line="117"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paid dividends on our capital stock, and because we do not anticipate paying any cash dividends in the foreseeable future, capital appreciation, if any, of our common stock will be your sole source of gain on an investment in our common stock; and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delisted from The Nasdaq Capital Market which could negatively impact the price of our common stock, liquidity and our ability to access the capital markets.</w:t>
      </w:r>
    </w:p>
    <w:p>
      <w:pPr>
        <w:spacing w:after="0" w:line="162"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3"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developing roluperidone for the treatment of negative symptoms in patients with schizophrenia and have exclusive rights to develop and commercialize MIN-301 for the treatment of Parkinson’s disease. In addition, we previously co-developed seltorexant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Phase 3 development of seltorexant and as a result,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w:t>
      </w:r>
    </w:p>
    <w:p>
      <w:pPr>
        <w:spacing w:after="0" w:line="19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On February 26, 2024, the FDA issued a Complete Response Letter (“CRL”) regarding our NDA for roluperidone. Since receiving the CRL, we have continued to have interactions with the FDA with the goal of addressing the questions raised in the CRL.</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December 31, 2024 and 2023, we had an accumulated deficit of $395.4 million and $396.8 million, respectively. For the years ended December 31, 2024 and 2023, we recorded net income of $1.4 million and a net loss of $30.0 million, respectively. We believe our product candidates have potential to improve the lives of a large number of affected patients and their families who are currently not well-served by available therapies. According to Datamonitor, an independent market research firm, in 2024 approximately 2.9 million people suffered from schizophrenia in the United States (“U.S.”), Japan, the United Kingdom (“UK”), and the four major European Union (“EU”) markets of France, Germany, Italy, and Spain. There is no approved treatment to address negative symptoms in patients with schizophrenia in the U.S., which is a significant driver of the cost burden of that disease. An estimated 69% of treated patients with schizophrenia have predominant/persistent negative symptoms. Negative symptoms also exist in other CNS diseases beyond schizophrenia, the existing treatments for which we believe are poorly addressed in a broad range of indications such as Alzheimer’s disease, Parkinson’s disease and depression.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strategy is to develop and commercialize first-in-class products that address critical unmet medical needs in the CNS therapeutic area. We are pursuing this strategy based on the following principles: selection of differentiated products with novel mechanisms of action that target therapeutic areas of high unmet need and significant disease burden; attention to patient safety and compliance; scientific rigor applied to patient selection and clinical trial conduct; engagement of highly trained clinical trial investigators; incorporation of patient and caregiver insights to drive clinical advancements; and integrity. With the experience and knowledge base of our clinicians and physicians, we have generated substantive data from randomized, double blind, placebo-controlled trials that support the clinical advancement of these products in defined patient populations and in multiple regulatory jurisdictions. In summary, key elements of our strategy are to:</w:t>
      </w:r>
    </w:p>
    <w:p>
      <w:pPr>
        <w:spacing w:after="0" w:line="81" w:lineRule="exact"/>
        <w:rPr>
          <w:sz w:val="20"/>
          <w:szCs w:val="20"/>
          <w:color w:val="auto"/>
        </w:rPr>
      </w:pPr>
    </w:p>
    <w:p>
      <w:pPr>
        <w:ind w:left="1020" w:right="1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and develop differentiated products with innovative mechanisms of action based on biological and clinical insights into the unmet needs of patients;</w:t>
      </w:r>
    </w:p>
    <w:p>
      <w:pPr>
        <w:ind w:left="1020" w:right="30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randomized, double-blind, placebo-controlled data from completed trials to advance the clinical development of our product candidates in multiple regulatory jurisdictions;</w:t>
      </w:r>
    </w:p>
    <w:p>
      <w:pPr>
        <w:ind w:left="1020" w:right="14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roluperidone, which, if approved, will potentially be the first product approved to treat negative symptoms in patients with schizophrenia in the U.S. and, in the longer term as a potential treatment for other brain disorders in which negative symptoms represent a significant debilitating, unmet need;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1020" w:right="1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explore collaborations with leading pharmaceutical companies to maximize the value of our current product candidate portfolio, particularly in connection with pivotal clinical trials and subsequent regulatory review, approval and commercialization; and</w:t>
      </w:r>
    </w:p>
    <w:p>
      <w:pPr>
        <w:ind w:left="1020" w:right="780" w:hanging="503"/>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our management team’s expertise and current intellectual property portfolio to identify and explore additional indications to investigate with our current portfolio of compounds and to acquire additional product candidates.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Minerva Neurosciences, Inc. was formed in November 2013 from the merger of Cyrenaic Pharmaceuticals, Inc. and Sonkei Pharmaceuticals, Inc. These two predecessor companies had exclusively licensed roluperidone and another compound from Mitsubishi Tanabe Pharma Corporation (“MTPC”). In February 2014 we acquired Mind-NRG Sarl (“Mind-NRG”), which owns exclusive rights to develop and commercialize MIN-301 globally.</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potential commercialization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Clinical-Stage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Roluperidone (MIN-101)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86" w:lineRule="exact"/>
        <w:rPr>
          <w:sz w:val="20"/>
          <w:szCs w:val="20"/>
          <w:color w:val="auto"/>
        </w:rPr>
      </w:pPr>
    </w:p>
    <w:p>
      <w:pPr>
        <w:ind w:right="80"/>
        <w:spacing w:after="0" w:line="228" w:lineRule="exact"/>
        <w:rPr>
          <w:sz w:val="20"/>
          <w:szCs w:val="20"/>
          <w:color w:val="auto"/>
        </w:rPr>
      </w:pPr>
      <w:r>
        <w:rPr>
          <w:rFonts w:ascii="Times New Roman" w:cs="Times New Roman" w:eastAsia="Times New Roman" w:hAnsi="Times New Roman"/>
          <w:sz w:val="18"/>
          <w:szCs w:val="18"/>
          <w:color w:val="auto"/>
        </w:rPr>
        <w:t>Roluperidone is a compound that has been shown to block serotonin, sigma, and α</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adrenergic receptors that are involved in the regulation of mood, cognition, sleep and anxiety. We are developing roluperidone to treat patients with schizophrenia. Roluperidone has been designed to block a specific subtype of serotonin receptor called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When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xml:space="preserve"> is blocked, certain symptoms of schizophrenia, such as hallucinations, delusions, agitation and thought and movement disorders, as well as the side effects associated with antipsychotic treatments, can be minimized. Additionally, blocking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xml:space="preserve"> promotes slow wave sleep, a sleep stage often disrupted in patients with schizophrenia. Roluperidone has also been designed to block a specific subtype of sigma receptor called sigma</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which is involved in movement control, psychotic symptom control and learning and memory. Blocking sigma</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along with blocking the α</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adrenergic subtypes α</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and to a lesser extent α</w:t>
      </w:r>
      <w:r>
        <w:rPr>
          <w:rFonts w:ascii="Times New Roman" w:cs="Times New Roman" w:eastAsia="Times New Roman" w:hAnsi="Times New Roman"/>
          <w:sz w:val="24"/>
          <w:szCs w:val="24"/>
          <w:color w:val="auto"/>
          <w:vertAlign w:val="subscript"/>
        </w:rPr>
        <w:t>1B</w:t>
      </w:r>
      <w:r>
        <w:rPr>
          <w:rFonts w:ascii="Times New Roman" w:cs="Times New Roman" w:eastAsia="Times New Roman" w:hAnsi="Times New Roman"/>
          <w:sz w:val="18"/>
          <w:szCs w:val="18"/>
          <w:color w:val="auto"/>
        </w:rPr>
        <w:t>, also increases calcium levels in neurons in the brain, which can improve memory. Pre-clinical findings provide evidence of the effect of roluperidone on Brain-Derived Neurotrophic Factor (“BDNF”), which has been associated with neurogenesis, neuroplasticity, neuroprotection, synapse regulation, learning and memory.</w:t>
      </w:r>
    </w:p>
    <w:p>
      <w:pPr>
        <w:spacing w:after="0" w:line="20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believe the scientifically supported and innovative mechanisms of action of roluperidone may potentially address the unmet needs of schizophrenic patients, which include treatment of negative symptoms and cognitive impairment, without the side effects of existing therapies. Negative symptoms are lifelong debilitating symptoms and include: asociality, or the lack of motivation to engage in social interactions; anhedonia, or the inability to experience positive emotions; alogia, or failure to engage in normal conversation; avolition, or loss of energy and interest in activities; and blunted affect, or diminished emotional expression. We plan to seek approval of roluperidone initially as a first line treatment of negative symptoms in patients diagnosed with schizophrenia, and we also may study its use to treat all aspects of the disease, including positive symptoms and relapse prevention. We believe that roluperidone, if approved, could treat the majority of patients diagnosed with schizophrenia. An estimated 69% of patients diagnosed with schizophrenia have negative symptoms, with at least 42% of patients diagnosed with schizophrenia having prominent negative symptoms.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Beyond schizophrenia, we believe roluperidone may potentially possess therapeutic utility in brain disorders where negative symptoms are a core feature of the disease associated with a range of poor clinical outcomes. These potential indications include apathy in dementia, for which we have filed an Investigational New Drug (“IND”) application and been cleared by FDA, the majority of schizophrenia spectrum and other psychotic disorders, autism spectrum disorders, Alzheimer’s disease, Parkinson’s disease and depression.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and Regulatory Updates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 Response Letter (CRL)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26, 2024, the FDA issued a CRL to our NDA for roluperidone for the treatment of negative symptoms in patients with schizophrenia.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CRL, the FDA cited the following clinical deficiencies: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 w:name="page8"/>
    <w:bookmarkEnd w:id="7"/>
    <w:p>
      <w:pPr>
        <w:ind w:left="1020" w:right="3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one study (MIN-101C03) demonstrated statistical significance on the primary efficacy endpoint, it is insufficient on its own to establish substantial evidence of effectiveness.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on concomitant antipsychotic administration.</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needed to establish that the change in negative symptoms of schizophrenia with roluperidone treatment was clinically meaningful.</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submitted safety database included an inadequate number of subjects exposed to roluperidone at the proposed dose (64 mg) for at least 12 months.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the observed effect on negative symptoms with roluperidone treatment corresponds to a clinically meaningful change, and to demonstrate the long-term safety of the proposed dose.</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to the clinical deficiencies described above, the FDA also provided comments on, among other items, clinical pharmacology, product quality, biopharmaceutics, and nonclinical issues.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1b Clinical Trial (MIN-101C18)</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first quarter of 2024, we completed a clinical trial initiated in October 2023 to evaluate the safety, tolerability, pharmacodynamics and pharmacokinetics of the co-administration of roluperidone and olanzapine in adult subjects with moderate to severe negative symptoms of schizophrenia. This clinical trial (NCT06107803) was designed to investigate the pharmacodynamic and pharmacokinetic effects and safety of the concomitant therapy of roluperidone with an established and widely used antipsychotic.</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enrolled 17 male and female subjects with moderate to severe negative symptoms of schizophrenia for this study. Out of the 17 enrolled subjects, 13 completed all 17 days of daily dosing with roluperidone 64 mg (for 7 days) and roluperidone with olanzapine 10 mg (for 10 additional days). Two subjects withdrew consent after enrollment, one patient was discontinued due to a major protocol deviation, and one was discontinued due to a treatment-unrelated serious adverse event. Roluperidone administered concomitantly with olanzapine was generally well tolerated and no unexpected safety signals were detected, with few treatment-emergent adverse events (TEAEs) reported, most of which were mild, and all resolved without sequelae. We observed no emergent clinically significant electrocardiogram or laboratory abnormalities during the study. We observed no symptomatic worsening during the administration of roluperidone alone (7 days) or when administered in combination with olanzapine at 10 mg (10 days). The study demonstrated that pharmacokinetic interactions between the two drugs were not relevant.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Drug Application Filed</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April 27, 2023, the FDA filed our NDA for roluperidone for the treatment of negative symptoms in patients with schizophrenia. The decision to file the NDA followed our request for formal dispute resolution and appeal of the RTF. The issues cited in the RTF decision included those discussed at the Type C meeting in March 2022. In granting the appeal, the FDA deciding official agreed with us that the issues cited in the RTF decision should be considered during the FDA’s review of the NDA.</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May 8, 2023, we received confirmation from the FDA that the NDA for roluperidone has been filed in accordance with the Appeal Granted letter dated April 27, 2023 and assigned a standard review classification and a Prescription Drug User Fee Act (“PDUFA”) goal date of February 26, 2024. The FDA advised that it identified potential review issues that had been previously cited in the RTF decision letter, which included those discussed at a Type C meeting in March 2022, described further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Drug Application Submission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August 2022, we submitted an NDA to the FDA for roluperidone for the treatment of negative symptoms in patients with schizophrenia. The NDA submission is supported by results from two late-stage, well-controlled studies in patients with moderate to severe negative symptoms and stable positive symptoms of schizophrenia, referred to as Study MIN-101C03 (the Phase 2b trial) and Study MIN-101C07 (the Phase 3 trial). Both studies were planned to constitute the bulk of evidence of roluperidone’s effectiveness for the indication of treating negative symptoms of schizophrenia. This plan relied on both studies having the same overall study design: both were multicenter, multinational, randomized, double-blind, placebo-controlled, parallel-group studies in which patients received either 32 mg or 64 mg doses of roluperidone. In both studies, if patients were taking antipsychotic treatments, they were discontinued and a washout period of at minimum two days was implemented before beginning the assigned study treatment. Both studies capture comparative placebo-controlled data through their 12-week double-blind period. Both studies also provide long-term</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 w:name="page9"/>
    <w:bookmarkEnd w:id="8"/>
    <w:p>
      <w:pPr>
        <w:ind w:right="120"/>
        <w:spacing w:after="0" w:line="255" w:lineRule="auto"/>
        <w:rPr>
          <w:sz w:val="20"/>
          <w:szCs w:val="20"/>
          <w:color w:val="auto"/>
        </w:rPr>
      </w:pPr>
      <w:r>
        <w:rPr>
          <w:rFonts w:ascii="Times New Roman" w:cs="Times New Roman" w:eastAsia="Times New Roman" w:hAnsi="Times New Roman"/>
          <w:sz w:val="18"/>
          <w:szCs w:val="18"/>
          <w:color w:val="auto"/>
        </w:rPr>
        <w:t>exposure data regarding the safety and tolerability of roluperidone, as well as efficacy based on blinded doses of roluperidone, specifically intended to demonstrate the maintenance of improvement in negative symptoms and the low rate of worsening of positive symptoms following 24-week (Study MIN-101C03) and 40-week (Study MIN-101C07) Open Label (“OL”) periods. With the exception of the duration of the OL period, these two studies were nearly identical with respect to patient population and main assessment tools (namely, Positive and Negative Syndrome Scale (“PANSS”), Personal and Social Performance Scale (“PSP”), and Clinical Global Impression (“CGI”)). As such, the data from these studies are the basis for the decision to submit the application at this stage of development as we believe they provide data to support the long-term safety and efficacy in adults in an area of high unmet medical need.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seeking approval for the 64 mg dose of roluperidone, and results described hereafter are for the 64 mg dose only.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Results of Study MIN-101C03 supported the primary hypothesis that after 12 weeks of treatment, roluperidone is superior to placebo in reducing negative symptoms of schizophrenia. In the primary efficacy analysis, 64 mg roluperidone resulted in a statistically significant reduction of negative symptoms of schizophrenia as measured by PANSS Pentagonal Structured Model Negative score (“PSM”) (p ≤ 0.0036). A post hoc analysis of the change from Baseline to Week 12 in the PANSS Marder’s Negative Symptoms Factor Score (“NSFS”) also demonstrated a statistically significant difference for 64 mg roluperidone compared with placebo (p ≤ 0.001). Statistically significant improvements with 64 mg roluperidone compared with placebo after 12 weeks of the Double Blind (“DB”) period were also seen for multiple secondary/exploratory efficacy analyses. Further improvements in the NSFS were also seen during the 24-week OL period.</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superiority of roluperidone over placebo was also demonstrated in Study MIN-101C07. Although the primary analysis (intent-to-treat (“ITT”)) of change from Baseline in the NSFS to Week 12 for roluperidone compared to placebo marginally missed statistical significance (p ≤ 0.064), the results were quantitatively superior for 64 mg roluperidone treatment. Furthermore, the analysis of the modified intent-to-treat (“mITT”) population (mITT data set excludes data from one clinical site with implausible results for the 17 patients recruited at this site) demonstrated a nominal statistically significant improvement in the NSFS for 64 mg roluperidone compared to placebo (p ≤ 0.044). In addition, statistically significant improvements (unadjusted) in the NSFS from Baseline were seen as early as Weeks 4 and 8 for 64 mg roluperidone compared to placebo for both the ITT and the mITT populations. PSP Total score (sole key secondary endpoint measuring vocational and social skills) reached statistical significance for both ITT and mITT populations (p ≤ 0.022 and p ≤ 0.017, respectively). Further improvements in the NSFS and PSP Total score were also seen during the 40-week OL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C Meeting</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April 2022, we received the official meeting minutes from the Type C meeting with the FDA held on March 2, 2022, in which the development of roluperidone for the treatment of negative symptoms in schizophrenia was discussed. Four main topics (listed below) were highlighted by the FDA for which they requested input and further clarification from us. Following the meeting, we provided additional data to address:</w:t>
      </w:r>
    </w:p>
    <w:p>
      <w:pPr>
        <w:spacing w:after="0" w:line="68" w:lineRule="exact"/>
        <w:rPr>
          <w:sz w:val="20"/>
          <w:szCs w:val="20"/>
          <w:color w:val="auto"/>
        </w:rPr>
      </w:pPr>
    </w:p>
    <w:p>
      <w:pPr>
        <w:ind w:left="1020" w:right="1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roluperidone administration on the efficacy and safety of antipsychotic drugs.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w:t>
      </w:r>
    </w:p>
    <w:p>
      <w:pPr>
        <w:spacing w:after="0" w:line="7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US and non-US schizophrenia patients. More specifically, the Division wanted to be reassured that data collected in MIN-101C03 in non-US patients is applicable to US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statistical evidence of efficacy of roluperidone on negative symptoms.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clinicians to identify patients who might benefit from roluperidone.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Chemistry, Manufacturing and Controls program</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chemistry, manufacturing and controls (“CMC”) scale-up program for roluperidone is ongoing to ensure consistency between the drug batches used during Phase 3 testing and those that will be available for potential marketing and commercialization and subsequent regulatory submission and review of an NDA for roluperidone. The CMC program requires validation of all aspects of the manufacturing processes required to result in a drug product that consistently meets approved quality standards.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September 2019 we entered into a long-term commercial supply agreement for roluperidone with Catalent, Inc. (“Catalent”), a leading global provider of advanced delivery technologies, development, and manufacturing solutions for drugs, biologics, gene therapies, and consumer health products. Under the terms of the agreement, Catalent manufactures and packages the finished dose form of roluperidone at its facility in Schorndorf, Germany. To date, Catalent has worked with us to enable the transfer from pilot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ind w:right="240"/>
        <w:spacing w:after="0" w:line="266" w:lineRule="auto"/>
        <w:rPr>
          <w:sz w:val="20"/>
          <w:szCs w:val="20"/>
          <w:color w:val="auto"/>
        </w:rPr>
      </w:pPr>
      <w:r>
        <w:rPr>
          <w:rFonts w:ascii="Times New Roman" w:cs="Times New Roman" w:eastAsia="Times New Roman" w:hAnsi="Times New Roman"/>
          <w:sz w:val="18"/>
          <w:szCs w:val="18"/>
          <w:color w:val="auto"/>
        </w:rPr>
        <w:t>commercial-scale production. This has included analytical methods transfer and validation, process optimization, stability studies, and registration batch manufacturing, as well as packaging studies and the assessment of the influence of formulation factors on the product’s critical quality attributes as required by Quality by Design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Drug-Drug Interaction Studies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completed certain pharmacology trials that include a Drug-Drug Interaction study, which comprise a standard part of the NDA. We have studied interactions separately with molecules inhibiting two subtypes of the cytochrome P450 (CYP2D6 and CYP3A4). The data from this study show minimal to no interaction with the strong CYP3A4 inhibitor, and some interaction (&lt; 1.6-fold increase in exposure) with the moderate CYP2D6 inhibitor.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Dose Escalation Study with formulation employed in Phase 3 clinical trial</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completed a prospective, double-blind, placebo-controlled, randomized single-escalating dose study in healthy subjects to evaluate the investigational drug roluperidone as monotherapy administered at nine ascending doses (16, 32, 64, 96, 128, 160, 192, 224 and 256 mg). The highest dose tested is 4 multiples of the highest dose (64 mg) used in the Phase 3 trial.</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trial included a total of 90 subjects. 72 received 9 different doses of roluperidone, and 18 received placebo. All subjects who were dosed completed the study as planned except for one male subject who received placebo and subsequently withdrew his consent.</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believe the findings from the trial suggest an expanded therapeutic window and a significantly improved safety margin for roluperidone. Furthermore, we believe these data suggest the potential for future testing of roluperidone in schizophrenic patients with an exacerbation of psychosis at higher doses than those used in the Phase 3 trial.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Brain-Derived Neurotrophic Factor (“BDNF”) Findings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completed non-clinical studies that provide evidence of the effect of roluperidone on Brain-Derived Neurotrophic Factor (“BDNF”) and on Glial Cell-Derived Neurotrophic Factor (“GDNF”). BDNF is the most widely distributed member of neurotrophins in the brain and has been associated with neurogenesis, neuroplasticity, neuroprotection, synaptic regulation and learning and memory. Its involvement in schizophrenia has also been described. GDNF is another neurotrophin known to promote the survival of different types of brain cells and has been shown to be essential for the maintenance and survival of dopamine neurons.</w:t>
      </w:r>
    </w:p>
    <w:p>
      <w:pPr>
        <w:spacing w:after="0" w:line="18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Data from this study were presented at the 2019 Congress of the Schizophrenia International Research Society on April 11, 2019. These findings demonstrate that administration of roluperidone significantly increased BDNF release by astrocytes and hippocampal neurons obtained from the cerebral cortex of newborn rats, as well as the release of GDNF in cultured astrocytes. Furthermore, data showed that roluperidone enhanced BDNF gene expression at drug concentrations comparable to those observed in humans at tested doses. Based on these results, we believe that the effect of roluperidone on BDNF and GDNF may indicate its potential for disease modification and improved neuroplasticity, in addition to its observed effects on the serotoninergic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sigma</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and α</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and α</w:t>
      </w:r>
      <w:r>
        <w:rPr>
          <w:rFonts w:ascii="Times New Roman" w:cs="Times New Roman" w:eastAsia="Times New Roman" w:hAnsi="Times New Roman"/>
          <w:sz w:val="24"/>
          <w:szCs w:val="24"/>
          <w:color w:val="auto"/>
          <w:vertAlign w:val="subscript"/>
        </w:rPr>
        <w:t>1B</w:t>
      </w:r>
      <w:r>
        <w:rPr>
          <w:rFonts w:ascii="Times New Roman" w:cs="Times New Roman" w:eastAsia="Times New Roman" w:hAnsi="Times New Roman"/>
          <w:sz w:val="18"/>
          <w:szCs w:val="18"/>
          <w:color w:val="auto"/>
        </w:rPr>
        <w:t>- adrenergic neurotransmitter pathways.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Roluperidone License Agreement with MTPC</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entered into a license agreement with MTPC dated as of August 30, 2007, as amended (“Roluperidone License Agreement”). Under the terms of the Roluperidone License Agreement, we acquired an exclusive license to the lead compound known as CYR-101 (subsequently renamed MIN-101 and roluperidone), and other compounds with a similar structure and intended purpose and other data included within the valid claims of certain patents licensed to us under the Roluperidone License Agreement. The license is for world-wide rights other than certain countries in Asia, including China, Japan, India and South Korea. We will pay MTPC a tiered royalty for net sales of product by us or any of our affiliates or sublicensees containing the licensed compound at a range of percentages of the high single digits to the low teens depending on net sales of products under the Roluperidone License Agreement. We were also required to make certain milestone payments upon the achievement of certain development and commercial milestones, potentially up to $57.5 million for roluperidone and up to $59.5 million for additional products.</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January 2014 we renegotiated the structure of the license for roluperidone such that we are required to make milestone payments upon the achievement of one development milestone totaling $0.5 million and certain commercial milestones, which could total up to $47.5 million, in the aggregate, as well as the tiered royalty payments described above. In addition, in the event that we sell the rights to the license, MTPC will be entitled to a percentage of milestone payments in the low teens and a percentage of royalties received by us in the low double digits. This license agreement expires upon the expiration of our obligation to pay royalties, upon which we will have a fully paid-up, non-exclusive, perpetual, irrevocable license. Our obligation to pay royalties continues, on a country-by-country basis, until the 12 year anniversary from the launch of the product in each country in our territory.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Seltorexant (MIN-202)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 of Seltorexant and the Royalty Pharma Arrangement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Seltorexant is an innovative selective orexin 2 receptor antagonist that we co-developed with Janssen for the treatment of insomnia and MDD. Insomnia is the repeated difficulty with sleep initiation, maintenance or quality that occurs despite adequate time and opportunity for sleep, resulting in daytime impairment. Insomnia can be the primary condition for patients or a secondary symptom of, and contributor to, another medical or psychiatric condition, such as MDD or schizophrenia.</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for a $60 million cash payment and up to an additional $95 million in potential milestone payments, subject to completion of Phase 3 trials by Janssen and regulatory approvals.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Clinical Developments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2019 we announced top-line results from a Phase 2b clinical trial in which flexibly dosed seltorexant (20 mg or 40 mg) was compared to flexibly dosed quetiapine XR (150 mg or 300 mg) for adjunctive treatment of patients with MDD. There were 102 patients enrolled, each with MDD not responding adequately to SSRIs and SNRIs. The primary endpoint was all cause discontinuation of therapy over 6 months. Mood improvement, measured using the MADRS, and safety and tolerability were evaluated. The primary intent of this exploratory trial was to generate data to assist with the planning of Phase 3 studies; it was not powered to detect statistical significance. Quetiapine XR was used as a comparator, because it is the only medication approved for the adjunctive treatment of MDD in both the U.S. and the European Union.</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May 2019 we announced positive top-line results from a Phase 2b trial of seltorexant as adjunctive therapy to antidepressants in adult patients with MDD who have responded inadequately to antidepressant therapy, including selective serotonin reuptake inhibitors (“SSRIs”) and/or serotonin-norepinephrine reuptake inhibitors (“SNRIs”). We believe these results represent the first clinical observation in a large, late-stage study that a selective orexin molecule can achieve a positive effect as an adjunctive treatment in patients with MDD who have an inadequate response to SSRIs and SNRIs. We believe these findings, if confirmed in Phase 3 studies, may suggest a novel approach to treating MDD with an improved safety profile compared to existing therapies. Approximately 60%-70% of patients diagnosed and treated with first-line therapies, including SSRIs and/or SNRIs, do not experience adequate treatment response, and seltorexant potentially represents an opportunity to improve treatment response rates safely in most of these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MIN-301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 of MIN-301 and Strategic Development Deferral</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result of our acquisition of Mind-NRG in February 2014, we have exclusive rights to develop and commercialize MIN-301, a soluble recombinant form of the Neuregulin-1b1 (“NRG-1b1”), protein, for the treatment of Parkinson’s disease and potentially for other neurodegenerative disorders. We believe MIN-301 may have the potential to slow the onset of, and restore the brain tissue damage caused by, the disease. MIN-301 is produced by recombinant technology, which is a type of process that modifies the genetics of a biological organism to cause it to produce a particular product. MIN-301 is a peptide that contains the extracellular domain of the human neureglin-1 beta 1 protein and is produced using an Escherichia coli organism that is genetically engineered to express this peptide. Once administrated, this peptide binds to a particular receptor, ErbB4, which produces certain biological effects. For instance, binding to ErbB4 modulates the levels of certain neurotransmitters such as Gamma-Aminobutyric Acid (“GABA”) and glutamate in the brain, which are often unbalanced in individuals with Parkinson’s disease. Further, ErbB4 promotes oxygenation and metabolism of neurons and it is involved in the control of brain inflammation, which may indicate that MIN-301 could have the potential to reverse the damage caused by Parkinson’s disease.</w:t>
      </w:r>
    </w:p>
    <w:p>
      <w:pPr>
        <w:spacing w:after="0" w:line="1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Current treatments for Parkinson’s disease improve the symptoms of patients, but none have been proven to delay the onset of the disease, slow or prevent the progression of the disease or reverse its effects. Due to MIN-301’s novel mechanism of action that targets neurological deficits, we believe MIN-301 may have the potential to address these unmet needs of patients and, if approved, may be used as an early-stage monotherapy as well as a complementary therapy to existing treatments.</w:t>
      </w:r>
    </w:p>
    <w:p>
      <w:pPr>
        <w:spacing w:after="0" w:line="18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2021, we made the strategic decision to focus our limited resources on moving forward our lead drug candidate, roluperidone, and deferred the development of MIN-301 until additional resources become available.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Non-clinical Development</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Results from a non-human primate study showed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w:t>
      </w:r>
    </w:p>
    <w:p>
      <w:pPr>
        <w:spacing w:after="0" w:line="17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Optimization of the bioanalytical method was accomplished during 2020 following the completion of a rat pharmacokinetic study. The new bioanalytical method facilitates the detection of MIN-301 concentrations at very low levels which we believe may enable further non-clinical testing of this compound.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 Competition in the Pharmaceutical Market for the Treatment of Schizophrenia</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Current drug therapies for the treatment of schizophrenia mainly target the positive symptoms of the disease. When patients present positive symptoms and require treatment, they are typically given either conventional “first-generation” antipsychotic medication, such as GlaxoSmithKline’s Thorazine Sanofi-Aventis’ Largactil (chlorpromazine) and Janssen’s Haldol (haloperidol), or second-generation “atypical antipsychotics,” such as Novartis’ Clozaril (clozapine), Janssen’s Risperdal (risperidone), AstraZeneca’s Seroquel (quetiapine), Eli Lilly’s Zyprexa (olanzapine) and Bristol-Myers Squibb’s Abilify (aripiprazole). More recently, in February 2020, Intra-Cellular Therapies launched Caplyta (lumateperone) for the treatment of schizophrenia. It has since demonstrated efficacy in bipolar depression and received FDA approval in December 2021. In September 2024, FDA approved a new type of treatment for schizophrenia from Bristol Meyers Squibb which works differently from “atypical antipsychotics”. Cobenfy (previously known as KarXT and developed by Karuna Therapeutics) targets proteins in the brain called muscarinic receptors, which may indirectly impact dopamine.</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Both first and second generation antipsychotics as well as more recent entrants to the market have not shown any benefit on negative symptoms and cognitive symptoms in a monotherapy clinical study. In addition, certain older therapies have extensive side effects such as weight gain, metabolic syndrome, sedation, nausea, movement disorders, restlessness, insomnia, impairment of cognitive skills, and prolactin increase. More recent entrants into the market have made claims that they have an improved side effect profile compared to antipsychotics. Since schizophrenia has a wide range of symptoms, multiple therapeutics are often prescribed in an attempt to address all aspects of the disease, compounding these side effects.</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Given the focus of currently approved drug therapies for positive symptoms and their side effect profiles, we believe these therapies are unlikely to be directly competitive with roluperidone, which is intended to target primarily negative symptoms. However, new drug therapies in addition to roluperidone are being developed to address the limitations of current therapies. Several new pharmacological approaches have been investigated. One targets a neurotransmitter called glutamate and the other targets a neurotransmitter called nicotine. Glutamate is the most predominant neurotransmitter system in maintaining the brain in an active state and is involved in maintaining accurate vigilance, attention and contributing to some cognitive skills. Nicotine is among the most predominant neurotransmitter system involved in learning and some other cognitive skills.</w:t>
      </w:r>
    </w:p>
    <w:p>
      <w:pPr>
        <w:spacing w:after="0" w:line="18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Specific compounds under late-stage development that include negative symptoms as a target include Acadia Pharmaceuticals’ pimavanserin, a selective serotonin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xml:space="preserve"> inverse agonist (“SSIA”) that is approved for the treatment of hallucinations and delusions associated with Parkinson’s disease psychosis. During 2019, Acadia initiated a second Phase 3 pivotal study, ADVANCE-2. The Phase 3 program evaluated the efficacy of pimavanserin in patients with predominantly negative symptoms of schizophrenia who have achieved adequate control of positive symptoms with their existing antipsychotic treatment. On March 11th 2024, Acadia announced that the study did not meet the primary endpoint. There have been no further clinical studies initiated with pimavanserin in negative symptoms of schizophrenia. In January 2019, Lundbeck indicated they would begin proof-of-concept studies for Lu AF11167, a PDE-10 inhibitor for the treatment of persistent negative symptoms in schizophrenia. In August 2020, Lundbeck announced they were discontinuing the trial based on the results of a futility interim analysis, which concluded that the trial was unlikely to achieve statistical significance on its primary endpoint, mean change from baseline to week 12 on the Brief Negative Symptom Scale (“BNSS”).</w:t>
      </w:r>
    </w:p>
    <w:p>
      <w:pPr>
        <w:spacing w:after="0" w:line="19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Other products in clinical development, as a monotherapy or as an adjunctive treatment, whose targets include negative symptoms, (although not necessarily defined as a primary outcome of their clinical trials) are SyneuRx’s NaBen, Neurocrine NBI-568 and NBI-570, and products being developed by Luye Pharma Group and Denovo Biopharma. In addition, a number of academic groups are conducting studies with existing compounds for the treatment of negative symptoms of schizophrenia.</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MIN-301: Competition in the Pharmaceutical Market for the Treatment of Parkinson’s Disease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Current treatments for Parkinson’s disease are intended to improve the symptoms of patients. The cornerstone of Parkinson’s therapy is levodopa, as it is the most effective therapy for reducing symptoms of Parkinson’s disease. However, levodopa may cause unpleasant systemic side effects, such as dyskinesias, and is often used with dopaminergics to manage these side effects. While initially effective, symptoms become increasingly difficult to control over time, and patients experience a pattern of motor complications that include motor fluctuations, dyskinesias, off-period dystonia, freezing and falls. Accordingly, there are advantages to deferring their use to later stages of the disease, or using them with other therapies to reduce the side effects of motor fluctuations and dyskinesia that 50% of levodopa patients experience.</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Unlike currently available therapies, MIN-301, if approved, is intended to delay the onset of the disease, slow or prevent the progression of the disease or reverse its effects. Since MIN-301 is expected to target Parkinson’s disease, rather than merely its symptoms, and current therapies are not fully effective at improving the symptoms of Parkinson’s disease without side effects, we believe that levodopa and other currently available generic products may not be directly competitive with MIN-301. While there are other drug therapies in development that will target the disease, such as gene and stem cell therapy and A2A receptor agonists, the majority of products in development for disease modifying treatments of Parkinson’s disease are still in early-stage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products and technologies that we believe are important to our business, including seeking and maintaining patent protection intended to cover the composition of our product candidates, their methods of use, related technology and other inventions that are important to our business. We also rely on trade secrets and careful monitoring of our proprietary information to protect aspects of our business that are not amenable to, or that we do not consider appropriate for, patent protection.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portfolios for our product candidates, which we own or are exclusively licensed to us,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Compound</w:t>
      </w:r>
    </w:p>
    <w:p>
      <w:pPr>
        <w:spacing w:after="0" w:line="227"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We own numerous granted patents and patent applications worldwide that provide strong protection for roluperidone. These include patents and applications directed to pharmaceutical compositions comprising roluperidone and methods of using roluperidone.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Compositions</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own four granted U.S. patents, U.S. Patent Nos. 9,458,130, 9,730,920, 10,258,614 and 10,799,493, and patents in Australia, Brazil, Chile, Colombia, Eurasia, Europe, Israel, Mexico, New Zealand, Peru, South Africa, and Ukraine, as well as pending applications in the U.S., Australia, Canada, Europe, Israel, Ukraine, and South Africa that cover a novel formulation comprising roluperidone. This novel formulation provides improved therapeutic response and minimizes the potential for transient QTc increases – and thus safety issues – when compared to previous formulations. Because of this improved safety profile, it is this formulation of roluperidone that is being used in Phase 3 clinical trials, and it is this formulation that we expect will be the basis for approval in the US and EU. The granted U.S. patents, as well as any other U.S. or foreign patents that may grant from these applications, will expire no earlier than November 30, 2035. The U.S. patents are listable in the FDA’s Orange Book and would, we believe, bar generic competition during their terms. In addition to the patent terms referenced above, a patent term extension of up to 5 years may also be available.</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own two granted U.S. Patents, U.S. Patent Nos. 11,464,744 and 12,048,768, patents in Australia, Colombia, Israel, Mexico, Russian, and Ukraine, as well as pending applications in the U.S., Australia, Brazil, Canada, Chile, Europe, Israel, Mexico, New Zealand, Peru, Russia, Ukraine, and South Africa that cover gastro-resistant, controlled release dosage formulations of roluperidone. The terms of any future granted patents in this patent family would expire no earlier than June 21, 2038. U.S. patents in this family may be listable in the FDA’s Orange Book. In addition to the patent terms referenced above, a patent term extension of up to 5 years may also be available.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of Use</w:t>
      </w:r>
    </w:p>
    <w:p>
      <w:pPr>
        <w:spacing w:after="0" w:line="22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own U.S. Patent No. 9,732,059, three granted patents in Russia, three granted patents in Canada, and four granted patents in a number of European territories (Austria, Belgium, Denmark, Finland, France, Germany, Greece, Ireland, Italy, Luxembourg, Netherlands, Norway, Poland, Portugal, Spain, Sweden, Switzerland, Turkey, United Kingdom, Anguilla, Bermuda, Cayman Islands, Gibraltar, Jersey, Turks &amp; Caicos Islands, and British Virgin Islands), as well as pending applications in United States, Canada,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3" w:name="page14"/>
    <w:bookmarkEnd w:id="13"/>
    <w:p>
      <w:pPr>
        <w:ind w:right="160"/>
        <w:spacing w:after="0" w:line="258" w:lineRule="auto"/>
        <w:rPr>
          <w:sz w:val="20"/>
          <w:szCs w:val="20"/>
          <w:color w:val="auto"/>
        </w:rPr>
      </w:pPr>
      <w:r>
        <w:rPr>
          <w:rFonts w:ascii="Times New Roman" w:cs="Times New Roman" w:eastAsia="Times New Roman" w:hAnsi="Times New Roman"/>
          <w:sz w:val="18"/>
          <w:szCs w:val="18"/>
          <w:color w:val="auto"/>
        </w:rPr>
        <w:t>Europe, and Russia across two patent families that are directed to methods of use of roluperidone to treat negative and other symptoms of schizophrenia, sleep disorders, depression, and other sigma-2 disorders or conditions. U.S. Patent No. 9,732,059 covers the use of roluperidone to treat one or more negative symptoms of schizophrenia and will not expire until 2033, including 558 days of Patent Term Adjustment. This patent is listable in the FDA’s Orange Book and would, we believe, bar generic competition during its term. A patent term extension of up to 5 years may also be available. The foreign patents, as well as any future U.S. or foreign patents granting in these families, are scheduled to expire no earlier than July 20, 2031.</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we own patents in the U.S. Mexico, and Russia, as well as pending applications in the U.S., Australia, Brazil, Canada, Chile, Europe, Israel, Mexico, New Zealand, Russia, Ukraine, and South Africa directed to the use of roluperidone to treat negative symptoms, various disorders (including autism disorders, amblyopia, personality disorders, traumatic brain injury), as well as increasing neuroplasticity and promoting neuroprotection in subjects in need thereof. The U.S. Patent and any future U.S. or foreign patents granting from these applications would expire no earlier than August 21, 2039.</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also own patent applications in the U.S., Australia, Brazil, Canada, Chile, China, Eurasia, Europe, Israel, Japan, South Korea, Mexico, New Zealand, Ukraine, and South Africa directed to methods of preventing relapse in a schizophrenia patient comprising administering roluperidone to the patient. Any future U.S. or foreign patents granting from these applications would expire no earlier than February 13, 2043.</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also own an international (PCT) application directed to methods of treating lysosomal storage disorders or a symptom of a lysosomal storage disorder comprising administering roluperidone. Any patents granting from national phase applications that may be filed based upon this PCT application would expire no earlier than October 23, 2044.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MIN-301</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own a patent family that is directed to the use of MIN-301 for treating neurologic and psychiatric diseases, including Parkinson’s disease. This patent family includes patents granted in the U.S., Australia, Brazil, Canada, Europe (Austria, Belgium, Denmark, France, Germany, Greece, Ireland, Italy, Netherlands, Norway, Portugal, Spain, Sweden, Switzerland, Turkey and United Kingdom), Japan, Mexico and Russia. Applications are also pending in the United States. Any existing and future granted patents in this family will expire no earlier than November 17, 2028. A patent term extension of up to five years may be available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Sigma Ligands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own a U.S. patent and patent applications in the U.S., Australia, Canada, China, Europe, Japan, and Hong Kong directed to sigma ligand compounds and their potential use in treating a variety of diseases and disorders, including pain disorders, CNS disorders (e.g., Parkinson’s disease and Alzheimer’s disease), viruses, and cancer. The U.S. Patent, as well as any future US or foreign patents granting from these applications would expire no earlier than August 12, 2041.</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also own a PCT application directed to the use of sigma ligand compounds in treating lysosomal storage disorders, including Niemann-Pick disease. Any patents granting from national phase applications that may be filed based upon this PCT application would expire no earlier than February 15, 2044. A patent term extension of up to five years may be available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to patent protection, our product candidates may also be eligible for data and marketing exclusivity protection in the U.S., EU and certain other countries. If our product candidates are approved and this protection is available, no competitor may use the data in our application for regulatory approval of our product candidates to obtain regulatory approval of a generic product during the data exclusivity period.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small molecules, such as roluperidone, the data and marketing exclusivity period in the U.S. is generally four and five years, respectively, measured from the FDA approval date. If MIN-301 is approved as a biologic product, it may be eligible for a data and marketing exclusivity period of twelve years in the U.S. The data and marketing exclusivity periods in the U.S. may be extended by an additional 6 months of pediatric exclusivity if a qualifying pediatric study is performed. Similar data and market exclusivity opportunities are available in the EU; for more information, see the section titled “—Government Regulation and Product Approval—</w:t>
      </w:r>
      <w:r>
        <w:rPr>
          <w:rFonts w:ascii="Times New Roman" w:cs="Times New Roman" w:eastAsia="Times New Roman" w:hAnsi="Times New Roman"/>
          <w:sz w:val="18"/>
          <w:szCs w:val="18"/>
          <w:i w:val="1"/>
          <w:iCs w:val="1"/>
          <w:color w:val="auto"/>
        </w:rPr>
        <w:t>Data and Marketing Exclusivity in the EU”</w:t>
      </w:r>
      <w:r>
        <w:rPr>
          <w:rFonts w:ascii="Times New Roman" w:cs="Times New Roman" w:eastAsia="Times New Roman" w:hAnsi="Times New Roman"/>
          <w:sz w:val="18"/>
          <w:szCs w:val="18"/>
          <w:color w:val="auto"/>
        </w:rPr>
        <w:t xml:space="preserve"> below.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manufacturing of our product candidates for pre-clinical and clinical testing, as well as for commercial manufacturing if our product candidates receive regulatory approval. Our product candidates are manufactured in reliable and reproducible synthetic processes from readily available starting materials. The chemistry does not require unusual equipment in the manufacturing process. We expect to continue to develop product candidates that can be produced cost-effectively at contract manufacturing facilities.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Except for most of Asia, we have global commercialization rights for roluperidone. We also own worldwide rights for MIN-301 and the Sigma Ligands. We believe that it will be possible for us to access European and, in the case of roluperidone, Sigma Ligands, and MIN-301, other priority markets including the United States, Asia, and Latin America, through a focused, specialized sales force where the population dynamics would prove efficient. We may enter into sales, distribution or other marketing arrangements with third parties for priority markets or limited to certain territories for any of our drug candidates that obtain regulatory approval.</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receiving regulatory approvals, we expect to commence commercialization activities by building a focused sales and marketing organization, either alone or through collaborations with third parties, in the United States, EU and Latin America to sell our product candidates. We believe that such an organization will be able to target the community of physicians who are the key specialists in treating the patient populations for which our product candidates are being developed. Additionally, we plan to engage fully with all key constituencies involved in treatment decisions, including payors, patients and others.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Medicinal Products in the European Union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 in the EU</w:t>
      </w:r>
    </w:p>
    <w:p>
      <w:pPr>
        <w:spacing w:after="0" w:line="227"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In the EU, clinical trials are governed by the Clinical Trials Regulation (EU) No 536/2014 (“CTR”), which entered into application on January 31, 2022, repealing and replacing the former Clinical Trials Directive 2001/20 (“CTD”) and related national implementing legislation of EU Member States.</w:t>
      </w:r>
    </w:p>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CTR is intended to harmonize and streamline clinical trial authorizations, simplify adverse-event reporting procedures, improve the supervision of clinical trials and increasing their transparency. Specifically, the Regulation, which is directly applicable in all EU Member States, introduces a streamlined application procedure through a single-entry point, the “EU portal,” the Clinical Trials Information System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 The CTR foresaw a three-year transition period that ended on January 31, 2025. Since this date, all new or ongoing trials are subject to the provisions of the CTR.</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all cases, the clinical trials must be conducted in accordance with EU and national requirements governing clinical trials, including the Good Clinical Practice Directive 2005/28 and ethical principles that have their origin in the Declaration of Helsinki. Studies should also be conducted in accordance with all applicable European Medicines Agency (“EMA”), European Commission and national guidelines and investigational medicinal products used in clinical trials must be manufactured in accordance with Good Manufacturing Practices and in a GMP licensed facility, which can be subject to GMP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 in the EU</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a related marketing authorization (“MA”) has been granted. A company may submit a marketing authorization application (“MAA”), either on the basis of the centralized, or decentralized procedure or mutual recognition procedure.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5" w:name="page16"/>
    <w:bookmarkEnd w:id="15"/>
    <w:p>
      <w:pPr>
        <w:ind w:right="20"/>
        <w:spacing w:after="0" w:line="261" w:lineRule="auto"/>
        <w:rPr>
          <w:sz w:val="20"/>
          <w:szCs w:val="20"/>
          <w:color w:val="auto"/>
        </w:rPr>
      </w:pPr>
      <w:r>
        <w:rPr>
          <w:rFonts w:ascii="Times New Roman" w:cs="Times New Roman" w:eastAsia="Times New Roman" w:hAnsi="Times New Roman"/>
          <w:sz w:val="18"/>
          <w:szCs w:val="18"/>
          <w:color w:val="auto"/>
        </w:rPr>
        <w:t>To obtain a MA for a product in the EEA (which is comprised of the 27 Member States of the European Union plus Norway, Iceland and Liechtenstein), an applicant must submit an MAA either under a centralized procedure administered by the EMA or one of the procedures administered by competent authorities in the EU Member States (decentralized procedure, national procedure or mutual recognition procedure). An MA may be granted only to an applicant established in the EU.</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by the European Commission that is valid for all EU Member States. Pursuant to Regulation (EC) No 726/2004, the centralized procedure is compulsory for specific products, including for (i) medicinal products derived from biotechnological processes, (ii)products designated as orphan medicinal products, (iii) advanced therapy medicinal products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Under the centralized procedure, the EMA’s Committee for Medicinal Products for Human Use (“CHMP”) conducts the initial assessment of a product. The CHMP is also responsible for several post-authorization and maintenance activities, such as the assessment of modifications or extensions to an existing MA.</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centralized procedure in the EU, the maximum timeframe for the evaluation of an MAA is 210 days, excluding clock stops when additional information or written or oral explanation is to be provided by the applicant in response to questions of the CHMP. 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Decentralized Procedures – Human (“CMDh”) for review. The subsequent decision of the European Commission is binding on all EU Member States.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eCTD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300"/>
        <w:spacing w:after="0" w:line="266" w:lineRule="auto"/>
        <w:rPr>
          <w:sz w:val="20"/>
          <w:szCs w:val="20"/>
          <w:color w:val="auto"/>
        </w:rPr>
      </w:pPr>
      <w:r>
        <w:rPr>
          <w:rFonts w:ascii="Times New Roman" w:cs="Times New Roman" w:eastAsia="Times New Roman" w:hAnsi="Times New Roman"/>
          <w:sz w:val="18"/>
          <w:szCs w:val="18"/>
          <w:color w:val="auto"/>
        </w:rPr>
        <w:t>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EU,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EU, Regulation (EC) No 1901/2006 provides that all marketing authorization applications for new medicinal products must include the results of trials conducted in the pediatric population, in compliance with a pediatric investigation plan (“PIP”), agreed with the EMA’s Pediatric Committee (“PDCO”). The PIP sets out the timing and measures proposed to generate data to 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six-month extension to the Supplementary Protection Certificate (“SPC”), if any is in effect at the time of authorization or, in the case of orphan medicinal products, a two-year extension of orphan market exclusivity.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Regulation in the EU</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Various requirements apply to the manufacturing and placing on the EU market of medicinal products. The manufacturing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including EU cGMP standards. Similarly, the distribution of medicinal products within the EU is subject to compliance with the applicable EU laws, regulations and guidelines, including the requirement to hold appropriate authorizations for distribution granted by the competent authorities of EU Member States. Marketing authorization holders and/or manufacturing and import authorization, or MA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 in the EU</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right="180"/>
        <w:spacing w:after="0" w:line="256" w:lineRule="auto"/>
        <w:rPr>
          <w:sz w:val="20"/>
          <w:szCs w:val="20"/>
          <w:color w:val="auto"/>
        </w:rPr>
      </w:pPr>
      <w:r>
        <w:rPr>
          <w:rFonts w:ascii="Times New Roman" w:cs="Times New Roman" w:eastAsia="Times New Roman" w:hAnsi="Times New Roman"/>
          <w:sz w:val="18"/>
          <w:szCs w:val="18"/>
          <w:color w:val="auto"/>
        </w:rPr>
        <w:t>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of quantity of supplementary data to be provided for different types of biological product.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which may require approval by the competent national authorities in connection with an MA. The SmPC is the document that provides information to physicians concerning the safe and effective use of the product. Promotional activity that does not comply with the SmPC is considered off-label and is prohibited in the EU.</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Data Disclosure</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jurisdictions have mandatory clinical trial information obligations incumbent on sponsors. In the EU, transparency requirements relating to clinical trial information are established in the CTR. The CTR establishes a general principle according to which information contained in CTIS shall be made publicly accessible unless confidentiality is justified on grounds of protecting personal data, or commercially confidential information, necessary to protect confidential communications between EU Member States in relation to the preparation of an assessment report, or necessary to ensure effective supervision of the conduct of a clinical trial by EU Member States. This confidentiality exception may be overruled if there is an overriding public interest in disclosure. The publication of data and documents in relation to the conduct of a clinical trial will take place in accordance with specific timelines. The timelines are established by the EMA and are determined based on the documents and the categorization of the clinical trial.</w:t>
      </w:r>
    </w:p>
    <w:p>
      <w:pPr>
        <w:spacing w:after="0" w:line="18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addition, Regulation No. 1049/2001 on access to documents, or the ATD Regulation, and the related EMA policy 0043 on access to documents, provide for a wide right for EU-based interested parties to submit an access to documents request to the EMA to access certain information held by the EMA. Only very limited information is exempted from disclosure (i.e., commercially confidential information, which is construed increasingly narrowly and protected personal data). It is possible for competitors to access and use this data in their own research and development programs anywhere in the world, once these data are in the public domain.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U.S. FDA Approval Process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packaging, storage, recordkeeping, approval, labeling, advertising, promotion and marketing, distribution, post-approval monitoring and reporting, sampling, and import and export of pharmaceutical products. MIN-301, a peptide, may be regulated as a biologic and additionally subject to the Public Health Service Act. Failure to comply with applicable U.S. requirements may subject a company to a variety of administrative or judicial sanctions, such as FDA refusal to allow pending Investigational New Drug Applications (“INDs”), and approve NDAs, withdrawal of a marketing approval, imposition of clinical holds or termination of clinical trials, or issuance of Warning or Untitled Letters, product recalls, product seizures, refusal to allow imports or exports total or partial suspension of production or distribution, debarment, injunctions, fines, refusal of government contracts, exclusion from participation in federal and state healthcare programs, restitution, disgorgement, civil penalties and criminal prosecution, including criminal fines and imprisonment.</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FDA approval is required before any new unapproved drug or dosage form, including a new use of a previously approved drug, can be marketed in the United States. Pharmaceutical product development in the United States typically involves, among other things,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significant financial investment, and the actual time and cost required may vary substantially based upon the type, complexity and novelty of the product or disease indicated for treatment.</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pharmacology, stability,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any available clinical data or literature, and a proposed clinical trial protocol, among other items. Certain pre-clinical tests, such as animal tests of reproductive toxicity and carcinogenicity, may be conducted after the IND is submitted. A 30-day waiting period after the submission of each IND is required prior to the commencement of clinical testing in humans. If the FDA has not placed a clinical hold on the IND within this 30-day period, the clinical trial proposed in the IND may begin. Should FDA place a clinical hold on the IND, the IND sponsor and the FDA must resolve any outstanding concerns before the clinical trial may begin.</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a qualified investigator. Clinical trials must be conducted in compliance with federal regulations, good clinical practices (“GCP”), which include the ethical principles that all research subjects provide their informed consent in writing for their participation in any clinical trial, and that all trials be approved and monitored on an ongoing basis by an institutional review board (“IRB”). Clinical trials must also be conducted under protocols detailing the objectives of the trial, trial procedures, the parameters to be used in monitoring safety and the effectiveness criteria to be evaluated, and a statistical analysis plan. Each protocol involving testing in U.S. subjects and subsequent protocol amendments must be submitted to the FDA as part of the IND. The study protocol and informed consent information for subjects in clinical trials, along with all amendments, must also be submitted to an IRB for approval.</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In Phase 1, the initial introduction of the drug into healthy human subjects or subjects with the target disease or condition, the drug is tested to assess safety, metabolism, pharmacokinetics, pharmacological actions, side effects associated with increasing doses and, if possible, early evidence of effectiveness. Phase 2 usually involves trials in a limited subject population with the target disease or condition to evaluate the effectiveness of the drug for a particular indication or indications, dosage tolerance and optimum dosage, and identify possible adverse effects and safety risks. If a compound demonstrates evidence of effectiveness and an acceptable safety profile in Phase 2 evaluations, generally two adequate and well-controlled Phase 3 trials are undertaken to obtain additional information about clinical efficacy and safety in a larger number of subjects, typically at geographically dispersed clinical trial sites, to establish the overall benefit-risk relationship of the drug and to provide adequate information for the labeling of the drug. In some cases, the FDA may condition approval on the sponsor’s agreement to conduct additional clinical trials to further assess the drug’s safety and effectiveness after approval. Such post-approval trials are typically referred to as Phase 4 trials. Progress reports detailing the results of the clinical trials must be submitted at least annually to the FDA and more frequently if serious adverse events occur. Information about certain clinical trials, including a description of the study and study results must also be submitted within specific timeframes to the National Institutes of Health (“NIH”), for public dissemination on their clinicaltrials.gov website.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ind w:right="140"/>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the Current Good Manufacturing Practices (“cGMPs”). Investigational drugs and active pharmaceutical ingredients imported into the United States are also subject to regulation by FDA relating to their labeling and distribution. Further, the export of investigational drug products outside of the United States is subject to regulatory requirements of the receiving country as well as United States export requirements.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FDA may impose a clinical hold on a clinical trial, or impose other sanctions, at any time on various grounds, including a finding that the research subjects are being exposed to an unacceptable health risk or if it believes that the clinical trials are not being conducted in accordance with FDA requirements. Similarly, an IRB can suspend or terminate approval of a clinical trial at its institution if the clinical trial is not being conducted in accordance with the IRB’s requirements or if the drug has been associated with unexpected serious harm to subjects, or may impose other conditions on the conduct of the research.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Sponsors may also suspend or terminate a clinical trial based on safety concerns, a lack of evidence of drug efficacy, evolving business objectives and/or competitive climate.</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and proposed labeling, among other things. Under federal law, the submission of most marketing applications is subject to a substantial application user fee, and the sponsor of an approved application is also subject to annual program fees.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under the Pediatric Research Equity Act (“PREA”), a marketing application or supplement to a marketing application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(“REMS”), either during the application process or after the approval of the drug to mitigate any identified or suspected serious risks, and to identify any new risks that were not apparent in clinical investigations. The REMS plan could include medication guides, physician communication plans, assessment plans, and elements to assure safe use, such as restricted distribution methods, patient registries or other risk minimization tools.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the FDA has agreed to certain performance goals in the review of NDAs. The FDA has a goal of reviewing ninety percent of applications for non-priority drug products within 10 months of the FDA’s acceptance of the full application for filing. The review process may be extended by the FDA under certain circumstances.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FDCA and FDA guidance, before approving a drug for which no active ingredient (including any ester or salt of the active ingredients) has previously been approved by the FDA or a first-of-a-kind, first-in-class biologic, FDA must either refer that drug to an external advisory committee or provide in an action letter, a summary of the reasons why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60"/>
        <w:spacing w:after="0" w:line="254" w:lineRule="auto"/>
        <w:rPr>
          <w:sz w:val="20"/>
          <w:szCs w:val="20"/>
          <w:color w:val="auto"/>
        </w:rPr>
      </w:pPr>
      <w:r>
        <w:rPr>
          <w:rFonts w:ascii="Times New Roman" w:cs="Times New Roman" w:eastAsia="Times New Roman" w:hAnsi="Times New Roman"/>
          <w:sz w:val="18"/>
          <w:szCs w:val="18"/>
          <w:color w:val="auto"/>
        </w:rPr>
        <w:t>Additionally, the FDA will inspect the facility or the facilities at which the drug is manufactured. The FDA will not approve the product unless the facility, and all of its subcontractors and contract manufacturers, demonstrate compliance with cGMPs, and provide adequate assurance that they can consistently produce the product within required specifications, and the NDA contains data that provides substantial evidence that the drug is safe and effective for the indication sought in the proposed labeling. Additionally, the FDA will typically inspect one or more clinical trial sites to assure compliance with GCPs before approving a marketing application. After the FDA evaluates the marketing application and the manufacturing facilities, it may issue an approval letter, or a complete response letter. A complete response letter generally outlines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those deficiencies have been addressed to the FDA’s satisfaction in a resubmission of the NDA, the FDA may issue an approval letter.</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with specific prescribing information for specific indications. As a condition of NDA approval, the FDA may require substantial post-approval testing and surveillance to monitor the drug’s safety or efficacy and may impose other conditions, including labeling restrictions, limitations on the approved indications, contraindications, warnings or precautions, such as boxed warnings, distribution restrictions or other risk-management mechanisms under a REMS which can materially affect the potential market and profitability of the drug. The FDA may prevent or limit further marketing of a product based on the results of post-marketing trials or surveillance programs. Further, if there are any modifications to the drug, including changes in indications, labeling, manufacturing processes or facilities, or new safety issues arise, a new or supplemental NDA or a post-implementation notification or other report may be required or requested depending on the change, which may require additional data or additional pre-clinical studies and clinical trials. Once granted, product approvals may be withdrawn if compliance with regulatory standards is not maintained or problems are identified following initial marketing.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approvals from the FDA or comparable foreign regulatory authorities are subject to pervasive and continuing regulation by the FDA, or comparable foreign regulatory authorities including, among other things, requirements relating to recordkeeping, periodic reporting, product sampling and distribution, advertising and promotion, and reporting of adverse experiences with the product and drug shortages. After approval, most changes to the approved product, such as adding new indications, manufacturing changes or other labeling claims, are subject to further testing requirements and prior review and approval by the FDA or comparable foreign regulatory authorities.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subject to periodic announced and unannounced inspections by the FDA, state agencies, as well as comparable foreign regulatory authorities for compliance with cGMP and other regulatory requirements. Changes to the manufacturing process are strictly regulated and may require prior approval from or notification to the FDA or comparable foreign regulatory authorities before being implemented. FDA and comparable foreign regulatory authorities also require investigation and correction of any deviations from cGMP and impose reporting and documentation requirements upon the sponsor and any third-party manufacturers that the sponsor may decide to use.</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FDA and comparable foreign regulatory authorities strictly regulate marketing, labeling, advertising and promotion of products that are placed on the market. Although physicians, in the practice of medicine, may prescribe approved drugs for unapproved indications if in their professional medical judgment they believe it to be appropriate, pharmaceutical companies may only market and promote their drug products for the FDA approved indications and in accordance with the provisions of the approved label. The FDA and other regulatory authorities actively enforce the laws prohibiting the marketing and promotion of off-label uses, and a company that is found to have improperly marketed or promoted off-label uses may be subject to significant liability, including, among others, criminal and civil penalties under the FDCA and False Claims Act, exclusion from participation in federal healthcare programs, and mandatory compliance programs. Equivalent limitations and penalties are provided in the EU both at the EU and at national level in individual EU Member States.</w:t>
      </w:r>
    </w:p>
    <w:p>
      <w:pPr>
        <w:spacing w:after="0" w:line="1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Moreover, the Drug Quality and Security Act imposes obligations on manufacturers of pharmaceutical products, among others, related to product and tracking and tracing.</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line="253" w:lineRule="auto"/>
        <w:rPr>
          <w:sz w:val="20"/>
          <w:szCs w:val="20"/>
          <w:color w:val="auto"/>
        </w:rPr>
      </w:pPr>
      <w:r>
        <w:rPr>
          <w:rFonts w:ascii="Times New Roman" w:cs="Times New Roman" w:eastAsia="Times New Roman" w:hAnsi="Times New Roman"/>
          <w:sz w:val="18"/>
          <w:szCs w:val="18"/>
          <w:color w:val="auto"/>
        </w:rPr>
        <w:t>All new MAAs in the European Union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 RMPs and PSURs can be made available to third parties requesting access, subject to limited redactions and related conditions. 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EU Member State and can differ from one country to another. All advertising and promotional activities for the product must be consistent with the approved summary of product characteristics in connection with an MA. The SmPC is the document that provides information to physicians concerning the safe and effective use of the product. Promotional activity that does not comply with the SmPC is considered off-label and is prohibited in the EU. Direct-to-consumer advertising of prescription only medicines is also prohibited in the European Union.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United Kingdom’s, or UK, withdrawal from the EU on January 31, 2020, commonly referred to as Brexit, has changed the regulatory relationship between the UK and the EU. The Medicines and Healthcare products Regulatory Agency, or MHRA, is now the UK’s standalone regulator for medicinal products and medical devices. The United Kingdom is no longer subject to EU regulations ((Northern Ireland continues to follow certain limited EU regulatory rules, including in relation to medical devices, but not in relation to medicinal products).</w:t>
      </w:r>
    </w:p>
    <w:p>
      <w:pPr>
        <w:spacing w:after="0" w:line="18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governed by the Medicines for Human Use (Clinical Trials) Regulations 2004, as amended, which is derived from the CTD, as implemented into UK national law through secondary legislation. On January 17, 2022, the UK Medicines and Healthcare products Regulatory Agency, or MHRA, launched an eight-week consultation on reframing the UK legislation for clinical trials. The UK Government published its response to the consultation on March 21, 2023 confirming that it would bring forward changes to the legislation and such changes were laid in parliament on December 12, 2024. These resulting legislative amendments will, if implemented in their current form, bring the UK into closer alignment with the EU CTR. In October 2023, the MHRA announced a new Notification Scheme for clinical trials which enables a more streamlined and risk-proportionate approach to initial clinical trial applications for Phase 4 and low-risk Phase 3 clinical trial applications.</w:t>
      </w:r>
    </w:p>
    <w:p>
      <w:pPr>
        <w:spacing w:after="0" w:line="1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Marketing authorizations in the UK are governed by the Human Medicines Regulations (SI 2012/1916), as amended. Since January 1, 2021, an applicant for the EU centralized procedure marketing authorization can no longer be established in the UK. As a result, since this date, companies established in the UK cannot use the EU centralized procedure and instead must follow one of the UK national authorization procedures or one of the remaining post-Brexit international cooperation procedures to obtain a marketing authorization to market products in the UK. All existing EU marketing authorizations for centrally authorized products were automatically converted or grandfathered into UK marketing authorization, effective in Great Britain only, free of charge on January 1, 2021, unless the marketing authorization holder opted-out of this possibility. Northern Ireland remained within the scope of EU authorizations in relation to centrally authorized medicinal products until January 1, 2025. However, on January 1, 2025, a new arrangement as part of the so-called “Windsor Framework” came into effect and reintegrated Northern Ireland under the regulatory authority of the MHRA with respect to medicinal products. The Windsor Framework removes EU licensing processes and EU labelling and serialization requirements in relation to Northern Ireland and introduces a UK-wide licensing process for medicines.</w:t>
      </w:r>
    </w:p>
    <w:p>
      <w:pPr>
        <w:spacing w:after="0" w:line="19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MHRA has also introduced changes to national marketing authorization procedures. This includes introduction of procedures to prioritize access to new medicines that will benefit patients, including a 150-day assessment route, a rolling review procedure and the International Recognition Procedures which entered into application on January 1, 2024. Since January 1, 2024, the MHRA may rely on the International Recognition Procedure, or IRP, when reviewing certain types of marketing authorization applications. This procedure is available for applicants for marketing authorization who have already received an authorization for the same product from a reference regulator. These include the FDA, the EMA, and national competent authorities of individual EEA countries. A positive opinion from the EMA and CHMP, or a positive end of procedure outcome from the mutual recognition or decentralized procedures are considered to be authorizations for the purposes of the IRP.</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There is no pre-marketing authorization orphan designation for medicinal products in the UK. Instead, the MHRA reviews applications for orphan designation in parallel to the corresponding marketing authorization application. The criteria are essentially the same as those in the EU, but have been tailored for the market. This includes the criterion that prevalence of the condition in the United Kingdom, rather than the EU, must not be more than five in 10,000. Upon the grant of a marketing authorization with orphan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ind w:right="260"/>
        <w:spacing w:after="0" w:line="282" w:lineRule="auto"/>
        <w:rPr>
          <w:sz w:val="20"/>
          <w:szCs w:val="20"/>
          <w:color w:val="auto"/>
        </w:rPr>
      </w:pPr>
      <w:r>
        <w:rPr>
          <w:rFonts w:ascii="Times New Roman" w:cs="Times New Roman" w:eastAsia="Times New Roman" w:hAnsi="Times New Roman"/>
          <w:sz w:val="18"/>
          <w:szCs w:val="18"/>
          <w:color w:val="auto"/>
        </w:rPr>
        <w:t>status, the medicinal product will benefit from up to 10 years of market exclusivity from similar products in the approved orphan indication. The start of this market exclusivity period will be set from the date of first approval of the product in the United Kingdom.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Fraud and Abuse, Data Privacy and Security and Transparency Laws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and promotion of pharmaceutical products, other federal and state healthcare laws restrict business practices in the biopharmaceutical industry. These laws include, without limitation, state and federal anti-kickback and false claims laws, data privacy and security laws, as well as transparency laws regarding payments or other items of value provided to healthcare providers.</w:t>
      </w:r>
    </w:p>
    <w:p>
      <w:pPr>
        <w:spacing w:after="0" w:line="1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 There are a number of statutory exceptions and regulatory safe harbors protecting some common activities from prosecution, but the exceptions and safe harbors are drawn narrowly and require strict compliance in order to offer protection. Additionally, the intent standard under the federal Anti-Kickback Statute was amended by the Patient Protection and Affordable Care Act, as amended by the Health Care and Education Reconciliation Act of 2010 (collectively, “ACA”), to a stricter standard such that a person or entity does not need to have actual knowledge of the statute or specific intent to violate it in order to have committed a violation. Further, the ACA codified case law that a claim including items or services resulting from a violation of the federal Anti-Kickback Statute constitutes a false or fraudulent claim for purposes of the civil False Claims Act.</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federal false claims laws, including the civil False Claims Act, which can be enforced through civil whistleblower or qui tam actions, impose civil and criminal penalties on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 Further, 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addition, the federal Health Insurance Portability and Accountability Act of 1996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Moreover, HIPAA, as amended by the Health Information Technology for Economic and Clinical Health Act of 2009 (“HITECH”), and their respective implementing regulations, impose requirements on certain covered healthcare providers, health plans and healthcare clearinghouses as well as their respective business associates and covered subcontractors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Centers for Medicare and Medicaid Services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Most states and foreign countries also have statutes or regulations similar to the fraud and abuse laws described above, including certain state laws which apply to items and services reimbursed under Medicaid and other state programs, or, in several states, apply regardless of the payor. We may also be subject to state laws governing the privacy and security of health information in certain circumstances, many of which differ from each other in significant ways and often are not preempted by the HIPAA, thus complicating compliance efforts. In addition, we may be subject to reporting requirements under state transparency laws, as well as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200"/>
        <w:spacing w:after="0" w:line="282" w:lineRule="auto"/>
        <w:rPr>
          <w:sz w:val="20"/>
          <w:szCs w:val="20"/>
          <w:color w:val="auto"/>
        </w:rPr>
      </w:pPr>
      <w:r>
        <w:rPr>
          <w:rFonts w:ascii="Times New Roman" w:cs="Times New Roman" w:eastAsia="Times New Roman" w:hAnsi="Times New Roman"/>
          <w:sz w:val="18"/>
          <w:szCs w:val="18"/>
          <w:color w:val="auto"/>
        </w:rPr>
        <w:t>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health regulatory laws described above or any other laws that apply to us, we may be subject to penalties, including potentially significant criminal and civil and/or administrative penalties, damages, fines, disgorgement, individual imprisonment, exclusion from participation in government healthcare programs, contractual damages, reputational harm, administrative burdens,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products are sold in a foreign country, we may be subject to similar foreign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 candidates and our ability to commercialize any approved product candidates successfully will depend in part on the extent to which governmental authorities, private health insurers and other third-party payors provide coverage for and establish adequate reimbursement levels for our product candidates, once approved.</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Government health administration authorities, private health insurers and other third-party payors generally decide which drugs they will pay for and establish reimbursement levels for healthcare. In particular, in the United States, private health insurers and other third-party payors often provide reimbursement for products and services based on the level at which the government (through the Medicare or Medicaid programs) provides reimbursement for such treatments. Sales of our product candidates will therefore depend substantially, both domestically and abroad, on the extent to which the costs of our product candidates will be covered by third-party payors. The market for our product candidates will depend significantly on access to third-party payors’ formularies without prior authorization, step therapy, or other limitations such as approved lists of treatments for which third-party payors provide coverage and reimbursement. Also, third-party payors are developing increasingly sophisticated methods of controlling healthcare costs. Coverage and reimbursement for therapeutic products can differ significantly from payor to payor. A third-party payors’ decision to provide coverage for a medical product or service does not imply that an adequate reimbursement rate will be approved.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with no assurance that adequate coverage and reimbursement will be obtained.</w:t>
      </w:r>
    </w:p>
    <w:p>
      <w:pPr>
        <w:spacing w:after="0" w:line="1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United States, the European Union and other potentially significant markets for our product candidates, government authorities and other third-party payors are developing increasingly sophisticated methods of controlling healthcare costs and are increasingly imposing additional requirements and restrictions on coverage.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the increased emphasis on managed healthcare in the United States and on country and national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organizations, competition within therapeutic classes, availability of generic equivalents or biosimilars, judicial decisions and governmental laws related to Medicare, Medicaid and healthcare reform, pharmaceutical coverage and reimbursement policies and pricing in general. The cost containment measures that healthcare payors and providers are instituting and the effect of any healthcare reform implemented in the future could significantly reduce our revenues from the sale of any approved product candidates. We cannot provide any assurances that we will be able to obtain and maintain governmental or private third-party coverage or adequate reimbursement for our product candidates in whole or in part.</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For example, on August 16, 2022, the Inflation Reduction Act of 2022 (“IRA”) was signed into law which, among other things, (1) directs the U.S. Department of Health and Human Services (“HHS”) to negotiate the price of certain single-source drugs covered under Medicare that have been on the market for at least 7 years and (2) imposes rebates under Medicare Part B and Medicare Part D to penalize price increases that outpace inflation. These provisions began to take effect progressively starting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200"/>
        <w:spacing w:after="0" w:line="282" w:lineRule="auto"/>
        <w:rPr>
          <w:sz w:val="20"/>
          <w:szCs w:val="20"/>
          <w:color w:val="auto"/>
        </w:rPr>
      </w:pPr>
      <w:r>
        <w:rPr>
          <w:rFonts w:ascii="Times New Roman" w:cs="Times New Roman" w:eastAsia="Times New Roman" w:hAnsi="Times New Roman"/>
          <w:sz w:val="18"/>
          <w:szCs w:val="18"/>
          <w:color w:val="auto"/>
        </w:rPr>
        <w:t>subject to the Medicare drug price negotiation program. It is currently unclear how the IRA will be implemented but is likely to have a significant impact on the pharmaceutical industry.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spacing w:after="0" w:line="1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Other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some EEA countries may require the completion of additional studies that compare the cost-effectiveness of a particular medicinal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enacting or have enacted a number of additional legislative and regulatory proposals designed to change the healthcare system in ways that could affect our ability to sell our products profitably.</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the United States, the pharmaceutical industry has been a particular focus of these efforts and has been significantly affected by major legislative initiatives, including the ACA, which substantially changed healthcare financing and delivery by both governmental and private insurers, and significantly impacted the pharmaceutical industry. The ACA contains provisions that may potentially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There have been executive, judicial and congressional challenges and amendments to the ACA, as well as to repeal or replace certain aspects of the ACA.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unclear how any such challenges and additional healthcare reform measures of the second Trump administration will impact the ACA and our business.</w:t>
      </w:r>
    </w:p>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Individual EU Member States will continue to be responsible for assessing non-clinical (e.g., economic, social, ethical) aspects of health technologies, and making decisions on pricing and reimbursement.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The Foreign Corrupt Practices Act</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2024, we had 8 full-time employees. In addition, we are or have engaged with a number of consultants and companies, including Pharma Partnering in Research &amp; Strategy SAS (“PPRS”), that provide expertise in the key functions involved with the development of our products. None of our employees is subject to a collective bargaining agreement and we consider our relationship with our employees to be good.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 and Development</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the skills and experience of our employees are an essential driver of our business and important to our future prospects. We face intense competition for qualified individuals from numerous pharmaceutical and biotechnology companies, universities, governmental entities and other research institutions, and we believe that our future success will depend in part on our continued ability to attract and retain highly skilled employees. To attract qualified applicants and retain our employees, we offer our employees what we believe to be competitive salaries, comprehensive benefit packages, equity compensation awards, and discretionary bonuses based on a combination of seniority, individual performance and corporate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file reports with the Securities and Exchange Commission (“SEC”), including annual reports on Form 10-K, quarterly reports on Form 10-Q, current reports on Form 8-K, and any other filings required by the SEC. We make available on our website (www.minervaneurosciences.com) our annual report on Form 10-K, quarterly reports on Form 10-Q, current reports on Form 8-K, and all amendments to those reports as soon as reasonably practicable after such material is electronically filed with or furnished to the SEC. These materials are available free of charge on or through our website via the Investor Relations page at www.minervaneurosciences.com. References to our website address in this report are intended to be inactive textual references only, and none of the information contained on our website is part of this report or incorporated in this report by reference.</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risks associated with regulatory filings, risks associated with determinations made by regulatory authorities,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from product sales to date, and we may never generate product revenue or achieve profitability. Our net income was $1.4 million and our net loss was $30.0 million for the fiscal years ended December 31, 2024 and 2023, respectively. As of December 31, 2024, we had an accumulated deficit of approximately $395.4 million.</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The FDA subsequently notified us that they would not accept the file for review, issuing a refusal to file letter (“RTF”) in October 2022. In December 2022, following a Type A meeting held on November 30, 2022, the FDA confirmed the RTF remained in effect with respect to our NDA for roluperidone. On May 1, 2023, we announced that the FDA filed our NDA for roluperidone on April 27, 2023. The decision to file the NDA followed our request for formal dispute resolution and appeal of the October 2022 RTF. On May 8, 2023, we received confirmation from the FDA that the NDA for roluperidone has been assigned a standard review classification, and that the FDA has assigned a Prescription Drug User Fee Act (“PDUFA”) goal date of February 26, 2024. The FDA advised that it identified potential review issues that had been previously cited in the RTF decision letter, which included those discussed at the Type C meeting in March 2022.</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26, 2024, the FDA issued a Complete Response Letter (the “CRL”) to our NDA for roluperidone for the treatment of negative symptoms in schizophrenia. The CRL provided that the FDA had completed its review of the NDA and had determined that it could not approve the NDA in its present form. Specifically, the FDA cited the following clinical deficiencies: (i) although one study (MIN-101C03) demonstrated statistical significance on the primary efficacy endpoint, it is insufficient on its own to establish substantial evidence of effectiveness; (ii) the NDA submission lacks data on concomitant antipsychotic administration; (iii) the NDA submission lacks data needed to establish that the change in negative symptoms of schizophrenia with roluperidone treatment was clinically meaningful; and (iv) the submitted safety database included an inadequate number of subjects exposed to roluperidone at the proposed dose (64 mg) for at least 12 months. 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that observed effect on negative symptoms with roluperidone treatment corresponds to a clinically meaningful change, and to demonstrate the long-term safety of the proposed dose. See the section titled “Item 1. Business—Our Clinical-Stage Programs—Clinical and Regulatory Updates—Complete Response Letter” for more information. While we have continued to have interactions with the FDA since receiving the CRL, with the goal of addressing questions raised in the CRL, there can be no assurances that we will obtain approval for roluperidone in a timely manner, on favorable terms, or at all. As a result, the regulatory approval process for roluperidone in the United States is highly uncertain. If we do not obtain approval of roluperidone in the United States, or if the approval is delayed, it would have a material adverse impact on our business. Even if we are able to obtain approval, the expense and time to do so could adversely impact our ability to successfully commercialize roluperidone or conduct our other business operations and our financial condition could be materially harmed.</w:t>
      </w:r>
    </w:p>
    <w:p>
      <w:pPr>
        <w:spacing w:after="0" w:line="19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7" w:name="page28"/>
    <w:bookmarkEnd w:id="27"/>
    <w:p>
      <w:pPr>
        <w:ind w:right="20"/>
        <w:spacing w:after="0" w:line="261" w:lineRule="auto"/>
        <w:rPr>
          <w:sz w:val="20"/>
          <w:szCs w:val="20"/>
          <w:color w:val="auto"/>
        </w:rPr>
      </w:pPr>
      <w:r>
        <w:rPr>
          <w:rFonts w:ascii="Times New Roman" w:cs="Times New Roman" w:eastAsia="Times New Roman" w:hAnsi="Times New Roman"/>
          <w:sz w:val="18"/>
          <w:szCs w:val="18"/>
          <w:color w:val="auto"/>
        </w:rPr>
        <w:t>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5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December 31, 2024, we had cash, cash equivalents, and restricted cash of $21.5 million. We believe that our existing cash, cash equivalents, and restricted cash will be sufficient to meet our cash commitments for at least the next 12 months after the date that the year-end condensed financial statements are issued. The process of drug development can be costly, and the timing and outcomes of clinical trials are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require additional capital in the short-term to continue advancing the development and regulatory approval process of roluperidone. We will also require additional capital in the long-term to advance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on the requisite timing or on reasonable terms, if at all, and our ability to raise additional capital may be adversely impacted by global economic conditions, geopolitical conflicts, such as the war in Ukraine and hostilities in the Middle East, and other factors. Our future funding requirements, both short and long-term, will depend on many factors, including:</w:t>
      </w:r>
    </w:p>
    <w:p>
      <w:pPr>
        <w:spacing w:after="0" w:line="81" w:lineRule="exact"/>
        <w:rPr>
          <w:sz w:val="20"/>
          <w:szCs w:val="20"/>
          <w:color w:val="auto"/>
        </w:rPr>
      </w:pPr>
    </w:p>
    <w:p>
      <w:pPr>
        <w:ind w:left="1020" w:right="5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terms acceptable to us, we may have to delay, limit or terminate the development or commercialization of one or more of our product candidates or other operations, including exploring strategic alternatives and partnership opportunities and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equity securities will cause dilution to existing stockholders. Raising additional funds through debt financings may involve restrictive covenants and raising funds through lending and licensing arrangements may restrict our operations or require us to relinquish proprietary rights.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Until such time, if ever, that we can generate substantial product revenue, we expect to finance our cash needs through a combination of equity offerings, debt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20"/>
        <w:spacing w:after="0" w:line="253" w:lineRule="auto"/>
        <w:rPr>
          <w:sz w:val="20"/>
          <w:szCs w:val="20"/>
          <w:color w:val="auto"/>
        </w:rPr>
      </w:pPr>
      <w:r>
        <w:rPr>
          <w:rFonts w:ascii="Times New Roman" w:cs="Times New Roman" w:eastAsia="Times New Roman" w:hAnsi="Times New Roman"/>
          <w:sz w:val="18"/>
          <w:szCs w:val="18"/>
          <w:color w:val="auto"/>
        </w:rPr>
        <w:t>financings, strategic alliances and license and development agreements or other collaborations. We cannot guarantee that future financing will be available in sufficient amounts or on terms acceptable to us, if at all. If we raise additional equity financing, our stockholders may experience significant dilution of their ownership interests, the terms of these securities may include liquidation or other preferences that could adversely affect the rights of a common stockholder, and the per-share value of our common stock could decline. If we engage in debt financing, we may be required to accept terms that restrict or limit our ability to take specific actions, such as incurring additional indebtedness, making capital expenditures or declaring dividends, and other restrictive covenants that could adversely impact our ability to conduct our business. If we raise additional funds through collaborations, strategic alliances or marketing, distribution or licensing arrangements with third parties, we may have to relinquish valuable rights to our future revenue streams, research programs or any future product candidate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estimates regarding fair value of intangible assets may result in an adverse impact on our results of operations.</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test goodwill and in-process research and development for impairment annually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any significant change in market conditions, estimates or judgments used to determine expected future cash flows that indicate a reduction in carrying value may give rise to impairment in the period that the change becomes known.</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of our limited resources and development deferral combined with the overall market conditions, we recognized a non-cash charge of $15.2 million as of December 31, 2021 related to the impairment of the intangible asset for MIN-301. We had previously recognized in-process research and development for MIN-301 in conjunction with the acquisition of MIN-301 during 2014. No updates were made in respect of the development of MIN-301 during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(“NOL”) carryforwards may be limited.</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use our federal and state NOL carryforwards to offset potential future taxable income is dependent upon our generation of future taxable income before the expiration dates of the NOL carryforwards, and we cannot predict with certainty when, or whether, we will generate sufficient taxable income to use all of our NOL carryforwards. Under current law, federal NOL carryforwards generated in taxable years beginning after December 31, 2017, may be carried forward indefinitely, but the deductibility of such NOL carryforwards is limited to 80% of taxable income. Many states have similar laws. As of December 31, 2024, we had approximately $156.8 million of federal net operating losses that will begin to expire in 2036, if not utilized. Of the total federal net operating loss, approximately $135.4 million has an unlimited carryforward and therefore will not expire. As of December 31, 2024, we had approximately $7.7 million of New Jersey and approximately $148.1 million of Massachusetts operating losses that will begin to expire in 2029 and 2037, respectively, if not utilized. Accordingly, certain of our federal and state NOL carryforwards could expire unused and be unavailable to offset future income tax liabilities.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(the “Code”), federal NOL carryforwards may become subject to an annual limitation in the event of certain cumulative changes in our ownership.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We may be subject to an annual limitations on the amount of NOL carryforwards that can be utilized in each year. It is also possible that some or all of our NOL carryforwards could be limited by the provisions of Section 382 of the Code as a result of future changes in ownership, including as a result of subsequent sales of securities by us or our stockholders. Further,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or tax rulings could materially affect our financial position, results of operations, and cash flows.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taxes, are unsettled and may be subject to significant change. Changes in tax laws, regulations, or rulings, or changes in interpretations of existing laws and regulations, could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line="252" w:lineRule="auto"/>
        <w:rPr>
          <w:sz w:val="20"/>
          <w:szCs w:val="20"/>
          <w:color w:val="auto"/>
        </w:rPr>
      </w:pPr>
      <w:r>
        <w:rPr>
          <w:rFonts w:ascii="Times New Roman" w:cs="Times New Roman" w:eastAsia="Times New Roman" w:hAnsi="Times New Roman"/>
          <w:sz w:val="18"/>
          <w:szCs w:val="18"/>
          <w:color w:val="auto"/>
        </w:rPr>
        <w:t>materially affect our financial position and results of operations. For example, the Tax Cuts and Jobs Act Tax Act enacted in 2017 (the “Tax Act”) made broad and complex changes to the U.S. tax code, including changes to U.S. federal tax rates, additional limitations on the deductibility of interest, both positive and negative changes to the utilization of future NOL carryforwards, allowing for the expensing of certain capital expenditures, and putting into effect the migration from a “worldwide” system of taxation to a territorial system. Moreover, the IRA provides for a minimum tax equal to 15% of the adjusted financial statement income of certain large corporations, as well as a 1% excise tax on certain share buybacks by public corporations that would be imposed on such corporations. The issuance of additional regulatory or accounting guidance related to the Tax Act or the IRA could materially affect our tax obligations and effective tax rate. In addition, our tax position could be adversely impacted by changes in tax laws applicable to corporate multinationals which have been proposed, and, in some cases, enacted by various countries, and by other international tax developments including the implementation of the base erosion and profit shifting project led by the Organization for Economic Cooperation and Development and certain tax initiatives proposed by the European Commission. These changes and developments include changes to the existing framework in respect of income taxes, as well as the imposition of new types of non-income taxes (such as taxes based on a percentage of revenue) which could apply to our business. These types of changes to the taxation of our activities could increase our worldwide effective tax rate, increase the amount of taxes imposed on our business and our compliance costs, and harm our financial position. Such changes may also apply retroactively to our historical operations and result in taxes greater than the amounts estimated and recorded in our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5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regulatory approval process is expensive and the time required to obtain approval from the European Commission (following the opinion of the Committee of Medicinal Products for Human Use of the European Medicines Agency (“EMA”)), FDA or other comparable regulatory authorities in other jurisdictions to sell any product is uncertain and may take years.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Whether regulatory approval will be granted is unpredictable and depends upon numerous factors, including the substantial discretion of the regulatory authorities. Moreover, the filing of an application for regulatory approval, including an NDA, or Biologics License Application (“BLA”), a Marketing Authorization Application (“MAA”) in the EEA, or comparable foreign regulatory applications for approval, requires a payment of a significant user fee upon submission. The filing of applications for regulatory approval of our product candidates may be delayed due to our lack of financial resources to pay such user fee.</w:t>
      </w:r>
    </w:p>
    <w:p>
      <w:pPr>
        <w:spacing w:after="0" w:line="18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If, following submission, our application is not accepted for substantive review or approved,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On October 14, 2022, we received a refusal-to-file communication from the FDA for our NDA submission for roluperidone, our lead product candidate, which decision was confirmed by the FDA in a subsequent Type A meeting. On April 27, 2023, the FDA filed our NDA for roluperidone following our request for formal dispute resolution and appeal of the refusal-to-file letter. On May 8, 2023, we received confirmation from the FDA that our NDA for roluperidone had been assigned a standard review classification and a PDUFA goal date of February 26, 2024. The FDA also advised that it identified potential review issues that had been previously cited in the RTF decision letter, which included those discussed at the Type C meeting in March 2022. See the section titled “Item 1. Business— Our Clinical-Stage Programs— Clinical and Regulatory Updates—Type C Meeting” for more information. On February 26, 2024, the FDA issued a CRL to our NDA for roluperidone. See the section titled “Item 1. Business—Our Clinical-Stage Programs—Clinical and Regulatory Updates—Complete Response Letter” for more information. See also the risk factor above titled “</w:t>
      </w:r>
      <w:r>
        <w:rPr>
          <w:rFonts w:ascii="Times New Roman" w:cs="Times New Roman" w:eastAsia="Times New Roman" w:hAnsi="Times New Roman"/>
          <w:sz w:val="18"/>
          <w:szCs w:val="18"/>
          <w:i w:val="1"/>
          <w:iCs w:val="1"/>
          <w:color w:val="auto"/>
        </w:rPr>
        <w:t>We have incurred significant losses since our inception. We expect to continue to incur losses over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next several years and may never achieve or maintain profitability.</w:t>
      </w:r>
      <w:r>
        <w:rPr>
          <w:rFonts w:ascii="Times New Roman" w:cs="Times New Roman" w:eastAsia="Times New Roman" w:hAnsi="Times New Roman"/>
          <w:sz w:val="18"/>
          <w:szCs w:val="18"/>
          <w:color w:val="auto"/>
        </w:rPr>
        <w:t>” As a result of the CRL, we potentially need additional studies. Additional studies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would impose increased costs and delays in the regulatory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19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5540" w:right="1800" w:hanging="5023"/>
        <w:spacing w:after="0" w:line="532" w:lineRule="auto"/>
        <w:tabs>
          <w:tab w:leader="none" w:pos="10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disagree with the design or implementation of our clinical trials.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ind w:left="1020" w:right="5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EMA, the European Commission, the FDA or other comparable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right="21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EMA, the European Commission, FDA or other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any safety risks.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European Commission, the FDA or other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an NDA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competent authorities of EU Member States, FDA or other regulatory authorities may fail to approve the manufacturing processes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European Commission, FDA or other regulatory authorities may significantly change in a manner rendering our clinical data insufficient for approval.</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boxed warning, may grant approval contingent on the performance of costly post-marketing clinical trials or other post-market requirements, including risk evaluation and mitigation strategies (“REMS”) or comparable foreign strategies,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Interpretation of results from early, usually smaller, trials that suggest positive trends in some subjects require caution. Results from later stages of clinical trials enrolling more subjects may fail to show the desired safety and efficacy results or otherwise fail to be consistent with the results of earlier trials of the same product candidate. For example, our Phase 3 trial of roluperidone for the treatment of negative symptoms of schizophrenia failed to meet its primary endpoint despite our Phase 2b trial of the same design achieving statistical significance on the same endpoint. Inconsistencies such as this may occur for a variety of reasons, including differences in trial design, trial endpoints (or lack of trial endpoints in exploratory studies), subject population, number of subjects, subject selection criteria, trial duration, drug dosage and formulation or due to the lack of statistical power in the earlier trials. A number of companies in the pharmaceutical and biotechnology industries have suffered significant setbacks in advanced clinical trials due to lack of efficacy or unacceptable safety profiles, notwithstanding positive results in earlier trials.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clinical trials conducted at sites outside the United States may not be accepted by the FDA and the results of clinical trials conducted at sites in the United States may not be accepted by comparable foreign regulatory authorities.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conduct our future clinical trials outside the United States. Although the FDA may accept data from clinical trials conducted outside the United States, acceptance of this data would be subject to certain conditions imposed by the FDA. For example, the study population must adequately represent the applicable United States population, and the data must be applicable to the American population and medical practice in ways that the FDA deems clinically meaningful. In addition, while clinical trials conducted outside of the United States are subject to the applicable local laws, FDA acceptance of the data from such trials will be dependent upon its determination that the trials were conducted consistent with all applicable United States laws and regulations. There can be no assurance the FDA will accept data from trials conducted outside of the United States as adequate support of an application for regulatory approval, and it is not unusual for the FDA to require some Phase 3 clinical trial data to be generated in the United States. If the FDA does not accept the data from our international clinical trials, it would likely result in the need for additional trials in the United States, which would be costly and time-consuming and could delay or permanently halt the development of one or more of our product candidates. Similar requirements and consequences apply outside the United States in relation to acceptance by for foreign regulatory authorities of data from clinical trials conducted outside their territory.</w:t>
      </w:r>
    </w:p>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right="20"/>
        <w:spacing w:after="0" w:line="261" w:lineRule="auto"/>
        <w:rPr>
          <w:sz w:val="20"/>
          <w:szCs w:val="20"/>
          <w:color w:val="auto"/>
        </w:rPr>
      </w:pPr>
      <w:r>
        <w:rPr>
          <w:rFonts w:ascii="Times New Roman" w:cs="Times New Roman" w:eastAsia="Times New Roman" w:hAnsi="Times New Roman"/>
          <w:sz w:val="18"/>
          <w:szCs w:val="18"/>
          <w:color w:val="auto"/>
        </w:rPr>
        <w:t>We do not know whether our clinical trials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completion of clinical development can be delayed or halted for a number of reasons, including:</w:t>
      </w:r>
    </w:p>
    <w:p>
      <w:pPr>
        <w:spacing w:after="0" w:line="117" w:lineRule="exact"/>
        <w:rPr>
          <w:sz w:val="20"/>
          <w:szCs w:val="20"/>
          <w:color w:val="auto"/>
        </w:rPr>
      </w:pPr>
    </w:p>
    <w:p>
      <w:pPr>
        <w:ind w:left="1020" w:right="54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regulatory approval to commence a clinical trial or complying with conditions imposed by a regulatory authority regarding the scope or term of a clinical trial;</w:t>
      </w:r>
    </w:p>
    <w:p>
      <w:pPr>
        <w:ind w:left="102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clinical research organizations, or CROs, and trial sites, which can be subject to extensive negotiation and may vary significantly among different CROs and trial sites;</w:t>
      </w:r>
    </w:p>
    <w:p>
      <w:pPr>
        <w:ind w:left="1020" w:right="70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failing to conduct the trial in accordance with regulatory requirements;</w:t>
      </w: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 parties, such as CROs, to satisfy their contractual duties or meet expected deadlines;</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quantity of product material for use in trials due to delays in the importation and manufacture of clinical supply, including delays in the testing, validation, and delivery of the clinical supply of the investigational drug to the clinical trial sites;</w:t>
      </w: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identification and auditing of central or other laboratories and the transfer and validation of assays or tests to be used;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subjects complete participation in a trial or return for post-treatment follow-up;</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IRB approval or Ethics Committee positive opinions as part of the decision on the authorization of the clinical trial issued by EU Member States including input from the national competent authorities and Ethics Committee to conduct a trial at a prospective site, or complying with conditions imposed by IRBs, Ethics Committees or comparable foreign regulatory authorities;</w:t>
      </w:r>
    </w:p>
    <w:p>
      <w:pPr>
        <w:spacing w:after="0" w:line="1"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recruiting and enrolling subjects to participate in clinical trials for a variety of reasons, including competition from other programs for the treatment of similar conditions;</w:t>
      </w: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adverse events experienced by subjects in a clinical trial;</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retaining subjects who have initiated a clinical trial but may be prone to withdraw due to side effects from the therapy, lack of efficacy or personal issues, which are common among schizophrenia and MDD subjects who we require for our clinical trials of our product candidate roluperidone;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investigators and clinical sites;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and</w:t>
      </w:r>
    </w:p>
    <w:p>
      <w:pPr>
        <w:spacing w:after="0" w:line="9" w:lineRule="exact"/>
        <w:rPr>
          <w:rFonts w:ascii="Times New Roman" w:cs="Times New Roman" w:eastAsia="Times New Roman" w:hAnsi="Times New Roman"/>
          <w:sz w:val="18"/>
          <w:szCs w:val="18"/>
          <w:color w:val="auto"/>
        </w:rPr>
      </w:pPr>
    </w:p>
    <w:p>
      <w:pPr>
        <w:ind w:left="1020" w:right="180" w:hanging="503"/>
        <w:spacing w:after="0" w:line="26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imposed by competent authorities, including national regulatory authorities of EU Member States, the FDA or IRBs or Ethics Committees.</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Clinical trials may also be delayed as a result of ambiguous or negative interim results. In addition, clinical trials may be suspended or terminated by us, an IRB or Ethics Committee overseeing the clinical trial at a trial site (with respect to that site), the national competent authorities of EU Member States or the FDA due to a number of factors, including:</w:t>
      </w:r>
    </w:p>
    <w:p>
      <w:pPr>
        <w:spacing w:after="0" w:line="68"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the trial protocols and applicable laws;</w:t>
      </w:r>
    </w:p>
    <w:p>
      <w:pPr>
        <w:spacing w:after="0" w:line="27" w:lineRule="exact"/>
        <w:rPr>
          <w:rFonts w:ascii="Times New Roman" w:cs="Times New Roman" w:eastAsia="Times New Roman" w:hAnsi="Times New Roman"/>
          <w:sz w:val="18"/>
          <w:szCs w:val="18"/>
          <w:color w:val="auto"/>
        </w:rPr>
      </w:pPr>
    </w:p>
    <w:p>
      <w:pPr>
        <w:ind w:left="1020" w:right="160" w:hanging="503"/>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observations during inspection of the clinical trial operations or trial sites by the national competent authorities of EU Member States, FDA or other comparable foreign regulatory authorities that ultimately result in the imposition of a clinical hold;</w:t>
      </w: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Failure to conduct a clinical trial in accordance with regulatory requirements, the trial protocols and applicable laws may also result in the inability to use the data from such trial to support product approval. Additionally, changes in regulatory requirements and guidance may occur, and we may need to amend clinical trial protocols to reflect these changes. Amendments may require us to resubmit our clinical trial protocols to the national competent authorities of EU Member States, FDA, IRBs or Ethics Committees for reexamination, which may impact the costs, timing and successful completion of a clinical trial. Many of the factors that cause, or lead to, a delay in the commencement or completion of a clinical trial may also ultimately lead to the denial of regulatory approval of the associated product candidate. If we experience delays in completion of, or if we terminate any of our clinical trials, our ability to obtain regulatory approval for our product candidates may be materially harmed, and our commercial prospects and ability to generate product revenues will be diminished.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or foreign regulatory authorities caused by funding shortages or global health concerns could negatively impact our business.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proposed clinical trials or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Similar considerations are applicable to foreign regulatory authorities.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or comparable foreign regulatory authorities may also slow the time necessary for new product candidates to be reviewed and/or approved,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advancing product candidates beyond Phase 3, which makes it difficult to assess our ability to develop and commercialize our product candidates.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no experience in progressing clinical trials past Phase 3, obtaining regulatory approvals or commercializing product candidates. We merged with Sonkei and acquired Mind-NRG and have limited operating history since the respective merger and acquisition. We may encounter unforeseen expenses, difficulties, complications, delays and other known or unknown factors in pursuing our business objectives. 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enroll subjects in clinical trials, we will be unable to complete these trials on a timely basis or at 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timely completion of clinical trials largely depends on subject enrollment. Many factors affect subject enrollment, including:</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subject population;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we enroll;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subjects;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subject consents;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and</w:t>
      </w:r>
    </w:p>
    <w:p>
      <w:pPr>
        <w:spacing w:after="0" w:line="9" w:lineRule="exact"/>
        <w:rPr>
          <w:rFonts w:ascii="Times New Roman" w:cs="Times New Roman" w:eastAsia="Times New Roman" w:hAnsi="Times New Roman"/>
          <w:sz w:val="18"/>
          <w:szCs w:val="18"/>
          <w:color w:val="auto"/>
        </w:rPr>
      </w:pPr>
    </w:p>
    <w:p>
      <w:pPr>
        <w:ind w:left="1020" w:right="180" w:hanging="503"/>
        <w:spacing w:after="0" w:line="260"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subjects’ perceptions as to the potential advantages or disadvantages of the drug being studied in relation to other available therapies, including any new drugs that may be approved for the indications we are investigating.</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in Europe and, we expect, eventually in the United States and, while we have agreements governing their committed activities, we have limited influence over their actual performance. We may also experience difficulties enrolling subjects for our clinical trials relating to roluperidone due to the mental health of the subjects that we will need to enroll, related diagnoses and drop-out rates.</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could prevent or delay regulatory approval and commercialization, and also increase costs.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statistically significant efficacy of the product candidate studied for the target indication in later stages of clinical development. For example, a Phase 2b trial in MDD with respect to a drug that we were previously developing, MIN-117, failed to achieve its primary endpoint, and we decided to discontinue development of MIN-117 for MDD. Regulatory authorities may find that our studies do not support, in combination with other studies, approval of our product candidates for the target indication. In addition, our product candidates may</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33" w:name="page34"/>
    <w:bookmarkEnd w:id="33"/>
    <w:p>
      <w:pPr>
        <w:ind w:right="340"/>
        <w:spacing w:after="0" w:line="281" w:lineRule="auto"/>
        <w:rPr>
          <w:sz w:val="20"/>
          <w:szCs w:val="20"/>
          <w:color w:val="auto"/>
        </w:rPr>
      </w:pPr>
      <w:r>
        <w:rPr>
          <w:rFonts w:ascii="Times New Roman" w:cs="Times New Roman" w:eastAsia="Times New Roman" w:hAnsi="Times New Roman"/>
          <w:sz w:val="17"/>
          <w:szCs w:val="17"/>
          <w:color w:val="auto"/>
        </w:rPr>
        <w:t>be associated with undesirable side effects or have characteristics that are unexpected, which may result in abandoning their development or regulatory authorities restricting or denying regulatory approval. For instance, prior clinical studies indicated that roluperidone and MIN-117 may cause adverse events, including, but not limited to, dizziness, vital sign changes, central nervous system events, cardiac events, including prolongation of the QT/QTc interval, and gastrointestinal events. Most product candidates that commence clinical trials are never approved by the applicable regulatory authorities.</w:t>
      </w:r>
    </w:p>
    <w:p>
      <w:pPr>
        <w:spacing w:after="0" w:line="1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case of our product candidate roluperidone, we are seeking to develop a treatment for schizophrenia, which adds a layer of complexity to our clinical trials and may delay regulatory approval. The cause and pathophysiology of schizophrenia are not fully understood, and our results rely on subjective feedback from patients, caregivers and healthcare providers, which is inherently difficult to evaluate, can be influenced by factors outside of our control and can vary widely from day to day for a particular subject, and from subject to subject and site to site within a clinical study. The placebo effect may also have a more significant impact on our clinical trials.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our product candidates are not shown to be both safe and effective in clinical trials, we will not be able to obtain regulatory approval or commercialize our product candidates.</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For instance, at the present time we are prioritizing the development of the most advanced of our product candidates, roluperidone. As a result, we have suspended further development of MIN-301, and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 product candidate or the approval may be for a narrower indication than we expect.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our product candidates demonstrate safety and efficacy in clinical trials, the regulatory authorities may not complete their review processes in a timely manner, or we may not be able to obtain regulatory approval from the relevant regulatory authorities. Additional delays may result if the EMA, FDA,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or comparable foreign strategies, additional safety monitoring,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thoughts and behavior in young adults, ages 18 to 24, during initial treatment. If approved for marketing, our drugs may be required to carry warnings similar to this and other class-wide warnings.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Any approved products would further be subject to ongoing requirements imposed by the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These requirements include submissions of safety and other post-marketing information and reports, registration, as well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right="340"/>
        <w:spacing w:after="0" w:line="282" w:lineRule="auto"/>
        <w:rPr>
          <w:sz w:val="20"/>
          <w:szCs w:val="20"/>
          <w:color w:val="auto"/>
        </w:rPr>
      </w:pPr>
      <w:r>
        <w:rPr>
          <w:rFonts w:ascii="Times New Roman" w:cs="Times New Roman" w:eastAsia="Times New Roman" w:hAnsi="Times New Roman"/>
          <w:sz w:val="18"/>
          <w:szCs w:val="18"/>
          <w:color w:val="auto"/>
        </w:rPr>
        <w:t>as continued compliance with cGMP, regulations and GCPs, for any clinical trials that we conduct post-approval, all of which may result in significant expense and limit our ability to commercialize such products.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if there are any modifications to the drug, including changes in indications, labeling, manufacturing processes or facilities, or if new safety issues arise, a new or supplemental NDA, marketing authorization application or comparable foreign application, post-implementation notification, application for a variation or an existing marketing authorization, or other reporting may be required or requested, which may require additional data or additional pre-clinical studies and clinical trials.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The EMA, FDA and other comparable foreign regulatory authorities will continue to closely monitor the safety profile of any product even after approval. If the EMA, FDA or other comparable foreign regulatory authorities become aware of new adverse safety information after approval of any of our product candidates, a number of potentially significant negative consequences could result, including:</w:t>
      </w:r>
    </w:p>
    <w:p>
      <w:pPr>
        <w:spacing w:after="0" w:line="75" w:lineRule="exact"/>
        <w:rPr>
          <w:sz w:val="20"/>
          <w:szCs w:val="20"/>
          <w:color w:val="auto"/>
        </w:rPr>
      </w:pPr>
    </w:p>
    <w:p>
      <w:pPr>
        <w:ind w:left="1020" w:right="1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restrict or suspend marketing of such product or the manufacturing process for any component thereof, or withdraw, recall or seize, such product;</w:t>
      </w: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vary, or suspend approvals of such product;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otherwise restrict the product’s indicated use, label, or marketing;</w:t>
      </w:r>
    </w:p>
    <w:p>
      <w:pPr>
        <w:spacing w:after="0" w:line="9"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issue safety alerts, Dear Healthcare Provider letters, press releases or other communications containing warnings about such product;</w:t>
      </w:r>
    </w:p>
    <w:p>
      <w:pPr>
        <w:ind w:left="1020" w:hanging="503"/>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a REMS or the EMA or a comparable foreign regulatory authority may require the establishment or modification of a similar strategy that may, for instance, require us to issue a medication guide outlining the risks of such side effects for distribution to subjects or restrict distribution of our products and impose burdensome implementation requirements on us;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issue a conditional approval and we may fail to fulfill the requirements of the conditional approval;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 or surveillance;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including contracted facilities, are subject to continual review and periodic inspections by national competent authorities of EU Member States, the FDA and other comparable foreign regulatory authorities for compliance with current Good Manufacturing Practices (“cGMP”), regulations and standards. The European Union cGMP guidelines are as set forth in Commission Directive 2017/1572 of October 15, 2017. Despite our efforts to audit and verify regulatory compliance, third-party manufacturing vendors may be found on regulatory inspection by the FDA or other comparable foreign regulatory authorities to be noncompliant with cGMP regulations. This may result in shutdown of the third-party vendor or invalidation of drug product lots or processes. In some cases, a product recall may be warranted or required, which would materially affect our ability to supply and market our drug products. If we or a regulatory authority discover previously unknown problems with a product, such as adverse events of unanticipated severity or frequency, the product’s stability (changes in levels of impurities or dissolution profile) or problems with the facility where the product is manufactured, we may be subject to reporting obligations, additional testing and additional sampling, and a regulatory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regulatory approval, a regulatory authority may, depending on the stage of product development and approval:</w:t>
      </w:r>
    </w:p>
    <w:p>
      <w:pPr>
        <w:spacing w:after="0" w:line="79"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adverse inspectional findings;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and update labels or package inserts;</w:t>
      </w:r>
    </w:p>
    <w:p>
      <w:pPr>
        <w:spacing w:after="0" w:line="9" w:lineRule="exact"/>
        <w:rPr>
          <w:rFonts w:ascii="Times New Roman" w:cs="Times New Roman" w:eastAsia="Times New Roman" w:hAnsi="Times New Roman"/>
          <w:sz w:val="18"/>
          <w:szCs w:val="18"/>
          <w:color w:val="auto"/>
        </w:rPr>
      </w:pPr>
    </w:p>
    <w:p>
      <w:pPr>
        <w:ind w:left="1020" w:right="260" w:hanging="503"/>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criminal and/or administrative penalties, damages or monetary fines or imprisonment;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vary or withdraw regulatory approval;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vary or terminate any ongoing clinical studies;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 us from submitting or assisting in the submission of new regulatory applications;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5" w:name="page36"/>
    <w:bookmarkEnd w:id="35"/>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or delay approval of pending applications or supplements to applications filed by us;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government contracts;</w:t>
      </w:r>
    </w:p>
    <w:p>
      <w:pPr>
        <w:spacing w:after="0" w:line="9"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restrictions on marketing or manufacturing of the product, or the imposition of costly new manufacturing requirements or use of alternative suppliers; or</w:t>
      </w: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Office of Inspector General, state attorneys general, members of Congress and the public. Violations of applicable law, including advertising, marketing and promotion of our products for unapproved (or off-label) uses, are subject to enforcement letters, inquiries and investigations, and civil, criminal and/or administrative sanctions by regulatory authorities. Additionally, comparable foreign regulatory authorities will heavily scrutinize advertising and promotion of any product candidate that obtains approval outside of the United States. 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legislation,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Promotional activity that does not comply with the SmPC is considered off-label and is prohibited in the EU. Direct-to-consumer advertising of prescription medicinal products is also prohibited in the EU. Enforcement of advertising and promotional requirements relating to medicinal products in the EU is carried out at the national level by the national competent authorities of EU Member States. Furthermore, national or industry codes of conduct or practice, such as the Association of the British Pharmaceutical Industry (the United Kingdom innovative pharmaceutical industry trade association) code of practice, may established additional, stricter requirements than applicable legislative requirements.</w:t>
      </w:r>
    </w:p>
    <w:p>
      <w:pPr>
        <w:spacing w:after="0" w:line="1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products for off-label uses can also subject the entity engaging in such conduct to false claims litigation under federal and state statutes, which can lead to civil, criminal and/or administrative penalties, damages, monetary fines, disgorgement, exclusion from participation in Medicare, Medicaid and other federal healthcare programs, curtailment or restructuring of its operations and agreements that materially restrict the manner in which it promotes or distributes drug products. Accordingly, we are subject to the federal civil False Claims Act, which prohibits persons and entities from knowingly filing, or causing to be filed, a false claim, or the knowing use of false statements, to obtain payment from the federal government. Certain suits filed under the civil False Claims Act, known as “qui tam” actions, can be brought by any individual on behalf of the government and such individuals, commonly known as “whistleblowers,” may share in certain amounts paid by the entity to the government in fines or settlement. When an entity is determined to have violated the civil False Claims Act, it may be required to pay up to three times the actual damages sustained by the government, plus civil penalties for each separate false claim. Various states have also enacted laws modeled after the federal civil False Claims Act. We are also subject to the federal criminal False Claims Act, which imposes criminal fines or imprisonment against individuals or entities who make or present a claim to the government knowing such claim to be false, fictitious, or fraudulent. Additionally, we may be subject to civil monetary penalties that may be imposed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w:t>
      </w:r>
    </w:p>
    <w:p>
      <w:pPr>
        <w:spacing w:after="0" w:line="18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6" w:name="page37"/>
    <w:bookmarkEnd w:id="36"/>
    <w:p>
      <w:pPr>
        <w:ind w:right="140"/>
        <w:spacing w:after="0" w:line="253" w:lineRule="auto"/>
        <w:rPr>
          <w:sz w:val="20"/>
          <w:szCs w:val="20"/>
          <w:color w:val="auto"/>
        </w:rPr>
      </w:pPr>
      <w:r>
        <w:rPr>
          <w:rFonts w:ascii="Times New Roman" w:cs="Times New Roman" w:eastAsia="Times New Roman" w:hAnsi="Times New Roman"/>
          <w:sz w:val="18"/>
          <w:szCs w:val="18"/>
          <w:color w:val="auto"/>
        </w:rPr>
        <w:t>The policies of the FDA, the competent authorities of the EU Member States, the European Commission and other comparable regulatory authorities with respect to drugs or clinical trials may change and additional government regulations may be enacted. As an example, the regulatory landscape related to clinical trials in the EU has evolved. The EU Clinical Trials Regulation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CTR foresaw a three-year transition period that ended on January 31, 2025. Since this date, all new or ongoing trials are subject to the provisions of the CTR. Our compliance with the CTR requirements and that of our third-party service providers, such as CROs, may impact our developments plans.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26, 2023, the European Commission adopted a proposal for a new Directive and Regulation to revise the existing pharmaceutical legislation and on 10 April 2024, the Parliament adopted its related position. The proposed revisions remain to be agreed and adopted by the European Council. Moreover, on December 1, 2024, a new European Commission took office. The proposal could, therefore, still be subject to revisions. If adopted in the form proposed, the recent European Commission proposals to revise the existing EU laws governing authorization of drugs may result in a decrease in data and market exclusivity for our product candidates in the EU.</w:t>
      </w:r>
    </w:p>
    <w:p>
      <w:pPr>
        <w:spacing w:after="0" w:line="18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pathway for our product candidate, MIN-301, has not yet been determined in the US. Depending on the pathway, we may be subject to different regulatory requirements.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MIN-301 is a peptide, and, as a peptide, may be subject to the Public Health Service Act (“PHSA”), and the Food, Drug, and Cosmetic Act (“FDCA”). We have yet to meet with the FDA regarding the approval pathway for this product candidate. Based on the definition of a biologic in the PHSA, we believe that MIN-301 meets the definition of a biologic and, thus, we will need to submit a BLA, for product approval. Moreover, based on an FDA intercenter agreement, we believe that MIN-301 will be regulated by the FDA’s Center for Drug Evaluation and Research. However, we intend to discuss jurisdiction with the FDA to determine the appropriate regulatory pathway and corresponding requirements. Depending on the pathway, we may be subject to different regulatory requirements, including different regulatory and testing requirements, shorter or longer periods of market exclusivity, and different approval processes for generic drug and biosimilar competitors.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or our collaborators develop are smaller than we believe, our revenue may be adversely affected and our business may suffer.</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 candidates are intended for the treatment of schizophrenia, MDD, and Parkinson’s disease. Our projections of both the number of people who have these disorders or diseases, as well as the subsets of people who have the potential to benefit from treatment with our product candidates and who will pursue such treatment, are based on our beliefs and estimates that may prove to be inaccurate. For instance, with respect to schizophrenia and MDD, our estimates are based on the number of patients that suffer from schizophrenia and MDD, but these disorders are difficult to accurately diagnose and high rates of patients may not seek or continue treatment. Our estimates and beliefs are also based on the potential market of other drugs in development for schizophrenia and MDD, which may prove to be inaccurate and our advantages over such drugs may not be, or may not be perceived to be, as significant as we believe they are. If our estimates prove to be inaccurate, even if our products are approved, we may not be able to successfully commercialize them. In addition, the cause and pathophysiology of schizophrenia and MDD are not fully understood, and additional scientific understanding and future drug or non-drug therapies may make our product candidates obsolete.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 stage clinical trials towards approval and commercialization, it is common that various aspects of the development program, such as manufacturing methods and formulation, are altered in an effort to optimize processes and results. Such changes carry the risk that they will not achieve these intended objectives. Any of these changes could cause our product candidates to perform differently and affect the results of planned clinical trials or future clinical trials to be conducted with the altered materials. Such changes may also require additional testing, notification to the FDA or comparable foreign regulatory authorities or approval from the FDA or comparable foreign regulatory authorities. This could delay completion of clinical trials, require the conduct of bridging clinical trials or the repetition of one or more clinical trials, increase clinical trial costs, delay approval of our product candidates and/or jeopardize our ability to commence product sales and generate revenue.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additional international jurisdictions would prevent us from marketing our product candidates outside the European Union and the United States.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European Union and the United States. We also expect to seek regulatory approval in additional foreign countries. To market and sell our products in other jurisdictions, we must obtain separate regulatory approvals and comply with numerous and varying regulatory requirements. The approval procedure varies among countries and can involve additional testing. The time required to obtain approval may differ substantially from that required to obtain European Commission or FDA approval. The regulatory approval process outside the European Union and United States generally includes risks substantially similar to those associated with obtaining European Commission or FDA approval. In addition, in many countries outside the United States, we must secure product price and reimbursement approvals before regulatory authorities will approve the product for sale in that country or within a short time after receiving such regulatory approval.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do not receive applicable regulatory approvals, our target market will be reduced and our ability to realize the full market potential of our product candidates will be harmed and our business will be adversely affected. We may not obtain foreign regulatory approvals on a timely basis, if at all, especially because some foreign jurisdictions require prior approval of a treatment by the domestic regulatory authority. Our failure to obtain approval of any of our product candidates by regulatory authorities in another country may significantly diminish the commercial prospects of that product candidate and our business prospects could decline.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us.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subject to rapid and significant technological change. We face competition with respect to our current product candidates and will face competition with respect to any future product candidates from major pharmaceutical companies, specialty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less costly and/or have a better safety profile than our products, and competitors may also be more successful than us in manufacturing and marketing their products.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competitors will also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There are numerous currently approved therapies for treating the same diseases or indications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regulatory exclusivity, while others are available on a generic basis. Insurers and other third-party payors may encourage the use of generic products or specific branded products. Moreover, it is difficult to predict the effect that introduction of biosimilars into the market will have on sales of the reference biologic product, which will depend on the FDA’s, or comparable foreign regulatory authorities, standards for interchangeability, the structure of government and commercial managed care formularies, and applicable laws on substitution of biosimilars. We expect that if our product candidates are approved, they will be priced at a significant premium over competitive generics and biosimilars. This may make it difficult for us to differentiate our products from currently approved therapies, which may adversely impact our business strategy.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 Moreover, many companies are developing new therapeutics, and we cannot predict what the standard of care will be as our product candidates progress through clinical development.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receives regulatory approval, it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If any of our drug candidates receives regulatory approval, it may nonetheless fail to gain sufficient market acceptance by physicians, patients, third-party payors and others in the medical community necessary for commercial success. If our drug candidates do not achieve an adequate level of acceptance, we may not generate significant revenue from drug sales and we may not become profitable. Our commercial success also depends on coverage and adequate reimbursement of our products by third-party payors, including government payors, which may be difficult or time-consuming to obtain, may be limited in scope or may not be obtained in all jurisdictions in which we may seek to market our products. The degree of market acceptance of our drug candidates, if approved for commercial sale, will depend on a number of factors, including:</w:t>
      </w:r>
    </w:p>
    <w:p>
      <w:pPr>
        <w:spacing w:after="0" w:line="79"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perceived and potential advantages compared to alternative treatments, including any similar generics and biosimilars;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relative to alternative treatment;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drugs for sale at competitive prices relative to alternative treatments;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and distribution support;</w:t>
      </w:r>
    </w:p>
    <w:p>
      <w:pPr>
        <w:spacing w:after="0" w:line="9"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products or the willingness of patients to pay out-of-pocket in the absence of coverage and adequate reimbursement by third-party payors;</w:t>
      </w: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drugs together with other medications.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focus on CNS disorders, in particular, exposes us to an increased risk that serious side effects and disease events, including suicide, will occur during patient use of our products, even if such side effects and disease events are unrelated to the use of our products. Most approved CNS medicines carry boxed warnings for clinically significant adverse events, and our products may categorically need to carry such warnings as well.</w:t>
      </w:r>
    </w:p>
    <w:p>
      <w:pPr>
        <w:spacing w:after="0" w:line="17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a limited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currently have a limited marketing or sales organization for the marketing, sales and distribution of pharmaceutical products. In order to commercialize any product candidates, we must build our marketing, sales, distribution, managerial and other non-technical capabilities or make arrangements with third parties to perform these services. We may not be successful in doing so on commercially reasonable terms or at all.</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our product candidates receive regulatory approval, we intend to establish our sales and marketing organization with technical expertise and supporting distribution capabilities to commercialize our product candidates, which will be expensive and time consuming and may require substantial investments prior to any product candidate being granted regulatory approval. In selling, marketing and distributing our products ourselves, we face a number of additional risks, including:</w:t>
      </w:r>
    </w:p>
    <w:p>
      <w:pPr>
        <w:spacing w:after="0" w:line="7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7" w:lineRule="exact"/>
        <w:rPr>
          <w:rFonts w:ascii="Times New Roman" w:cs="Times New Roman" w:eastAsia="Times New Roman" w:hAnsi="Times New Roman"/>
          <w:sz w:val="18"/>
          <w:szCs w:val="18"/>
          <w:color w:val="auto"/>
        </w:rPr>
      </w:pPr>
    </w:p>
    <w:p>
      <w:pPr>
        <w:ind w:left="1020" w:right="54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clinical benefits of our products to achieve market acceptance;</w:t>
      </w:r>
    </w:p>
    <w:p>
      <w:pPr>
        <w:ind w:left="1020" w:right="18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personnel on legal compliance matters and monitoring their actions;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personnel failing to comply with the applicable legal requirements;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adversely impact the commercialization of these products.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ind w:right="160"/>
        <w:spacing w:after="0" w:line="261" w:lineRule="auto"/>
        <w:rPr>
          <w:sz w:val="20"/>
          <w:szCs w:val="20"/>
          <w:color w:val="auto"/>
        </w:rPr>
      </w:pPr>
      <w:r>
        <w:rPr>
          <w:rFonts w:ascii="Times New Roman" w:cs="Times New Roman" w:eastAsia="Times New Roman" w:hAnsi="Times New Roman"/>
          <w:sz w:val="18"/>
          <w:szCs w:val="18"/>
          <w:color w:val="auto"/>
        </w:rPr>
        <w:t>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we are not successful in commercializing our product candidates, either on our own or through collaborations with one or more third parties, our future product revenue will suffer and we may incur significant additional losses.</w:t>
      </w:r>
    </w:p>
    <w:p>
      <w:pPr>
        <w:spacing w:after="0" w:line="15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laws that govern regulatory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regulatory approval.</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In the European Union (“EU”), the pricing and reimbursement schemes of drugs is governed by the national legislation of each EU Member State and also vary widely from country to country. In these countries, pricing negotiations with governmental authorities can take considerable time after receipt of regulatory approval for a product.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there can be considerable pressure by governments and other stakeholders on prices and reimbursement levels, including as part of cost containment measures in the current economic climate in the European Union. There is very limited harmonization between EU Member States regarding pricing and reimbursement practices.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drugs established in other countries as “reference prices” to help determine the price of the product in their own territory. Reference pricing used by various EU Member States and parallel distribution, or arbitrage between low-priced and high-priced EU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 Consequently, a downward trend in prices of drugs in some countries could contribute to similar downward trends elsewhere.</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reimbursement of our drugs is unavailable or limited in scope or amount, or if pricing is set at unsatisfactory levels, our business could be materially harmed.</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depend in part on the extent to which coverage and adequate reimbursement for these products and related treatments will be available from government health administration authorities and other third-party payors, such as private health insurers and health maintenance organizations. Government authorities and other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right="120"/>
        <w:spacing w:after="0" w:line="261" w:lineRule="auto"/>
        <w:rPr>
          <w:sz w:val="20"/>
          <w:szCs w:val="20"/>
          <w:color w:val="auto"/>
        </w:rPr>
      </w:pPr>
      <w:r>
        <w:rPr>
          <w:rFonts w:ascii="Times New Roman" w:cs="Times New Roman" w:eastAsia="Times New Roman" w:hAnsi="Times New Roman"/>
          <w:sz w:val="18"/>
          <w:szCs w:val="18"/>
          <w:color w:val="auto"/>
        </w:rPr>
        <w:t>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European Commission,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For example, on August 16, 2022, the Inflation Reduction Act of 2022 (“IRA”) was signed into law which, among other things, (1) directs U.S. Department of Health and Human Services (“HHS”) to negotiate the price of certain single-source drugs covered under Medicare that have been on the market for at least 7 years and (2) imposes rebates under Medicare Part B and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began to take effect progressively starting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line="253" w:lineRule="auto"/>
        <w:rPr>
          <w:sz w:val="20"/>
          <w:szCs w:val="20"/>
          <w:color w:val="auto"/>
        </w:rPr>
      </w:pPr>
      <w:r>
        <w:rPr>
          <w:rFonts w:ascii="Times New Roman" w:cs="Times New Roman" w:eastAsia="Times New Roman" w:hAnsi="Times New Roman"/>
          <w:sz w:val="18"/>
          <w:szCs w:val="18"/>
          <w:color w:val="auto"/>
        </w:rPr>
        <w:t>Negotiation Program. It is currently unclear how the IRA will be implemented but is likely to have a significant impact on the pharmaceutical industry. Further,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commercialize our product candidates and affect the prices we may obtain.</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regulatory approval of our product candidates, restrict or regulate post-approval activities and affect our ability to profitably sell any product candidate for which we obtain regulatory approval.</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of 2010 (collectively, “ACA”) broadened access to health insurance, reduced or constrained the growth of healthcare spending, enhanced remedies against healthcare fraud and abuse, add imposed new transparency requirements for healthcare and health insurance industries, imposed new taxes and fees on pharmaceutical manufacturers and imposed additional health policy reforms. Since the ACA’s enactment, there have been executive, judicial and Congressional challenges and amendments to certain aspects of the ACA.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additional healthcare reform measures of the second Trump administration will impact the ACA and our business.</w:t>
      </w:r>
    </w:p>
    <w:p>
      <w:pPr>
        <w:spacing w:after="0" w:line="18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Further, Congress is considering additional health reform measures. We expect that healthcare reform measures that may be adopted in the future may result in more rigorous coverage criteria and lower reimbursement, and in additional downward pressure on the price that may be charged for any of our product candidates, if approved.</w:t>
      </w:r>
    </w:p>
    <w:p>
      <w:pPr>
        <w:spacing w:after="0" w:line="17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or HTA, amending Directive 2011/24/EU, was adopted in the EU. This Regulation, which entered into force in January 2022 and began to apply on January 12, 2025, through a phased implementation. The Regulation is intended to boost cooperation among EU Member States in assessing health technologies,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ind w:right="20"/>
        <w:spacing w:after="0" w:line="253" w:lineRule="auto"/>
        <w:rPr>
          <w:sz w:val="20"/>
          <w:szCs w:val="20"/>
          <w:color w:val="auto"/>
        </w:rPr>
      </w:pPr>
      <w:r>
        <w:rPr>
          <w:rFonts w:ascii="Times New Roman" w:cs="Times New Roman" w:eastAsia="Times New Roman" w:hAnsi="Times New Roman"/>
          <w:sz w:val="18"/>
          <w:szCs w:val="18"/>
          <w:color w:val="auto"/>
        </w:rPr>
        <w:t>including new medicinal products, and provides the basis for cooperation at EU level for joint clinical assessments in these areas. The Regulation permits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continue to be responsible for assessing non-clinical (e.g., economic, social, ethical) aspects of health technologies, and making decisions on pricing and reimbursement. If we are unable to maintain favorable pricing and reimbursement status in EU Member States for drug candidates that we may successfully develop and for which we may obtain regulatory approval, any anticipated revenue from and growth prospects for those products in the EU could be negatively affected. In light of the fact that the United Kingdom has left the EU, Regulation No 2021/2282 on HTA does not apply in the United Kingdom. However, the UK Medicines and Healthcare products Regulation Agency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 including relaunching the Innovative Licensing and Access Pathway with more predicable timelines and closer involvement of the National Health Service.</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foreign currency and exchange rate risks.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we plan to continue to conduct our clinical trials in Europe, we are exposed to currency fluctuations and exchange rate risks. The costs of our CROs may be incurred in Euros and we may pay them in Euros, or other currencies, however, we expect to keep the substantial portion of our cash, cash equivalents, marketable securities and private placement transactions, in United States Dollars. Therefore, fluctuations in foreign currencies, especially the Euro, could significantly impact our costs of conducting clinical trials. In addition, we may have to seek additional funding earlier than expected, which may not be available on acceptable terms or at all. Changes in the applicable currency exchange rates might negatively affect the profitability and business prospects of the third parties conducting our future clinical trials. This might cause such third parties to demand higher fees or discontinue their operations. These situations could in turn increase our costs or delay our clinical development,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own one Swiss subsidiary, expect to engage in significant cross-border activities, and we will be subject to risks related to international operations, including:</w:t>
      </w:r>
    </w:p>
    <w:p>
      <w:pPr>
        <w:spacing w:after="0" w:line="54" w:lineRule="exact"/>
        <w:rPr>
          <w:sz w:val="20"/>
          <w:szCs w:val="20"/>
          <w:color w:val="auto"/>
        </w:rPr>
      </w:pPr>
    </w:p>
    <w:p>
      <w:pPr>
        <w:ind w:left="1020" w:right="30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conduct of clinical trials of investigational drugs and obtaining and maintaining approval of drugs in foreign countries;</w:t>
      </w: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contractual and intellectual property rights in certain countries;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9"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in particular foreign economies and markets, such as the instability caused by geopolitical conflicts including the war in Ukraine and hostilities in the Middle East, or public health issues or pandemics;</w:t>
      </w: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laws of various jurisdictions, including with respect to intercompany transfer pricing arrangements and taxable nexus;</w:t>
      </w:r>
    </w:p>
    <w:p>
      <w:pPr>
        <w:spacing w:after="0" w:line="9" w:lineRule="exact"/>
        <w:rPr>
          <w:rFonts w:ascii="Times New Roman" w:cs="Times New Roman" w:eastAsia="Times New Roman" w:hAnsi="Times New Roman"/>
          <w:sz w:val="18"/>
          <w:szCs w:val="18"/>
          <w:color w:val="auto"/>
        </w:rPr>
      </w:pPr>
    </w:p>
    <w:p>
      <w:pPr>
        <w:ind w:left="1020" w:right="42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9" w:lineRule="exact"/>
        <w:rPr>
          <w:rFonts w:ascii="Times New Roman" w:cs="Times New Roman" w:eastAsia="Times New Roman" w:hAnsi="Times New Roman"/>
          <w:sz w:val="18"/>
          <w:szCs w:val="18"/>
          <w:color w:val="auto"/>
        </w:rPr>
      </w:pPr>
    </w:p>
    <w:p>
      <w:pPr>
        <w:ind w:left="1020" w:right="40" w:hanging="503"/>
        <w:spacing w:after="0" w:line="26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obligations and tighter restrictions on privacy and the collection, use, and other processing of personal data, including patient data;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left="1020" w:right="4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political instability, hostilities, war and terrorism, such as the war in Ukraine and hostilities in the Middle East, or natural disasters including pandemics, earthquakes, typhoons, floods and fires.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issues were to occur, our business could be materially harmed.</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 may have a negative effect on global economic conditions, financial markets and our business, which could reduce the price of our common stock.</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Brexit, the UK and the EU signed a EU-UK Trade and Cooperation Agreement, or TCA, which became provisionally applicable on January 1, 2021 and entered into force on May 1, 2021. This agreement provides details on how some aspects of the UK and EU’s relationship will operate going forwards however there are still uncertainties. The TCA primarily focuses on ensuring free trade between the EU and the UK in relation to goods, including medicinal products. Among the changes that have occurred are that the UK is treated as a “third country”, a country that is not a member of the EU and whose citizens do not enjoy the EU right to free movement (Northern Ireland continues to follow certain limited EU regulatory rules, including in relation to medical devices, but not in relation to medicinal products) . As part of the TCA, the EU and the UK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However, the EU continues to apply EU laws that require batch testing and batch release to take place in the EU territory. This means that medicinal products that are tested and released in the UK must be retested and re-released when entering the EU market for commercial use.</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reached a political agreement on the so-called “Windsor Framework”. The Windsor Framework is intended to revise the Northern Ireland Protocol to address some of the perceived shortcomings in its operation. The agreement was adopted at the Withdrawal Agreement Joint Committee on March 24, 2023 and the arrangements under the Windsor Framework relating to medicinal products took effect on January 1, 2025. As it relates to marketing authorizations, the United Kingdom has a separate regulatory submission process, approval process and a separate national marketing authorization. Northern Ireland continued, until January 1, to be covered by the marketing authorizations granted by the European Commission but the Windsor Framework provides that the UK MHRA is the sole regulatory body responsible for granting marketing authorizations for Northern Ireland as of January 1, 2025.</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significant proportion of the regulatory framework in the UK applicable to medicinal products is currently derived from EU Directives and Regulations. The potential for UK legislation to diverge from EU legislation following Brexit could materially impact the regulatory regime with respect to the development, manufacture, import, approval, and commercialization of our product candidates in the UK or the EU. If we are slow or unable to adapt to changes in existing requirements or the adoption of new requirements or policies governing clinical trials, our development plans may be impacted.</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of these changes could increase our costs and otherwise adversely affect our business. Any delay in obtaining, or an inability to obtain, any regulatory approvals, as a result of Brexit or otherwise, would prevent us from commercializing our product candidates in the UK or the EU and restrict our ability to generate revenue and achieve and sustain profitability. In addition, we may be required to pay taxes or duties or be subjected to other hurdles in connection with the importation of our product candidates into the EU. If any of these outcomes occur, we may be forced to restrict or delay efforts to seek regulatory approval in the UK or the EU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attracting and retaining highly qualified personnel, we may not be able to successfully implement our business strategy.</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especially Dr. Remy Luthringer, whose services are critical to the successful implementation of our product candidate development and regulatory strategies. We do not maintain “key man” insurance policies on the lives of these individuals or the lives of any of our other employees. In order to induce valuable employees to continue their employment with us, we have provided stock options that vest over time and performance-based restricted stock units. The value to employees of such equity grants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right="120"/>
        <w:spacing w:after="0" w:line="261" w:lineRule="auto"/>
        <w:rPr>
          <w:sz w:val="20"/>
          <w:szCs w:val="20"/>
          <w:color w:val="auto"/>
        </w:rPr>
      </w:pPr>
      <w:r>
        <w:rPr>
          <w:rFonts w:ascii="Times New Roman" w:cs="Times New Roman" w:eastAsia="Times New Roman" w:hAnsi="Times New Roman"/>
          <w:sz w:val="18"/>
          <w:szCs w:val="18"/>
          <w:color w:val="auto"/>
        </w:rPr>
        <w:t>that vest over time is significantly affected by movements in our stock price that are beyond our control, and may at any time be insufficient to counteract more lucrative offers from other companies. In addition, if performance conditions in these awards, to the extent applicable, are not met or if our stock-based compensation otherwise ceases to be viewed as a valuable benefit, our ability to attract, retain and motivate personnel could be weakened, which could harm our business.</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Despite our efforts to retain valuable employees, members of our management, scientific and development teams generally may terminate their employment with us, with or without good reason, upon written notice to us. Pursuant to their employment arrangements, some of our executive officers may voluntarily terminate their employment at any time by providing as little as thirty days advance notice. Our employment arrangements, other than those with our executive officers, provide for at-will employment, which means that any of our employees (other than our executive officers) could leave our employment at any time, with or without notice. The loss of the services of any of our executive officers or other key employees and our inability to find suitable replacements could potentially harm our business, financial condition and prospects. Our success also depends on our ability to continue to attract, retain and motivate highly skilled junior, mid-level, and senior managers as well as junior, mid-level, and senior scientific and medical personnel.</w:t>
      </w:r>
    </w:p>
    <w:p>
      <w:pPr>
        <w:spacing w:after="0" w:line="189"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We may not be able to attract or retain qualified management and scientific personnel in the future due to the intense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They also may provide more diverse opportunities and better chances for career advancement. Some of these characteristics may be more appealing to high quality candidates than what we have to offer. If we are unable to continue to attract and retain high quality personnel, the rate and success at which we can develop and commercialize product candidates will be limited.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2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As of December 31, 2024, we had 8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clinical trials effectively;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licensors, licensees, collaborators, contractors and other third parties;</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finance systems; and</w:t>
      </w:r>
    </w:p>
    <w:p>
      <w:pPr>
        <w:spacing w:after="0" w:line="9" w:lineRule="exact"/>
        <w:rPr>
          <w:rFonts w:ascii="Times New Roman" w:cs="Times New Roman" w:eastAsia="Times New Roman" w:hAnsi="Times New Roman"/>
          <w:sz w:val="18"/>
          <w:szCs w:val="18"/>
          <w:color w:val="auto"/>
        </w:rPr>
      </w:pPr>
    </w:p>
    <w:p>
      <w:pPr>
        <w:ind w:left="1020" w:right="120" w:hanging="503"/>
        <w:spacing w:after="0" w:line="26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compliance infrastructure and processes to ensure compliance with complex regulations and industry standards regarding us and our product candidates.</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mergers or joint ventures could disrupt our business and otherwise harm our business.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actively evaluate various strategic transactions on an ongoing basis and may acquire other businesses, products or technologies as well as pursue strategic alliances, joint ventures or investments in complementary businesses. We merged with Sonkei in November 2013 and acquired Mind-NRG in February 2014, but otherwise do not have any substantial experience integrating or managing acquired businesses or assets. Strategic transactions expose us to many risks, including:</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collaborators or suppliers as a result of such a transaction;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9" w:lineRule="exact"/>
        <w:rPr>
          <w:rFonts w:ascii="Times New Roman" w:cs="Times New Roman" w:eastAsia="Times New Roman" w:hAnsi="Times New Roman"/>
          <w:sz w:val="18"/>
          <w:szCs w:val="18"/>
          <w:color w:val="auto"/>
        </w:rPr>
      </w:pPr>
    </w:p>
    <w:p>
      <w:pPr>
        <w:ind w:left="1020" w:right="260" w:hanging="503"/>
        <w:spacing w:after="0" w:line="26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5" w:name="page46"/>
    <w:bookmarkEnd w:id="45"/>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 and</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Foreign acquisitions, such as the acquisition of Mind-NRG, a Swiss company,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(including on terms that are unfavorable to us that we are unable to repay or that may place burdensome restrictions on our operations),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brought by subjects enrolled in our clinical trials, patients, healthcare providers or others using, administering or selling our products.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revisions, marketing or promotional restrictions;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do not currently carry any product liability insurance. Although we anticipate obtaining and maintaining such insurance in line with our needs for our upcoming trials, such insurance may be more costly than we anticipate and any claim that may be brought against us could result in a court judgment or settlement in an amount that is not covered, in whole or in part, by such insurance or that is in excess of the limits of such insurance coverage. We also expect our insurance policies will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unauthorized access, natural disasters, outbreaks of contagious diseases, such as coronavirus, terrorism, war and telecommunication and electrical failures. For example, a cyber-attack on one of our external contractors during the summer of 2019 resulted in a disruption to patient recruitment in our Phase 3 clinical trial of roluperidone. Further similar events could occur and cause interruptions in our operations, and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We are required to comply with the SEC’s rules that implement Section 404 of the Sarbanes-Oxley Act and the Committee on Sponsoring Organizations, Report on Internal Control – Integrated Framework, which require, among other things, that we maintain effective internal controls for financial reporting and disclosure controls and procedures. Under Section 404 of the Sarbanes-Oxley Act, we are required to furnish a report by management on, among other things, the effectiveness of our internal control over financial reporting. This assessment must include disclosure of any material weaknesses identified by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w:t>
      </w:r>
    </w:p>
    <w:p>
      <w:pPr>
        <w:spacing w:after="0" w:line="18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compliance with Section 404 requires that we compile the system and process documentation necessary to perform an appropriate evaluation. During the evaluation and testing process, if we identify one or more material weaknesses in our internal control over financial reporting, we will be unable to assert that our internal control over financial reporting is effective. While we have established certain procedures and control over our financial reporting processes, we cannot assure you that these efforts will prevent restatements of our financial statements in the future. If we identify any future significant deficiencies or material weaknesses, the accuracy and timing of our financial reporting may be adversely affected and we may be unable to maintain compliance with securities law requirements regarding timely filing of periodic reports. In addition, investors’ perceptions that our internal controls are inadequate or that we are unable to produce accurate financial statements on a timely basis may harm our stock price and business prospects.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(“Exchange Act”). We designed our disclosure controls and procedures to reasonably assure us that the information we disclose in reports we file in accordance with the Exchange Act is accurate, complete, reviewed by management and reported within the required time period. We believe that any disclosure controls and procedures, no matter how well-conceived and operated, can provide only reasonable, not absolute, assurance that the objectives of the control system are met.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Prior to November 2013, we operated without full-time employees, relying on the services of consultants, including representatives of our former affiliate, Care Capital LLC, to provide certain accounting and finance functions. We have since hired personnel and continue to develop our disclosure control procedures; however, if we are unsuccessful in building an appropriate infrastructure, or unable to develop procedures and controls to ensure timely and accurate reporting, we may be unable to meet our disclosure requirements under the Exchange Act, which could adversely affect the market price of our common stock and impair our access to the capital markets.</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and independent contractors, such as principal investigators, CROs, manufacturers, consultants, commercial partners and vendors, could include failures to comply with regulations of the FDA or comparable foreign regulatory authorities, to provide accurate information to the FDA or comparable foreign regulatory authorities to comply with manufacturing standards we have established, to comply with US federal and state healthcare fraud and abuse laws and comparable foreign regulatory requirements, to report financial information or data accurately or to disclose unauthorized activities to us. For example, in our Phase 3 trial of roluperidone for the treatment of negative symptoms of schizophrenia, one clinical site that recruited 17 patients reported implausible behavioral (schizophrenia symptoms) and physiological (blood pressure) data. As a result, these 17 patients were excluded and made part of an mITT analysis set. Sales, marketing and other business arrangements in the healthcare industry are subject to extensive laws intended to prevent fraud, kickbacks, self-dealing and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100"/>
        <w:spacing w:after="0" w:line="256" w:lineRule="auto"/>
        <w:rPr>
          <w:sz w:val="20"/>
          <w:szCs w:val="20"/>
          <w:color w:val="auto"/>
        </w:rPr>
      </w:pPr>
      <w:r>
        <w:rPr>
          <w:rFonts w:ascii="Times New Roman" w:cs="Times New Roman" w:eastAsia="Times New Roman" w:hAnsi="Times New Roman"/>
          <w:sz w:val="18"/>
          <w:szCs w:val="18"/>
          <w:color w:val="auto"/>
        </w:rPr>
        <w:t>other abusive practices. These laws may restrict or prohibit a wide range of business activities, including, but not limited to certain activities related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sanctions, monetary penalties, and serious harm to our reputation. In addition, federal procurement laws impose substantial penalties for misconduct in connection with government contracts and require certain contractors to maintain a code of business ethics and conduct.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ethics and conduct, but it is not always possible to identify and deter employee and independent contractor misconduct, and the precautions we take to detect and prevent improper activities may not be effective in controlling unknown or unmanaged risks or losses or in protecting us from governmental investigations or other actions or lawsuits stemming from a failure to comply with such laws or regulations. If any such actions are instituted against us, those actions could have a significant impact on our business, including the imposition of civil, criminal and administrative penalties, damages, monetary fines, disgorgement, individual imprisonment, possible exclusion from participation in Medicare, Medicaid and other federal healthcare programs or comparable foreign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 any of which could adversely affect our ability to operate.</w:t>
      </w:r>
    </w:p>
    <w:p>
      <w:pPr>
        <w:spacing w:after="0" w:line="18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with healthcare professionals, principal investigators, consultants, customers (actual and potential) and third-party payors in connection with our current and future business activities may and may continue to be subject, directly or indirectly, to federal and state healthcare fraud and abuse laws, false claims laws, marketing expenditure tracking and disclosure (or “sunshine”) laws, government price reporting, and health information privacy and security laws, as well as equivalent foreign legislation. If we are unable to comply, or have not fully complied, with such laws, we could face penalties, contractual damages, reputational harm, diminished profits and future earnings and curtailment or restructuring of our operations.</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state and local healthcare laws, including, without limitation, the federal Anti-Kickback Statute and the federal False Claims Act. These laws may impact, among other things, our current activities with principal investigators and research subjects, as well as proposed and future sales, marketing and education programs. In addition, we may be subject to patient data privacy and security regulation by the federal government, state governments and foreign jurisdictions in which we conduct our business. The healthcare laws and regulations that may affect our ability to operate include, but are not limited to:</w:t>
      </w:r>
    </w:p>
    <w:p>
      <w:pPr>
        <w:spacing w:after="0" w:line="75" w:lineRule="exact"/>
        <w:rPr>
          <w:sz w:val="20"/>
          <w:szCs w:val="20"/>
          <w:color w:val="auto"/>
        </w:rPr>
      </w:pPr>
    </w:p>
    <w:p>
      <w:pPr>
        <w:ind w:left="1020" w:right="20" w:hanging="503"/>
        <w:spacing w:after="0" w:line="25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w:t>
      </w:r>
    </w:p>
    <w:p>
      <w:pPr>
        <w:spacing w:after="0" w:line="3"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imposes civil penalties, including through civil whistleblower or qui tam actions, against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w:t>
      </w:r>
    </w:p>
    <w:p>
      <w:pPr>
        <w:spacing w:after="0" w:line="2"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False Claims Act, which imposes criminal fines or imprisonment against individuals or entities who make or present a claim to the government knowing such claim to be false, fictitious or fraudulent.</w:t>
      </w:r>
    </w:p>
    <w:p>
      <w:pPr>
        <w:jc w:val="both"/>
        <w:ind w:left="1020" w:right="2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Veterans Health Care Act of 1992 that requires manufacturers of “covered drugs” to offer them for sale to certain federal agencies, including but not limited to, the Department of Veterans Affairs, on the Federal Supply Schedule, which requires compliance with applicable federal procurement laws and regulations and subjects manufacturers to contractual remedies as well as administrative, civil and criminal sanctions.</w:t>
      </w:r>
    </w:p>
    <w:p>
      <w:pPr>
        <w:spacing w:after="0" w:line="1" w:lineRule="exact"/>
        <w:rPr>
          <w:rFonts w:ascii="Times New Roman" w:cs="Times New Roman" w:eastAsia="Times New Roman" w:hAnsi="Times New Roman"/>
          <w:sz w:val="18"/>
          <w:szCs w:val="18"/>
          <w:color w:val="auto"/>
        </w:rPr>
      </w:pPr>
    </w:p>
    <w:p>
      <w:pPr>
        <w:ind w:left="1020" w:right="120" w:hanging="503"/>
        <w:spacing w:after="0" w:line="253"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8" w:name="page49"/>
    <w:bookmarkEnd w:id="48"/>
    <w:p>
      <w:pPr>
        <w:jc w:val="both"/>
        <w:ind w:left="1020" w:right="60"/>
        <w:spacing w:after="0" w:line="255" w:lineRule="auto"/>
        <w:rPr>
          <w:sz w:val="20"/>
          <w:szCs w:val="20"/>
          <w:color w:val="auto"/>
        </w:rPr>
      </w:pPr>
      <w:r>
        <w:rPr>
          <w:rFonts w:ascii="Times New Roman" w:cs="Times New Roman" w:eastAsia="Times New Roman" w:hAnsi="Times New Roman"/>
          <w:sz w:val="18"/>
          <w:szCs w:val="18"/>
          <w:color w:val="auto"/>
        </w:rPr>
        <w:t>(e.g.,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3" w:lineRule="exact"/>
        <w:rPr>
          <w:sz w:val="20"/>
          <w:szCs w:val="20"/>
          <w:color w:val="auto"/>
        </w:rPr>
      </w:pPr>
    </w:p>
    <w:p>
      <w:pPr>
        <w:ind w:left="1020" w:right="4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requirements on certain covered healthcare providers, health plans and healthcare clearinghouses as well as their respective business associates and covered subcontractors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1"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Centers for Medicare &amp; Medicaid Services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2" w:lineRule="exact"/>
        <w:rPr>
          <w:rFonts w:ascii="Times New Roman" w:cs="Times New Roman" w:eastAsia="Times New Roman" w:hAnsi="Times New Roman"/>
          <w:sz w:val="18"/>
          <w:szCs w:val="18"/>
          <w:color w:val="auto"/>
        </w:rPr>
      </w:pPr>
    </w:p>
    <w:p>
      <w:pPr>
        <w:ind w:left="1020" w:right="46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and other activities that potentially harm consumers.</w:t>
      </w:r>
    </w:p>
    <w:p>
      <w:pPr>
        <w:ind w:left="1020" w:right="60" w:hanging="503"/>
        <w:spacing w:after="0" w:line="265"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 equivalents of each of the above federal laws, such as anti-kickback, false claims, consumer protection and unfair competition laws which may apply to our business practices, including but not limited to our research, distribution, sales and marketing arrangements and our practices for submitting claims involving healthcare items or services reimbursed by any third-party payors, including commercial insurers.</w:t>
      </w:r>
    </w:p>
    <w:p>
      <w:pPr>
        <w:ind w:left="1020" w:righ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State laws may also (1) require that pharmaceutical companies comply with the pharmaceutical industry’s voluntary compliance guidelines and the relevant compliance guidance promulgated by the federal government that otherwise restrict the payments that may be made to healthcare providers, (2) require that drug manufacturers file reports with states regarding marketing information, such as the tracking and reporting of gifts, compensations and other remuneration and items of value provided to healthcare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a pharmaceutical company’s business and/or increase enforcement scrutiny of its activities), (3) require the reporting of information related to drug pricing, ,and (4) govern the privacy and security of health information in certain circumstances. State laws are not uniform, may differ from each other in significant ways and may be applied with differing effects.</w:t>
      </w:r>
    </w:p>
    <w:p>
      <w:pPr>
        <w:spacing w:after="0" w:line="1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any sales of our products or product candidates once commercialized outside the United States will also likely subject us to foreign equivalents of the healthcare laws mentioned above. Outside the United States, interactions between pharmaceutical companies and health care professionals are governed by strict laws such as national anti-bribery laws of European countries, national sunshine rules, regulations, industry self-regulation codes of conduct and physicians’ codes of professional conduct. These laws may include, for instance, the UK Bribery Act 2010 other national anti-corruption legislation related to EU Member States’ adherence to the OECD Convention on Combating Bribery of Foreign Public Officials in International Business Transactions, European Union consumer laws protecting against defective products, including the Product Liability Directive 85/374/EEC, the UK ABPI Code of Practice as well as the French “Bertrand Law” and related Decrees and Ordinances Imposing Transparency requirements on manufacturers in their interactions with French healthcare actors, and comparable requirements in other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If our operations are found to be in violation of any of the laws described above or any other governmental regulations that apply to us, we may be subject to, without limitation, significant civil, criminal and administrative penalties, damages, monetary fines, disgorgement, individual imprisonment, possible exclusion from participation in Medicare, Medicaid and other federal healthcare programs or comparable foreign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Foreign Corrupt Practices Act.</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and rules, contractual obligations, policies, industry standards,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requires businesses to provide specific disclosures in privacy notices and honor requests of California residents to exercise certain privacy rights, such as those noted below. The CCPA provides for fines for intentional violations and allows private litigants affected by certain data breaches to recover significant statutory damages. Although the CCPA and other state laws exempt some data processed in the context of clinical trials, these developments further complicate compliance efforts and increase legal risk and compliance costs for us and the third parties with whom we work.</w:t>
      </w:r>
    </w:p>
    <w:p>
      <w:pPr>
        <w:spacing w:after="0" w:line="19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addition, data privacy and security laws have been proposed at the federal, state, and local levels in recent years, which could further complicate compliance efforts, and we expect more states to pass similar laws in the future.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including the European Union’s General Data Protection Regulation (“EU GDPR”) and the United Kingdom’s GDPR (“UK GDPR”) (collectively, “GDPR”), which impose strict requirements for processing personal data. Violators of these laws face significant penalties. For example, under the GDPR, companies may face temporary or definitive bans on data processing and other corrective actions; fines of up to 20 million Euros under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Swiss Federal Act on Data Protection, or the FADP, also applies to the collection and processing of personal data, including health-related information, by companies located in Switzerland, or in certain circumstances, by companies located outside of Switzerland. Compliance with the FADP and its revised ordinances may result in an increase of costs of compliance, risks of noncompliance and penalties for noncompliance.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ind w:right="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have adopted and may adopt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injunctions against processing or transferring personal data, as well as other adverse consequences. In particular we may be unable to import personal data to the United States, which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countries at significant expense.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 We publish privacy policies, marketing materials and other statements, such as compliance with certain certifications or self-regulatory principles, regarding data privacy and security. Regulators in the United States have scrutinized and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and certain cases have, necessitate changes to our information technologies, systems, and data processing practices and to those of any third parties that process personal data on our behalf.</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data, including personal data (such as health-related data and data related to clinical trials), intellectual property, and trade secrets (collectively, sensitive information).</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particular, ransomware attacks, including by organized criminal threat actors, nation-states, and nation-state-supported actors, are becoming increasingly prevalent and severe and can lead to significant interruptions in our operations,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ind w:right="40"/>
        <w:spacing w:after="0" w:line="266" w:lineRule="auto"/>
        <w:rPr>
          <w:sz w:val="20"/>
          <w:szCs w:val="20"/>
          <w:color w:val="auto"/>
        </w:rPr>
      </w:pPr>
      <w:r>
        <w:rPr>
          <w:rFonts w:ascii="Times New Roman" w:cs="Times New Roman" w:eastAsia="Times New Roman" w:hAnsi="Times New Roman"/>
          <w:sz w:val="18"/>
          <w:szCs w:val="18"/>
          <w:color w:val="auto"/>
        </w:rPr>
        <w:t>acquired or integrated entities, and it may be difficult to integrate companies into our information technology environment and security program. Remote work has increased risks to our information technology systems and data, as our employees utilize network connections, computers and devices outside our premises or network, including working at home, while in transit and in public locations.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We also share or receive sensitive information with or from third parties. Our ability to monitor these third parties’ information security practices is limited, and these third parties may not have adequate information security measures in place. While we may be entitled to damages if our third-party service providers or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or those of the third parties with whom we work, will be effective. We take steps designed to detect, mitigate, and remediate vulnerabilities in our information systems (such as our hardware and/or software, including that of third parties with whom we work), but we may not be able to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services or conduct our operations. For example, a cyber-attack on one of our external contractors during the summer of 2019 resulted in a disruption to patient recruitment in our Phase 3 clinical trial of roluperidone. We expend significant resources and may have to modify our business activities (including our clinical trial activities) to try to protect against security incidents. Certain data privacy and security obligations require us to implement and maintain specific security measures, industry-standard or reasonable security measures to protect our information technology systems and sensitive information.</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or to implement other requirements, such as providing credit monitoring. Such disclosures and compliance with such requirements are costly, and the disclosure or the failure to comply with such requirements could lead to adverse consequences. If we (or a third party with whom we work)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negatively impact our ability to grow and operate our business or disrupt our ability to develop and provide our products and services.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continue to expect to rely on third parties to conduct our future clinical trials. The failure of these third parties to successfully carry out their contractual duties or meet expected deadlines could substantially harm our business because we may not obtain regulatory approval for or commercialize our product candidates in a timely manner or at all.</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plan to rely upon third-party CROs to monitor and manage data for our future clinical programs. We will rely on these parties for execution of our clinical trials, and control only certain aspects of their activities. Nevertheless, we are responsible for ensuring that each of our studies is conducted in accordance with the applicable protocol and legal, regulatory and scientific standards, and our reliance on the CROs does not relieve us of our regulatory responsibilities. We and our CROs are required to comply with current GCPs, which are regulations and guidelines enforced by the FDA, the national competent authorities of EEA countries and comparable foreign regulatory authorities for all of our products in clinical development. Regulatory authorities enforce these GCPs through periodic unannounced inspections of trial sponsors, principal investigators and trial sites. If we or any of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we must conduct our clinical trials with product produced under cGMP requirements. Failure to comply with these regulations may require us to repeat pre-clinical and clinical trials, which would delay the regulatory approval process.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clinical, nonclinical and pre-clinical programs. These CROs may also have relationships with other commercial entities, including our competitors, for whom they may also be conducting clinical trials or other drug development activities that could harm our competitive position. If necessary, 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prospects, financial condition and results of operations.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we may need to conduct additional trials,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adversely affected.</w:t>
      </w:r>
    </w:p>
    <w:p>
      <w:pPr>
        <w:spacing w:after="0" w:line="18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For our product candidates, we rely, and expect to continue to rely, on third parties for the manufacturing of our drug candidates for pre-clinical and clinical testing, as well as for commercial manufacture if any of our drug candidates receive regulatory approval. This reliance on third parties increases the risk that we will not have sufficient quantities of our drug candidates or drugs, or such quantities at an acceptable cost or quality, which could delay, prevent or impair our ability to timely conduct our clinical trials or our other development or commercialization efforts.</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also expect to rely on third-party manufacturers or third-party collaborators for the manufacturing of commercial supply of any other drug candidates for which we or our collaborators obtain regulatory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costs associated with changing suppliers, including additional regulatory filings;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ind w:right="20"/>
        <w:spacing w:after="0" w:line="252" w:lineRule="auto"/>
        <w:rPr>
          <w:sz w:val="20"/>
          <w:szCs w:val="20"/>
          <w:color w:val="auto"/>
        </w:rPr>
      </w:pPr>
      <w:r>
        <w:rPr>
          <w:rFonts w:ascii="Times New Roman" w:cs="Times New Roman" w:eastAsia="Times New Roman" w:hAnsi="Times New Roman"/>
          <w:sz w:val="18"/>
          <w:szCs w:val="18"/>
          <w:color w:val="auto"/>
        </w:rPr>
        <w:t>Moreover, the facilities used by our contract manufacturers to manufacture our products must be approved by the FDA pursuant to inspections that will be conducted after we submit our marketing application to the FDA. Other comparable foreign regulatory authorities have comparable requirements and powers. We, our contract manufacturers, any future collaborators and their contract manufacturers could be subject to periodic unannounced inspections by the FDA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While we are ultimately responsible for the manufacture of our product candidates, other than through our contractual arrangements, we do not control the manufacturing process of, and are dependent on, our contract manufacturing partners for compliance with cGMP requirements, for manufacture of both active drug substances and finished drug products. If our contract manufacturers cannot successfully manufacture material that conforms to our specifications and the strict regulatory requirements of the FDA or other comparable regulatory authorities, we will not be able to secure and/or maintain regulatory approval for their manufacturing facilities. In addition, other than through our contractual agreements, we have limited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Further, our suppliers are subject to regulatory requirements, covering manufacturing, testing, quality control, and record keeping relating to our product candidates, and subject to ongoing inspections by the regulatory authorities.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If on regulatory inspection by the FDA or other comparable foreign regulatory authorities, one or more of our third-party manufacturing vendors are found to be to be noncompliant with cGMP regulation, this may result in shutdown of the third-party vendor or invalidation of drug product lots or processes. In some cases, a product recall may be warranted or required, which would materially affect our ability to supply and market our drug products.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Additionally, our failure, or the failure of our third-party manufacturers, to comply with applicable regulations could result in sanctions being imposed on us, including clinical hold or termination, fines, imprisonment, injunctions, civil penalties, delays, suspension or withdrawal of approvals, license revocation, seizures, refusal to allow product import or export, Warning Letters, Untitled Letters, or recalls of drug candidates or drugs, operating restrictions and criminal prosecutions, any of which could significantly and adversely affect supplies of our drugs.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regulatory approval. We do not currently have arrangements in place for redundant supply or a second source for bulk drug substance. If our current contract manufacturers cannot perform as agreed, we may be required to replace such manufacturers and we may incur added costs and delays in identifying and qualifying any such replacement.</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manufacturing of our drug candidates or drugs may adversely affect our future profit margins and our ability to commercialize any drugs that receive regulatory approval on a timely and competitive basis.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or will be subject to supranational, national, federal, state and local laws in the United States and in Europe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federal authorities or other equivalent national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ind w:right="700"/>
        <w:spacing w:after="0" w:line="282" w:lineRule="auto"/>
        <w:rPr>
          <w:sz w:val="20"/>
          <w:szCs w:val="20"/>
          <w:color w:val="auto"/>
        </w:rPr>
      </w:pPr>
      <w:r>
        <w:rPr>
          <w:rFonts w:ascii="Times New Roman" w:cs="Times New Roman" w:eastAsia="Times New Roman" w:hAnsi="Times New Roman"/>
          <w:sz w:val="18"/>
          <w:szCs w:val="18"/>
          <w:color w:val="auto"/>
        </w:rPr>
        <w:t>materials. Compliance with applicable environmental laws is expensive, and current or future environmental regulations may impair our research, development and production efforts, which could harm our business, prospects, financial condition or results of operations.</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third party collaborators to market and commercialize our product candidates, who may fail to effectively commercialize our product candidates.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utilize strategic partners or contract sales forces, where appropriate, to assist in the commercialization of our product candidates, if approved. We currently possess limited resources and may not be successful in establishing collaborations or co-promotion arrangements on acceptable terms, if at all. We also face competition in our search for collaborators and co-promoters. By entering into strategic collaborations or similar arrangements, we will rely on third parties for financial resources and for development, commercialization, sales and marketing and regulatory expertise. Any collaborators may fail to develop or effectively commercialize our product candidates because they cannot obtain the necessary regulatory approvals, they lack adequate financial or other resources or they decide to focus on other initiatives. Any failure to enter into collaboration or co-promotion arrangements or the failure of our third party collaborators to successfully market and commercialize our product candidates would diminish our revenues and harm our results of operations. In addition, conflicts may arise with our collaborators, such as conflicts concerning the interpretation of clinical data, the achievement of milestones, the interpretation of financial provisions or the ownership of intellectual property. If any conflicts arise with our collaborators, they may act in their self-interest, which may be adverse to our best interest.</w:t>
      </w:r>
    </w:p>
    <w:p>
      <w:pPr>
        <w:spacing w:after="0" w:line="1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collaboration with Mitsubishi Tanabe Pharma Corporation (“MTPC”), and could be seriously harmed if our license agreement with MTPC was terminated.</w:t>
      </w:r>
    </w:p>
    <w:p>
      <w:pPr>
        <w:spacing w:after="0" w:line="15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exclusively license roluperidone, our lead product candidate, from MTPC, with the rights to develop, sell and import roluperidone globally, excluding most of Asia. If our license agreement with MTPC was terminated, it could have a material impact on our operations.</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potential future milestone payments from Royalty Pharma depend on the development and commercialization of seltorexant. We may be obligated to make payments to Royalty Pharma even if Janssen breaches its obligations to pay us.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January 19, 2021, we entered into an agreement with Royalty Pharma under which Royalty Pharma acquired our royalty interest in seltorexant for an upfront payment of $60 million and up to $95 million in future milestone payments that are contingent upon the achievement of certain clinical, regulatory and commercial milestones for seltorexant by Janssen Pharmaceutica NV, one of the Janssen Pharmaceutical Companies of Johnson &amp; Johnson (“Janssen”), or any other party in the event that Janssen sells seltorexant. For more information regarding this arrangement, see the sections titled “Item 1. Business—Overview” and “Item 1. Business—Our Clinical-Stage Programs—Seltorexant (MIN-202)” in this Annual Report on Form 10-K.</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Therefore, we will only realize future payments if Janssen achieves certain milestones over which we have no control. Some or all of the milestones may never be achieved, and we may never receive any such future payments.</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addition, if Janssen breaches its contractual obligations to pay royalties, we will be obligated to Royalty Pharma to provide makeup payments to compensate for the loss of those royalties, which payments could be substantial.</w:t>
      </w:r>
    </w:p>
    <w:p>
      <w:pPr>
        <w:spacing w:after="0" w:line="15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collaborations which could adversely affect our ability to develop future product candidates and commercialize future products.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may also seek to enter into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collaborations or other alternative arrangements for any future product candidates because our research and development pipeline may be insufficient, our product candidates may be deemed to be at too early of a stage of development for collaboration efforts and/or third parties may view our product candidates as lacking the requisite potential to demonstrate safety and efficacy. As a result, we may have to delay the development of a product candidate and attempt to raise significant additional capital to fund development.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None of these licenses give us the right to prepare, file and prosecute patent applications and maintain patents we have licensed, although we may provide comments on prosecution matters, which our licensors may or may not choose to follow. If our licensors elect to discontinue prosecution or maintenance of our licensed patents, we have the right, at our expense, to pursue and maintain those patents and applications.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that protect our technology or products, in whole or in part, or that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our product candidates might expire before or shortly after our product candidates obtain regulatory approval, which may subject us to increased competition and reduce or eliminate our ability to recover our development costs. As a result, our owned and licensed patent portfolio may not provide us with sufficient rights to exclude others from commercializing products similar or identical to ours. Finally, any patent that grants from our U.S. patent applications relating to methods of using MIN-301 to treat neurologic and psychiatric diseases is expected to expire as early as 2028. Although we expect to seek extensions of patent terms where available, including in the United States under the Drug Price Competition and Patent Term Restoration Act of 1984, which permits a patent term extension of up to five years beyond the expiration of the patent, we cannot be certain that an extension will be granted, or if granted, what the applicable time period or the scope of patent protection afforded during any extended period will be. The applicable authorities, including the FDA,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7" w:name="page58"/>
    <w:bookmarkEnd w:id="57"/>
    <w:p>
      <w:pPr>
        <w:ind w:right="60"/>
        <w:spacing w:after="0" w:line="261" w:lineRule="auto"/>
        <w:rPr>
          <w:sz w:val="20"/>
          <w:szCs w:val="20"/>
          <w:color w:val="auto"/>
        </w:rPr>
      </w:pPr>
      <w:r>
        <w:rPr>
          <w:rFonts w:ascii="Times New Roman" w:cs="Times New Roman" w:eastAsia="Times New Roman" w:hAnsi="Times New Roman"/>
          <w:sz w:val="18"/>
          <w:szCs w:val="18"/>
          <w:color w:val="auto"/>
        </w:rPr>
        <w:t>The expiration of composition of matter patent protection with respect to one or more of our product candidates may diminish our ability to maintain a proprietary position for our intended uses of a particular product candidate. Moreover, we cannot be certain that we will be the first applicant to obtain an FDA approval for any indication of one or more of our product candidates and we cannot be certain that it will be entitled to new chemical entity exclusivity. Such diminution of our proprietary position could have a material adverse effect on our business, results of operations and financial condition.</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a party to and rely on several arrangements with third parties, which give us rights to intellectual property that is necessary for the development of our product candidates. In addition, we may enter into similar arrangements in the future. Our current arrangements impose various development, royalty and other obligations on us. If we materially breach these obligations or if our counterparts fail to adequately perform their respective obligations, these exclusive arrangements could be terminated, which would result in our inability to develop, manufacture and sell products that are covered by such intellectual property.</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Competitors may infringe our issued patents or other intellectual property. In some cases, it may be difficult or impossible to detect third-party infringement or misappropriation of our intellectual property rights, even in relation to issued patent claims, and proving any such infringement may be even more difficult. Accordingly, for such undetectable infringement or misappropriation our ability to recover damages will be negligible and we could be at a market disadvantage because we may lack the resources of some of our competitors to monitor for and detect infringement.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any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license or acquire additional patents and intellectual property rights.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One or more third parties may hold intellectual property rights, including patent rights,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If we were not able to obtain a license, or were not able to obtain a license on commercially reasonable terms, our business could be harmed, possibly materially.</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products, and to use our related proprietary technologies. We may become party to, or threatened with, future adversarial proceedings or litigation regarding intellectual property rights with respect to our products, including interference or derivation proceedings before the U.S. Patent and Trademark Office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commercializing our products. However, we may not be able to obtain any required license on commercially reasonable terms or at all. Under certain circumstances, we could be forced, including by court order, to cease commercializing our products. In addition, in any such proceeding or litigation, we could be found liable for monetary damages. Regardless of the outcome, such claims or litigation may be time-consuming and costly to defend, divert management resources and have other adverse effects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our patent rights relating to our product candidates may limit our ability to prevent third parties from competing against us.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our product candidates, preserve our trade secrets, prevent third parties from infringing upon our proprietary rights and operate without infringing upon the proprietary rights of others. Composition-of-matter patents on the biological or chemical active pharmaceutical ingredient are generally considered to be the strongest form of intellectual property protection for pharmaceutical products, as such patents provide protection without regard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8" w:name="page59"/>
    <w:bookmarkEnd w:id="58"/>
    <w:p>
      <w:pPr>
        <w:ind w:right="220"/>
        <w:spacing w:after="0" w:line="266" w:lineRule="auto"/>
        <w:rPr>
          <w:sz w:val="20"/>
          <w:szCs w:val="20"/>
          <w:color w:val="auto"/>
        </w:rPr>
      </w:pPr>
      <w:r>
        <w:rPr>
          <w:rFonts w:ascii="Times New Roman" w:cs="Times New Roman" w:eastAsia="Times New Roman" w:hAnsi="Times New Roman"/>
          <w:sz w:val="18"/>
          <w:szCs w:val="18"/>
          <w:color w:val="auto"/>
        </w:rPr>
        <w:t>any method of use. We have filed and in-licensed composition-of-matter patent applications for all of our product candidates. However, we cannot be certain that the claims in our patent applications to inventions covering our product candidates will be considered patentable by the USPTO and courts in the United States or by the patent offices and courts in foreign countries.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composition-of-matter patents and patent applications, we also have filed method-of-use patent applications. This type of patent protects the use of the product only for the specified method. However, this type of patent does not prevent a competitor from making and marketing a product that is identical to our product for an indication that is outside the scope of the patented method. Moreover, even if these competitors do not actively promote their product for our targeted indication, physicians may prescribe these products “off-label.” Although off-label prescriptions may infringe or contribute to the infringement of method-of-use patents, the practice is common and such infringement is difficult to prevent or prosecute.</w:t>
      </w:r>
    </w:p>
    <w:p>
      <w:pPr>
        <w:spacing w:after="0" w:line="18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Patent applications in the United States and most other countries are confidential for a period of time until they are published, and publication of discoveries in scientific or patent literature typically lags actual discoveries by several months or more. As a result, we cannot be certain that we and the inventors of the issued patents and applications that we may in-license were the first to conceive of the inventions covered by such patents and pending patent applications or that we and those inventors were the first to file patent applications covering such inventions. Also, we have a number of issued patents and numerous patent applications pending before the USPTO and foreign patent offices and the patent protection may lapse before we manage to obtain commercial value from them, which might result in increased competition and materially affect our position in the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w:t>
      </w:r>
    </w:p>
    <w:p>
      <w:pPr>
        <w:spacing w:after="0" w:line="187"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Depending on decisions by the United States Congress, the federal courts, and the USPTO, the laws and regulations governing patents could change in unpredictable ways that would weaken our and our licensors’ or collaborators’ ability to obtain new patents or to enforce existing and future patents.</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or collaborators’ patent applications and the enforcement or defense of our or our licensors’ or collaborators’ issued patents. For example, the Leahy-Smith America Invents Act (“America Invents Act”), includes provisions that affect the way patent applications are prosecuted and may also affect patent litigation. The USPTO developed new regulations and procedures to govern administration of the America Invents Act, and many of the substantive changes to patent law associated with the America Invents Act, and in particular, the first to file provisions, are now effective. While it is still not clear what, if any, impact the America Invents Act will have on the operation of our business, the America Invents Act and its implementation could increase the uncertainties and costs surrounding the prosecution of our or our licensors’ or collaborators’ patent applications and the enforcement or defense of our or our licensors’ or collaborators’ issued patents, all of which could have a material adverse effect on our business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all of our product candidates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hanging="503"/>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own or have exclusively licensed.</w:t>
      </w:r>
    </w:p>
    <w:p>
      <w:pPr>
        <w:ind w:left="1020" w:right="8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make the inventions covered by the issued patents or pending patent applications that we own or have exclusively licensed.</w:t>
      </w: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file patent applications covering certain of our inventions.</w:t>
      </w:r>
    </w:p>
    <w:p>
      <w:pPr>
        <w:spacing w:after="0" w:line="9"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9" w:lineRule="exact"/>
        <w:rPr>
          <w:rFonts w:ascii="Times New Roman" w:cs="Times New Roman" w:eastAsia="Times New Roman" w:hAnsi="Times New Roman"/>
          <w:sz w:val="18"/>
          <w:szCs w:val="18"/>
          <w:color w:val="auto"/>
        </w:rPr>
      </w:pPr>
    </w:p>
    <w:p>
      <w:pPr>
        <w:ind w:left="1020" w:right="46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ind w:left="1020" w:right="68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1"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Many of our employees and contractors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invention and patent assignment agreements with our employees and consultants that obligate them to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from using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ind w:right="360"/>
        <w:spacing w:after="0" w:line="282" w:lineRule="auto"/>
        <w:rPr>
          <w:sz w:val="20"/>
          <w:szCs w:val="20"/>
          <w:color w:val="auto"/>
        </w:rPr>
      </w:pPr>
      <w:r>
        <w:rPr>
          <w:rFonts w:ascii="Times New Roman" w:cs="Times New Roman" w:eastAsia="Times New Roman" w:hAnsi="Times New Roman"/>
          <w:sz w:val="18"/>
          <w:szCs w:val="18"/>
          <w:color w:val="auto"/>
        </w:rPr>
        <w:t>that technology or information to compete with us. If any of our trade secrets were to be disclosed to or independently developed by a competitor, our competitive position would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what the market price of our common stock will be and, as a result, it may be difficult for you to sell your shares of our common stock.</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 inactive market may impair our ability to raise capital by selling shares of our common stock and may impair our ability to enter into strategic partnerships or acquire companies or products by using our shares of common stock as consideration.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we cannot control. As a result of this volatility, investors may not be able to sell their securities at a profit. The market price of our securities could be subject to wide fluctuations in response to a variety of factors, including but not limited to:</w:t>
      </w:r>
    </w:p>
    <w:p>
      <w:pPr>
        <w:spacing w:after="0" w:line="6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our preclinical or clinical trials or those of our competitors;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including adverse regulatory decision, with respect to our products or our competitors’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or commercialize any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limited market sizes or pricing for any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strategic collaborations or enter into new collaborations;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9" w:lineRule="exact"/>
        <w:rPr>
          <w:rFonts w:ascii="Times New Roman" w:cs="Times New Roman" w:eastAsia="Times New Roman" w:hAnsi="Times New Roman"/>
          <w:sz w:val="18"/>
          <w:szCs w:val="18"/>
          <w:color w:val="auto"/>
        </w:rPr>
      </w:pPr>
    </w:p>
    <w:p>
      <w:pPr>
        <w:ind w:left="1020" w:right="640" w:hanging="503"/>
        <w:spacing w:after="0" w:line="25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or any inability to obtain additional funding;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9" w:lineRule="exact"/>
        <w:rPr>
          <w:rFonts w:ascii="Times New Roman" w:cs="Times New Roman" w:eastAsia="Times New Roman" w:hAnsi="Times New Roman"/>
          <w:sz w:val="18"/>
          <w:szCs w:val="18"/>
          <w:color w:val="auto"/>
        </w:rPr>
      </w:pPr>
    </w:p>
    <w:p>
      <w:pPr>
        <w:ind w:left="1020" w:right="480" w:hanging="503"/>
        <w:spacing w:after="0" w:line="25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changes in the structure of healthcare payment systems, including coverage and reimbursement;</w:t>
      </w:r>
    </w:p>
    <w:p>
      <w:pPr>
        <w:ind w:left="1020" w:right="220" w:hanging="503"/>
        <w:spacing w:after="0" w:line="25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stockholder litigation and litigation filed by us or filed against us pertaining to patent infringement or other violations of intellectual property rights;</w:t>
      </w: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including in connection with the war in Ukraine, which has resulted in decreased stock prices for many companies notwithstanding the lack of a fundamental change in their underlying business models or prospects. Biopharmaceutical companies in particular have experienced extreme price and volume fluctuations that have often been unrelated or disproportionate to the operating performance of these companies. Broad market and industry factors, including potentially worsening economic conditions, increased inflation and other adverse effects or developments, including political, regulatory and other market conditions, may negatively affect the market price of shares of our common stock, regardless of our actual operating performance. The market price of shares of our common stock may decline, and you may lose some or all of your investment.</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61" w:name="page62"/>
    <w:bookmarkEnd w:id="61"/>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our knowledge, our executive officers, directors, holders of 5% or more of our capital stock and their respective affiliates beneficially own approximately 42.2% of our voting stock as of December 31, 2024, including 19.3% held by funds affiliated with Federated Hermes, Inc. (“Federated”) and 18.2% held by BI (as defined below). Accordingly, Federated and BI will have significant influence in determining the outcome of any corporate transaction or other matter submitted to the stockholders for approval, including mergers, consolidations, and the sale of all or substantially all of our assets and other significant corporate actions. Unless full participation of all stockholders takes place in such stockholder meetings, Federated and/or BI may be able to approve such matters itself. This concentration of ownership may (i) delay or deter a change of control of our Company; (ii) deprive stockholders of an opportunity to receive a premium for their common stock as part of a sale of our Company; and (iii) affect the market price and liquidity of our common stock. In conjunction with the Private Placement (as defined below), we provided BI with the right to designate an observer at all meetings of our board of directors and any committee thereof so long as BI holds not less than 10% of shares of our common stock (including shares of common stock issuable upon exercise of pre-funded warrants), unless a change of control of the Company occurs sooner. The interests of our executive officers, directors, holders of 5% or more of our capital stock and their respective affiliates may not always coincide with the interests of other stockholders and they may act in a manner that advances their best interests and not necessarily those of other stockholders. The effect of these rights and these principal stockholders’ influence may impact the price that investors are willing to pay for our securities. If these principal stockholders sell a substantial number of shares of our common stock in the public market, the market price of our common stock could be adversely impacted. The perception among the public that these sales will occur could also contribute to a decline in the market price of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existing stockholders sell, or if the market perceives that our existing stockholders intend to sell, substantial amounts of our common stock in the public market, the market price of our common stock could decline significantly. These sales, or the possibility that these sales may occur, might also make it more difficult for us to sell equity securities in the future at a time and price that we deem appropriate. See also the risk factor above titled “</w:t>
      </w:r>
      <w:r>
        <w:rPr>
          <w:rFonts w:ascii="Times New Roman" w:cs="Times New Roman" w:eastAsia="Times New Roman" w:hAnsi="Times New Roman"/>
          <w:sz w:val="18"/>
          <w:szCs w:val="18"/>
          <w:i w:val="1"/>
          <w:iCs w:val="1"/>
          <w:color w:val="auto"/>
        </w:rPr>
        <w:t>Our principal stockholders and management own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percentage of our stock and will be able to exert significant control over matters subject to stockholder approval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In addition, in the future, we may issue shares of common stock, or other equity or debt securities convertible into common stock, in connection with a financing, acquisition, employee arrangement or otherwise. Any such issuance, including pursuant to any at-the-market agreements, such as the at-the-market offering program that we entered into with Jefferies LLC in September 2022, could result in substantial dilution to our existing stockholders and could cause the price of our common stock to decline.</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continue to have broad discretion over the use of the proceeds we received in our public offerings, private placements, warrant exercises and loans and might not apply the proceeds in ways that increase the value of your investment.</w:t>
      </w:r>
    </w:p>
    <w:p>
      <w:pPr>
        <w:spacing w:after="0" w:line="15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Our management will continue to have broad discretion to use the net proceeds from our public offerings, private placements, warrant exercises and loans and you will be relying on the judgment of our management regarding the application of these proceeds. Our management might not apply our net proceeds in ways that ultimately increase the value of your investment. Because of the number and variability of factors that will determine our use of the remaining net proceeds from our initial public offering, follow-on public offering and other financing transactions, their ultimate use may vary substantially from their currently intended use. If we do not invest or apply the net proceeds from our public offerings, private placements, warrant exercises and loans in ways that enhance stockholder value, we may fail to achieve the expected financial results, which could cause our stock price to decline.</w:t>
      </w:r>
    </w:p>
    <w:p>
      <w:pPr>
        <w:spacing w:after="0" w:line="16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equity and debt securities could result in additional dilution to our stockholders and could place restrictions on our operations and assets, and such securities could have rights, preferences and privileges senior to those of our common stock.</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fund our planned operations, including to complete clinical trials for our product candidates. To raise capital, we may sell common stock, convertible securities or other equity securities in one or more transactions at prices and in a manner that we will determine from time to time. If we sell common stock, convertible securities or other equity securities, existing stockholders may be materially diluted by subsequent sales, and new investors could gain rights, preferences and privileges senior to the holders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2013 Equity Incentive Plan, our management is authorized to grant stock options and other equity-based awards of up to 2,078,917 shares to our employees, directors and consultants. To the extent that new awards are granted and exercised or settled, or we issue additional shares of common stock in the future, our stockholders may experience additional dilution, which could cause our stock price to fall.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being a public company.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costs. We are subject to the reporting requirements of the Exchange Act, which requires, among other things, that we file with the Securities and Exchange Commission (“SEC”), annual, quarterly and current reports with respect to our business and financial condition. In addition, changing laws, regulations and standards relating to corporate governance and public disclosure, including regulations implemented by the SEC and The Nasdaq Stock Market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results in increased general and administrative expenses and a diversion of management’s time and attention. If we do not comply with new laws, regulations and standards, regulatory authorities may initiate legal proceedings against us and our business may be harmed.</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because we have opted to use the reduced reporting requirements available to us, certain investors may find investing in our securities less attractive.</w:t>
      </w:r>
    </w:p>
    <w:p>
      <w:pPr>
        <w:spacing w:after="0" w:line="159"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under the SEC’s disclosure rules, meaning that we have either: (i) a public float of less than $250 million; or (ii) annual revenues of less than $100 million during the most recently completed fiscal year; and no public float; or a public float of less than $700 million.</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a smaller reporting company, we are permitted to comply with scaled-back disclosure obligations in our SEC filings compared to other issuers, including with respect to disclosure obligations regarding executive compensation in our periodic reports and proxy statements. We have elected to adopt the accommodations available to smaller reporting companies. Until we cease to be a smaller reporting company, the scaled-back disclosure in our SEC filings will result in less information about our company being available than for other public companies. If investors consider our common shares less attractive as a result of our election to use the scaled-back disclosure permitted for smaller reporting companies, there may be a less active trading market for our common shares and our share price may be more volatile.</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also a non-accelerated filer under the Exchange Act of 1934, and we are not required to comply with the auditor attestation requirements of Section 404(b) of the Sarbanes-Oxley Act of 2002. Therefore, our internal controls over financial reporting will not receive the level of review provided by the process relating to the auditor attestation included in annual reports of issuers that are subject to the auditor attestation requirements. In addition, we cannot predict if investors will find our common shares less attractive because we are not required to comply with the auditor attestation requirements. We cannot predict if investors will find our securities less attractive because we rely on these available exemptions. If some investors find our securities less attractive as a result, there may be a less active trading market for our securities and the market price of our securities may be more volatile.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litigation could result in substantial damages and may divert management’s time and attention from our business.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We have and may become the target of securities litigation in the future. The outcome of litigation is necessarily uncertain, and we could be forced to expend significant resources in the defense of such suits, and we may not prevail. Monitoring and defending against legal actions is time-consuming for our management and detracts from management’s ability to fully focus our internal resources on our business activities. In addition, we may incur substantial legal fees and costs in connection with any such litigation. We have not established any reserves for any potential liability relating to any such potential lawsuits. It is possible that we could, in the future, incur judgments or enter into settlements of claims for monetary damages. We currently maintain insurance coverage for some of these potential liabilities. Other potential liabilities may not be covered by insurance, insurers may dispute coverage or the amount of insurance may not be enough to cover damages awarded. In addition, certain types of damages may not be covered by insurance, and insurance coverage for all or certain forms of liability may become unavailable or prohibitively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60"/>
        <w:spacing w:after="0" w:line="282" w:lineRule="auto"/>
        <w:rPr>
          <w:sz w:val="20"/>
          <w:szCs w:val="20"/>
          <w:color w:val="auto"/>
        </w:rPr>
      </w:pPr>
      <w:r>
        <w:rPr>
          <w:rFonts w:ascii="Times New Roman" w:cs="Times New Roman" w:eastAsia="Times New Roman" w:hAnsi="Times New Roman"/>
          <w:sz w:val="18"/>
          <w:szCs w:val="18"/>
          <w:color w:val="auto"/>
        </w:rPr>
        <w:t>expensive in the future. A decision adverse to our interests on one or more legal matters or litigation could result in the payment of substantial damages, or possibly fines, and could have a material adverse effect on our reputation, financial condition and results of operations.</w:t>
      </w:r>
    </w:p>
    <w:p>
      <w:pPr>
        <w:spacing w:after="0" w:line="15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such that not all members of the board are elected at one time;</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authorized number of directors to be changed only by resolution of our board of directors;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removal of directors by the stockholders;</w:t>
      </w:r>
    </w:p>
    <w:p>
      <w:pPr>
        <w:spacing w:after="0" w:line="9"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the terms of which may be established and shares of which may be issued without stockholder approval;</w:t>
      </w: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thereby requiring all stockholder actions to be taken at a meeting of our stockholders;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w:t>
      </w:r>
    </w:p>
    <w:p>
      <w:pPr>
        <w:spacing w:after="0" w:line="9"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than can be acted upon at stockholder meetings; and</w:t>
      </w:r>
    </w:p>
    <w:p>
      <w:pPr>
        <w:ind w:left="1020" w:right="120" w:hanging="503"/>
        <w:spacing w:after="0" w:line="26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approval of the holders of at least 66 2/3% of the votes that all of our stockholders would be entitled to cast to amend or repeal our bylaws.</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pursuant to the Delaware General Corporation Law, our amended and restated certificate of incorporation, as amended, or our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amended and restated bylaws to be inapplicable or unenforceable in an action, we may incur additional costs associated with resolving such action in other jurisdictions, which could harm our business and financial condition.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inaccurate or unfavorable research about our business, our stock price and trading volume could decline.</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and we currently intend to retain our future earnings, if any, to fund the development and growth of our business. In addition, the terms of our credit facility limit our ability to pay cash dividends on our capital stock. We do not anticipate paying any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you purchase shares of our common stock.</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Capital Market which could negatively impact the price of our common stock, liquidity and our ability to access the capital markets.</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“NERV.” The listing standards of The Nasdaq Capital Market provide that a company, in order to qualify for continued listing, must maintain a minimum stock price of $1.00 and satisfy standards relative to minimum stockholders’ equity, minimum market value of publicly held shares and various additional requirements. If Nasdaq delists our securities from trading on its exchange for failure to meet the listing standards, we and our stockholders could face significant negative consequences including:</w:t>
      </w:r>
    </w:p>
    <w:p>
      <w:pPr>
        <w:spacing w:after="0" w:line="72"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Delisting from The Nasdaq Capital Market could also result in other negative consequences, including the potential loss of confidence by suppliers, customers and employees, the loss of institutional investor interest, fewer business development opportunities and potential liabilities arising from stockholder litigation or other disputes.</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April 10, 2024, we received written notice from Nasdaq notifying us that for the last 31 consecutive business days, our minimum Market Value of Listed Securities was below the minimum of $35 million required for continued listing on The Nasdaq Capital Market pursuant to Nasdaq Listing Rule 5550(b)(2) (the “MVLS Rule”).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10, 2025, we received a notice from Nasdaq indicating that following our hearing before the Nasdaq Hearings Panel (the “Panel”) on December 10, 2024, the Panel has granted our request for continued listing on Nasdaq, subject to the following: (1) on or before March 31, 2025, we will have filed a public disclosure describing the transactions undertaken by us to achieve compliance and demonstrate long-term compliance with Nasdaq Listing Rule 5550(b)(1) (the “Equity Rule”), which requires issuers listed on The Nasdaq Capital Market to maintain minimum stockholders’ equity of $2.5 million, and will have provided an indication of our equity following those transactions; and (2) on or before March 31, 2025, we must have provided the Panel with income projections for the next 12 months, with all underlying assumptions clearly stated, and evidence compliance with all applicable criteria for continued listing on The Nasdaq Capital Market.</w:t>
      </w:r>
    </w:p>
    <w:p>
      <w:pPr>
        <w:spacing w:after="0" w:line="18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are working to prepare and file, as applicable, the documents described above by March 31, 2025 to enable us to regain compliance with Nasdaq’s listing standards. Notwithstanding, there can be no assurance that we will be able to regain compliance with Nasdaq’s listing standards, including the continued listing requirements under the Equity Rule or the MVLS Rule, that we will be able to maintain compliance with the other continued listing requirements set forth in Nasdaq’s listing standards or that we will be able to continue our listing on Nasdaq.</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5" w:name="page66"/>
    <w:bookmarkEnd w:id="65"/>
    <w:p>
      <w:pPr>
        <w:ind w:right="280"/>
        <w:spacing w:after="0" w:line="282" w:lineRule="auto"/>
        <w:rPr>
          <w:sz w:val="20"/>
          <w:szCs w:val="20"/>
          <w:color w:val="auto"/>
        </w:rPr>
      </w:pPr>
      <w:r>
        <w:rPr>
          <w:rFonts w:ascii="Times New Roman" w:cs="Times New Roman" w:eastAsia="Times New Roman" w:hAnsi="Times New Roman"/>
          <w:sz w:val="18"/>
          <w:szCs w:val="18"/>
          <w:color w:val="auto"/>
        </w:rPr>
        <w:t>In particular, our share price may continue to decline for a number of reasons, including many that are beyond our control. See the risk factor captioned “</w:t>
      </w:r>
      <w:r>
        <w:rPr>
          <w:rFonts w:ascii="Times New Roman" w:cs="Times New Roman" w:eastAsia="Times New Roman" w:hAnsi="Times New Roman"/>
          <w:sz w:val="18"/>
          <w:szCs w:val="18"/>
          <w:i w:val="1"/>
          <w:iCs w:val="1"/>
          <w:color w:val="auto"/>
        </w:rPr>
        <w:t>The market price of our stock may be volatile, and you could lose all or part of your investment.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If we fail to comply with the continued listing standards of The Nasdaq Capital Market, we may seek to list our common stock on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patient data, and data related to our clinical trials (“Information Systems and Data”).</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Company’s information security function and third-party service providers help identify, assess and manage the Company’s cybersecurity threats and risks, including through the use of the Company’s risk assessment process. The Company’s information security function and third-party service providers identify and assess risks from cybersecurity threats by monitoring and evaluating our threat environment and risk profile using various methods including, for example:</w:t>
      </w:r>
    </w:p>
    <w:p>
      <w:pPr>
        <w:spacing w:after="0" w:line="72"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tools;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to reports and services that identify cybersecurity threats;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reports of threats and actors;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scans of the threat environment;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our and our industry’s risk profile;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threats reported to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audits;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threat assessments for internal and external threats;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vulnerability assessments to identify vulnerabilities;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external intelligence feeds.</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incident response plan;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detection and response processes;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disaster recovery/business continuity plan;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encryption of certain data;</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controls;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controls;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tracking and disposal;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monitoring;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insurance;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cybersecurity staff.</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6" w:name="page67"/>
    <w:bookmarkEnd w:id="66"/>
    <w:p>
      <w:pPr>
        <w:ind w:right="300"/>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the Company's information security function works with management, including our Chief Operating Officer (“COO”) to prioritize our risk management processes and mitigate cybersecurity threats that are more likely to lead to a material impact to our business.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external IT service provider;</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firms, including legal counsel;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consultants;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cybersecurity service providers;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 firms.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contract research organizations and contract manufacturing organizations. As part of our vendor security due diligence and to manage cybersecurity risks associated with our use of certain vendors, we perform risk assessments on vendors and may include cybersecurity obligations in our contracts with them. Depending on the nature of the services provided, the sensitivity of the Information Systems and Data at issue, and the identity of the provider, our vendor due diligence involves different levels of assessment designed to help identify cybersecurity risks associated with a provider. For example, we may impose contractual obligations related to cybersecurity on the provider.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 in this Annual Report on Form 10-K, including:</w:t>
      </w:r>
    </w:p>
    <w:p>
      <w:pPr>
        <w:spacing w:after="0" w:line="205" w:lineRule="exact"/>
        <w:rPr>
          <w:sz w:val="20"/>
          <w:szCs w:val="20"/>
          <w:color w:val="auto"/>
        </w:rPr>
      </w:pPr>
    </w:p>
    <w:p>
      <w:pPr>
        <w:ind w:left="1020" w:right="60" w:hanging="503"/>
        <w:spacing w:after="0" w:line="267"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COO.</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COO is responsible for managing our information security function and overseeing our third-party information technology service providers. The COO is also responsible for helping to integrate cybersecurity risk considerations into the Company’s overall risk management strategy, communicating key priorities to relevant personnel, and approving budgets. Our outsourced Chief Technology Officer, who has over 20 years in executive-level IT and cybersecurity roles, is responsible for developing and implementing our technology environment and cybersecurity framework, helping the Company prepare for cybersecurity incidents, approving and implementing certain cybersecurity processes, and reviewing security assessments and other security-related reports.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plan is designed to escalate certain cybersecurity incidents to members of management depending on the circumstances, including the COO and Chief Financial Officer (“CFO”). The COO and CFO work with the other members of the Company’s incident response team to help the Company mitigate and remediate cybersecurity incidents of which they are notified. In addition, the Company will report to the audit committee of the board of directors for certain cybersecurity incidents.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audit committee receives periodic updates from the CFO and finance department concerning the Company’s significant cybersecurity threats and risk and the processes the Company has implemented to address them. The audit committee also receives various updates, summaries or presentations related to cybersecurity threats, risk and mitigation.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1500 District Avenue, Burlington, MA 01803. We lease this facility, which consists of approximately 491 square feet of office space. The lease is on a month-to-month basis commencing on February 1, 2025, with a monthly payment of $9,106. The term of the previous lease agreements for this space was from July 15, 2022 through January 31, 2025. We believe that our existing facility is sufficient for our current needs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Form 10-K,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common stock was traded on the Nasdaq Global Market under the symbol “NERV” from our initial public offering on July 1, 2014 until September 11, 2022. Effective September 12, 2022, our common stock began trading on The Nasdaq Capital Market under the symbol “NERV.”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the close of business on February 20, 2025, there were approximately 35 holders of record of our common stock, including Cede &amp; Co., a nominee for The Depository Trust Company (“DTC”), which holds shares of our common stock on behalf of an indeterminate number of beneficial owners. All of the shares of common stock held by brokerage firms, banks and other financial institutions as nominees for beneficial owners are deposited into participant accounts at DTC, and are considered to be held of record by Cede &amp; Co. as one stockholder. Because many of our shares are held by brokers and other institutions on behalf of stockholders, we are unable to estimate the total number of stockholders represented by these record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 plan information required by this Item is incorporated by reference to the information in Part III, Item 12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developing roluperidone for the treatment of negative symptoms in patients with schizophrenia and have exclusive rights to develop and commercialize MIN-301 for the treatment of Parkinson’s disease. In addition, we previously co-developed seltorexant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Phase 3 development of seltorexant and as a result,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w:t>
      </w:r>
    </w:p>
    <w:p>
      <w:pPr>
        <w:spacing w:after="0" w:line="19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On February 26, 2024, the FDA issued a Complete Response Letter (“CRL”) regarding our NDA for roluperidone. Since receiving the CRL, we have continued to have interactions with the FDA with the goal of addressing the questions raised in the CRL.</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December 31, 2024 and 2023, we had an accumulated deficit of $395.4 million and $396.8 million, respectively. For the years ended December 31, 2024 and 2023, we recorded net income of $1.4 million and a net loss of $30.0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Regulatory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 (MIN-101)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Complete Response Letter (CRL)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26, 2024, the FDA issued a CRL to our NDA for roluperidone for the treatment of negative symptoms in patients with schizophrenia.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CRL, the FDA cited the following clinical deficiencies:</w:t>
      </w:r>
    </w:p>
    <w:p>
      <w:pPr>
        <w:spacing w:after="0" w:line="99" w:lineRule="exact"/>
        <w:rPr>
          <w:sz w:val="20"/>
          <w:szCs w:val="20"/>
          <w:color w:val="auto"/>
        </w:rPr>
      </w:pPr>
    </w:p>
    <w:p>
      <w:pPr>
        <w:ind w:left="1020" w:right="4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one study (MIN-101C03) demonstrated statistical significance on the primary efficacy endpoint, it is insufficient on its own to establish substantial evidence of effectiveness.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on concomitant antipsychotic administration.</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needed to establish that the change in negative symptoms of schizophrenia with roluperidone treatment was clinically meaningful.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ind w:left="1020" w:right="2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submitted safety database included an inadequate number of subjects exposed to roluperidone at the proposed dose (64 mg) for at least 12 months.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the observed effect on negative symptoms with roluperidone treatment corresponds to a clinically meaningful change, and to demonstrate the long-term safety of the proposed dose.</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to the clinical deficiencies described above, the FDA also provided comments on, among other items, clinical pharmacology, product quality, biopharmaceutics, and nonclinical issues.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1b Clinical Trial (MIN-101C18)</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first quarter of 2024, we completed a clinical trial initiated in October 2023 to evaluate the safety, tolerability, pharmacodynamics and pharmacokinetics of the co-administration of roluperidone and olanzapine in adult subjects with moderate to severe negative symptoms of schizophrenia. This clinical trial (NCT06107803) was designed to investigate the pharmacodynamic and pharmacokinetic effects and safety of the concomitant therapy of roluperidone with an established and widely used antipsychotic.</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enrolled 17 male and female subjects with moderate to severe negative symptoms of schizophrenia for this study. Out of the 17 enrolled subjects, 13 completed all 17 days of daily dosing with roluperidone 64 mg (for 7 days) and roluperidone with olanzapine 10 mg (for 10 additional days). Two subjects withdrew consent after enrollment, one patient was discontinued due to a major protocol deviation, and one was discontinued due to a treatment-unrelated serious adverse event. Roluperidone administered concomitantly with olanzapine was generally well tolerated and no unexpected safety signals were detected, with few treatment-emergent adverse events (TEAEs) reported, most of which were mild, and all resolved without sequelae. We observed no emergent clinically significant electrocardiogram or laboratory abnormalities during the study. We observed no symptomatic worsening during the administration of roluperidone alone (7 days) or when administered in combination with olanzapine at 10 mg (10 days). The study demonstrated that pharmacokinetic interactions between the two drugs were not relevant.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Drug Application Filed</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27, 2023, the FDA filed our NDA for roluperidone for the treatment of negative symptoms in patients with schizophrenia. The decision to file the NDA followed our request for formal dispute resolution and appeal of the RTF. The issues cited in the RTF decision included those discussed at the Type C meeting in March 2022. In granting the appeal, the FDA deciding official agreed with us that the issues cited in the RTF decision should be considered during the FDA’s review of the NDA.</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8, 2023, we received confirmation from the FDA that the NDA for roluperidone has been filed in accordance with the Appeal Granted letter dated April 27, 2023 and assigned a standard review classification and a Prescription Drug User Fee Act (“PDUFA”) goal date of February 26, 2024. The FDA advised that it identified potential review issues that had been previously cited in the RTF decision letter, which included those discussed at a Type C meeting in March 2022, described further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Drug Application Submission</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August 2022, we submitted an NDA to the FDA for roluperidone for the treatment of negative symptoms in patients with schizophrenia. The NDA submission is supported by results from two late-stage, well-controlled studies in patients with moderate to severe negative symptoms and stable positive symptoms of schizophrenia, referred to as Study MIN-101C03 (the Phase 2b trial) and Study MIN-101C07 (the Phase 3 trial). Both studies were planned to constitute the bulk of evidence of roluperidone’s effectiveness for the indication of treating negative symptoms of schizophrenia. This plan relied on both studies having the same overall study design: both were multicenter, multinational, randomized, double-blind, placebo-controlled, parallel-group studies in which patients received either 32 mg or 64 mg doses of roluperidone. In both studies, if patients were taking antipsychotic treatments, they were discontinued and a washout period of at minimum two days was implemented before beginning the assigned study treatment. Both studies capture comparative placebo-controlled data through their 12-week double-blind period. Both studies also provide long-term exposure data regarding the safety and tolerability of roluperidone, as well as efficacy based on blinded doses of roluperidone, specifically intended to demonstrate the maintenance of improvement in negative symptoms and the low rate of worsening of positive symptoms following 24-week (Study MIN-101C03) and 40-week (Study MIN-101C07) Open Label (“OL”) periods. With the exception of the duration of the OL period, these two studies were nearly identical with respect to patient population and main assessment tools (namely, Positive and Negative Syndrome Scale (“PANSS”), Personal and Social Performance Scale (“PSP”), and Clinical Global Impression (“CGI”)). As such, the data from these studies are the basis for the decision to submit the application at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this stage of development as we believe they provide data to support the long-term safety and efficacy in adults in an area of high unmet medical need.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seeking approval for the 64 mg dose of roluperidone, and results described hereafter are for the 64 mg dose only.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Results of Study MIN-101C03 supported the primary hypothesis that after 12 weeks of treatment, roluperidone is superior to placebo in reducing negative symptoms of schizophrenia. In the primary efficacy analysis, 64 mg roluperidone resulted in a statistically significant reduction of negative symptoms of schizophrenia as measured by PANSS Pentagonal Structured Model Negative score (“PSM”) (p ≤ 0.0036). A post hoc analysis of the change from Baseline to Week 12 in the PANSS Marder’s Negative Symptoms Factor Score (“NSFS”) also demonstrated a statistically significant difference for 64 mg roluperidone compared with placebo (p ≤ 0.001). Statistically significant improvements with 64 mg roluperidone compared with placebo after 12 weeks of the Double Blind (“DB”) period were also seen for multiple secondary/exploratory efficacy analyses. Further improvements in the NSFS were also seen during the 24-week OL period.</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superiority of roluperidone over placebo was also demonstrated in Study MIN-101C07. Although the primary analysis (intent-to-treat (“ITT”)) of change from Baseline in the NSFS to Week 12 for roluperidone compared to placebo marginally missed statistical significance (p ≤ 0.064), the results were quantitatively superior for 64 mg roluperidone treatment. Furthermore, the analysis of the modified intent-to-treat (“mITT”) population (mITT data set excludes data from one clinical site with implausible results for the 17 patients recruited at this site) demonstrated a nominal statistically significant improvement in the NSFS for 64 mg roluperidone compared to placebo (p ≤ 0.044). In addition, statistically significant improvements (unadjusted) in the NSFS from Baseline were seen as early as Weeks 4 and 8 for 64 mg roluperidone compared to placebo for both the ITT and the mITT populations. PSP Total score (sole key secondary endpoint measuring vocational and social skills) reached statistical significance for both ITT and mITT populations (p ≤ 0.022 and p ≤ 0.017, respectively). Further improvements in the NSFS and PSP Total score were also seen during the 40-week OL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 C Meeting</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April 2022, we received the official meeting minutes from the Type C meeting with the FDA held on March 2, 2022, in which the development of roluperidone for the treatment of negative symptoms in schizophrenia was discussed. Four main topics (listed below) were highlighted by the FDA for which they requested input and further clarification from us. Following the meeting, we provided additional data to address:</w:t>
      </w:r>
    </w:p>
    <w:p>
      <w:pPr>
        <w:spacing w:after="0" w:line="68" w:lineRule="exact"/>
        <w:rPr>
          <w:sz w:val="20"/>
          <w:szCs w:val="20"/>
          <w:color w:val="auto"/>
        </w:rPr>
      </w:pPr>
    </w:p>
    <w:p>
      <w:pPr>
        <w:ind w:left="1020" w:right="12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roluperidone administration on the efficacy and safety of antipsychotic drugs.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w:t>
      </w:r>
    </w:p>
    <w:p>
      <w:pPr>
        <w:spacing w:after="0" w:line="7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US and non-US schizophrenia patients. More specifically, the Division wanted to be reassured that data collected in MIN-101C03 in non-US patients is applicable to US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statistical evidence of efficacy of roluperidone on negative symptoms.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clinicians to identify patients who might benefit from roluperidone.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Seltorexant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for a $60 million cash payment and up to an additional $95 million in potential milestone payments, subject to completion of Phase 3 trials by Janssen and regulatory approvals. The $60 million payment received from Royalty Pharma has been included on our balance sheet under liability related to the sale of future royalties.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further discussion of the sale of future royalties, please refer to Note 5, Sale of Future Royalties, to our financial statements appearing elsewhere in this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MIN-301</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2021, we made the strategic decision to focus our limited resources on moving forward our lead drug candidate, roluperidone, and deferred the development of MIN-301 until additional resources become available. As a result of our limited resources and development deferral combined with the overall market conditions, we recognized a non-cash charge of $15.2 million as of December 31, 2021 related to the impairment of the intangible asset for MIN-301. We had previously recognized in-process research and development for MIN-301 in conjunction with the acquisition of MIN-301 during 2014. No updates were made in respect of the development of MIN-301 during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 license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historic direct costs relating to each of our product candidates are summarized as follows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Roluperidone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MIN-117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MIN-301</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8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-170815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Gains (Losses)</w:t>
      </w:r>
    </w:p>
    <w:p>
      <w:pPr>
        <w:spacing w:after="0" w:line="229"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Foreign exchange gains (losses) are comprised primarily of gains and (losses)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gain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 consists of the non-cash interest expense associated with the Royalty Pharma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consists of the gain associated with the adjustment to the carrying amount of the liability related to the sale of future royalties.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Losses Carryforwards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$156.8 million of federal net operating losses that will begin to expire in 2036, if not utilized. Of the total federal net operating loss, approximately $135.4 million has an unlimited carryforward and therefore will not expire. As of December 31, 2024, we had approximately $7.7 million of New Jersey and approximately $148.1 million of Massachusetts operating losses that will begin to expire in 2029 and 2037, respectively, if not utilized.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December 31, 2023 (in thousands):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10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(21,848 )</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(23,119 )</w:t>
            </w:r>
          </w:p>
        </w:tc>
      </w:tr>
      <w:tr>
        <w:trPr>
          <w:trHeight w:val="216"/>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(4,562 )</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(8,283 )</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6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(30,005 )</w:t>
            </w: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-1148080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-1148080</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$11.9 million and $12.7 million for the years ended December 31, 2024 and 2023, respectively, a decrease of $0.8 million. The decrease in research and development expenses was primarily due to costs associated with the C18 study and lower compensation expenses, partially offset by higher costs associated with our drug substance validation campaign. Non-cash stock compensation costs included in research and development expenses were $0.5 million and $0.9 million for the years ended December 31,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$9.9 million and $10.4 million for the years ended December 31, 2024 and 2023, respectively, a decrease of $0.5 million. The decrease in general and administrative expenses was primarily due to lower compensation expenses, partially offset by higher professional service fees. Non-cash stock compensation costs included in general and administrative expenses were $0.9 million and $1.1 million for the years ended December 31,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Foreign exchange losses were $2 thousand and $40 thousand for the years ended December 31, 2024 and 2023, respectively, a decrease of $38 thousand, primarily due to currency movements.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Investment income was $1.3 million and $1.4 million for the years ended December 31, 2024 and 2023, respectively, a decrease of approximately $0.1 million, primarily due to cash and cash equivalents balances and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$4.6 million and $8.3 million for the years ended December 31, 2024 and 2023, respectively, a decrease of $3.7 million. The decrease in non-cash interest expense for the sale of future royalties was due to revising our estimates for the timing and amount of future royalty payments to be received under the royalty arrangement. During the third quarter of 2024, we adjusted the carrying amount of our liability related to the sale of future royalties to the initial payment of $60 million. This adjustment resulted in the recognition of $26.6 million in other income during the third quarter of 2024, representing the amount of non-cash interest expense amortized through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Other income was $26.6 million and zero for the years ended December 31, 2024 and 2023, respectively, an increase of $26.6 million, due to recognizing other income in the third quarter of 2024 as a result of the adjustment to the carrying amount of the liability related to the sale of future royalties.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As of December 31, 2024, we had an accumulated deficit of approximately $395.4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December 31, 2024, we had approximately $21.5 million in cash, cash equivalents, and restricted cash, which we believe will be sufficient to meet our operating commitments for the next 12 months from the date our financial statements are issued. Our cash requirements primarily relate to expenditures to support the development of roluperidone, which includes advancing the program through the regulatory process.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Common Stock and Warrants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27, 2023, we entered into a securities purchase agreement with certain institutional accredited investors, pursuant to which we agreed to issue and sell in a private placement (i) an aggregate of 1,425,000 shares of our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30, 2023, we received aggregate gross proceeds under the private placement of $20.0 million and incurred approximately $0.4 million in offering expenses. Pursuant to the securities purchase agreement, we filed a registration statement on Form S-3 (File No. 333-273686), which was declared effective by the SEC on August 9, 2023, covering the resale of the Registrable Securities (as defined in the securities purchase agreement). In connection with the private placement, on August 29, 2023, Boehringer Ingelheim International GmbH, an investor in the private placement, designated an observer to attend, subject to certain exceptions, meetings of our board of directors and our committees, until the earlier of (i) the occurrence of a Change of Control and (ii) the date that it and its affiliates collectively hold less than 10% of our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 During the twelve months ended December 31, 2024, no shares of our common stock were issued or sold under the Sales Agreement. As of December 31, 2024, an aggregate of $22.6 million was eligible for sale pursuant to the Sales Agreement under our effective registration statement on Form S-3 (File No. 333-267424).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January 19, 2021, we sold our royalty interest in seltorexant to Royalty Pharma for an upfront payment of $60 million and up to an additional $95 million in potential future milestone payments, contingent upon the achievement of certain clinical, regulatory and commercial milestones for seltorexant by Janssen.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geopolitical conflicts, such as the war in Ukraine and hostilities in the Middle East, and other factors.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3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(dollars</w:t>
            </w:r>
          </w:p>
        </w:tc>
        <w:tc>
          <w:tcPr>
            <w:tcW w:w="240" w:type="dxa"/>
            <w:vAlign w:val="bottom"/>
            <w:vMerge w:val="continue"/>
          </w:tcPr>
          <w:p>
            <w:pPr>
              <w:spacing w:after="0"/>
              <w:rPr>
                <w:sz w:val="12"/>
                <w:szCs w:val="12"/>
                <w:color w:val="auto"/>
              </w:rPr>
            </w:pPr>
          </w:p>
        </w:tc>
        <w:tc>
          <w:tcPr>
            <w:tcW w:w="8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(19.6 )</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7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(19.6 )</w:t>
            </w:r>
          </w:p>
        </w:tc>
        <w:tc>
          <w:tcPr>
            <w:tcW w:w="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-7620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approximately $19.6 million during the year ended December 31, 2024 was primarily due to our net income of $1.4 million, non-cash interest expense for the sale of future royalties of $4.6 million and stock-based compensation expense of $1.3 million, offset by the adjustment to the carrying amount of the liability related to the sale of future royalties of $26.6 million and an approximately $0.3 million decrease in accrued expenses.</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$14.8 million during the year ended December 31, 2023 was primarily due to our net loss of $30.0 million, partially offset by non-cash interest expense for the sale of future royalties of $8.3 million, a $3.1 million decrease in refundable regulatory fees, and stock-based compensation expense of $2.0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zero during the years ended December 31, 2024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twelve months ended December 31, 2024.</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approximately $19.6 million during the year ended December 31, 2023 was primarily due to the net proceeds from the Private Placement closed in June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financial statements appearing elsewhere in this Form 10-K, we believe that the following accounting policies are the most critical for fully understanding and evaluating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These costs include licensing fees to use certain technology in our research and development projects as well as fees paid to consultants and various entities that perform certain research and testing on our behalf and costs related to salaries, benefits, bonuses and stock-based compensation granted to employees in research and development functions. We determine our expenses related to clinical studies based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Payments under some of these contracts depend on factors such as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7" w:name="page78"/>
    <w:bookmarkEnd w:id="77"/>
    <w:p>
      <w:pPr>
        <w:ind w:right="20"/>
        <w:spacing w:after="0" w:line="258" w:lineRule="auto"/>
        <w:rPr>
          <w:sz w:val="20"/>
          <w:szCs w:val="20"/>
          <w:color w:val="auto"/>
        </w:rPr>
      </w:pPr>
      <w:r>
        <w:rPr>
          <w:rFonts w:ascii="Times New Roman" w:cs="Times New Roman" w:eastAsia="Times New Roman" w:hAnsi="Times New Roman"/>
          <w:sz w:val="18"/>
          <w:szCs w:val="18"/>
          <w:color w:val="auto"/>
        </w:rPr>
        <w:t>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condensed consolidated financial statements as prepaid or accrued expenses.</w:t>
      </w:r>
    </w:p>
    <w:p>
      <w:pPr>
        <w:spacing w:after="0" w:line="18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make estimates of our accrued research and development expenses as of each balance sheet date in our financial statements based on facts and circumstances known at that time. Although we do not expect that our estimates will be materially different from amounts actually incurred, our understanding of status and timing of services performed relative to the actual status and timing of services performed may vary and may result in our reporting amounts that are too high or too low for any particular period. There had been no material adjustments to our prior period estimates of accrued expenses for clinical trials. However, due to the nature of estimates, we cannot assure you that we will not make changes to our estimates in the future as we become aware of additional information about the status or conduct of our clinical trials.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test our goodwill for impairment annually, or whenever events or changes in circumstances indicate an impairment may have occurred, by comparing our reporting unit’s carrying value to its fair value. Impairment may result from, among other things, deterioration in the performance of the acquired business, adverse market conditions, adverse changes in applicable laws or regulations and a variety of other circumstances. If we determine that an impairment has occurred, we are required to record a write-down of the carrying value and charge the impairment as an operating expense in the period the determination is made. In evaluating the recoverability of the carrying value of goodwill, we must make assumptions regarding estimated future cash flows and other factors to determine the fair value of the acquired assets. Changes in strategy or market conditions could significantly impact those judgments in the future and require an adjustment to the recorded balances. We have a single reporting unit, which is the level that the goodwill impairment test is performed. There was no impairment of goodwill for the years ended December 31, 2024 and 2023. As of December 31, 2024, $14.9 million of goodwill was associated with a reporting unit with zero or negative carrying value. As the reporting unit had a positive fair value, there was no impairment associated with this reporting unit.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treat the sale of future royalties to Royalty Pharma as a debt financing, as we have significant continuing involvement in facilitating the transfer of royalties to Royalty Pharma and Royalty Pharma has recourse against us relating to the payments due from Janssen. As a result, we recorded the upfront payment of $60 million from this transaction as a liability related to the sale of future royalties, and up to an additional $95 million in potential milestone payments will also be recorded as a liability related to the sale of future royalties and amortized as interest expense over the estimated remaining life of the agreement. Under the terms of the agreement, all payments from Royalty Pharma to us,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liability related to sale of future royalties and the related interest expense is based on our current estimates of future royalties expected to be paid over the life of the arrangement. We will periodically assess the expected royalty payments using a combination of internal projections and forecasts from external sources. To the extent our future estimates of royalty payments are greater or less than previous estimates or the estimated timing of such payments is materially different than its previous estimates, we will recognize related non-cash interest expense or other income.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third quarter of 2024, we made a significant revision to our estimates for the timing and amount of future royalty payments to be earned over the life of the co-development and license agreement with Janssen. As a result, the estimate of undiscounted royalty payments were less than the original carrying value of the upfront $60 million payment received from Royalty Pharma. Therefore, under the retrospective interest model, as of December 31, 2024 we adjusted the liability related to the sale of future royalties (the “Royalty Obligation”) to the initial upfront payment received of $60 million and recognized $26.6 million as a component of Other Income, representing the amount of amortized non-cash interest expense through June 30, 2024. In addition, the Company does not expect to recognize non-cash interest expense in the future related to the Royalty Obligation, as the effective annual interest rate is negative.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further discussion of the sale of future royalties, please refer to Note 5, Sale of Future Royalties, to our financial statements appearing elsewhere in this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Financial Accounting Standards Board (“FASB”) and are adopted by us as of the specified effective date. Our significant accounting policies are described in Note 2 to our financial statements appearing elsewhere in this Form 10-K. Except as described in Note 2, we believe that the impact of other recently issued, but not yet adopted, accounting pronouncements will not have a material impact on the financial position, results of operations and cash flows, or do not apply to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are a smaller reporting company as defined by Rule12b-2 of the Exchange Act and are not required to provide the information required under this item.</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5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No. 34)</w:t>
            </w:r>
          </w:p>
        </w:tc>
        <w:tc>
          <w:tcPr>
            <w:tcW w:w="4900" w:type="dxa"/>
            <w:vAlign w:val="bottom"/>
            <w:gridSpan w:val="4"/>
          </w:tcPr>
          <w:p>
            <w:pPr>
              <w:spacing w:after="0"/>
              <w:rPr>
                <w:sz w:val="24"/>
                <w:szCs w:val="24"/>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F-1</w:t>
            </w:r>
          </w:p>
        </w:tc>
      </w:tr>
      <w:tr>
        <w:trPr>
          <w:trHeight w:val="196"/>
        </w:trPr>
        <w:tc>
          <w:tcPr>
            <w:tcW w:w="20" w:type="dxa"/>
            <w:vAlign w:val="bottom"/>
          </w:tcPr>
          <w:p>
            <w:pPr>
              <w:spacing w:after="0"/>
              <w:rPr>
                <w:sz w:val="17"/>
                <w:szCs w:val="17"/>
                <w:color w:val="auto"/>
              </w:rPr>
            </w:pPr>
          </w:p>
        </w:tc>
        <w:tc>
          <w:tcPr>
            <w:tcW w:w="106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2024 and 2023</w:t>
            </w:r>
          </w:p>
        </w:tc>
        <w:tc>
          <w:tcPr>
            <w:tcW w:w="4180" w:type="dxa"/>
            <w:vAlign w:val="bottom"/>
            <w:gridSpan w:val="3"/>
          </w:tcPr>
          <w:p>
            <w:pPr>
              <w:spacing w:after="0"/>
              <w:rPr>
                <w:sz w:val="17"/>
                <w:szCs w:val="17"/>
                <w:color w:val="auto"/>
              </w:rPr>
            </w:pP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20" w:type="dxa"/>
            <w:vAlign w:val="bottom"/>
          </w:tcPr>
          <w:p>
            <w:pPr>
              <w:spacing w:after="0"/>
              <w:rPr>
                <w:sz w:val="17"/>
                <w:szCs w:val="17"/>
                <w:color w:val="auto"/>
              </w:rPr>
            </w:pPr>
          </w:p>
        </w:tc>
        <w:tc>
          <w:tcPr>
            <w:tcW w:w="106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Deficit for the Years Ended December 31, 2024 and 2023</w:t>
            </w: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20" w:type="dxa"/>
            <w:vAlign w:val="bottom"/>
          </w:tcPr>
          <w:p>
            <w:pPr>
              <w:spacing w:after="0"/>
              <w:rPr>
                <w:sz w:val="17"/>
                <w:szCs w:val="17"/>
                <w:color w:val="auto"/>
              </w:rPr>
            </w:pPr>
          </w:p>
        </w:tc>
        <w:tc>
          <w:tcPr>
            <w:tcW w:w="7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2023</w:t>
            </w:r>
          </w:p>
        </w:tc>
        <w:tc>
          <w:tcPr>
            <w:tcW w:w="3440" w:type="dxa"/>
            <w:vAlign w:val="bottom"/>
          </w:tcPr>
          <w:p>
            <w:pPr>
              <w:spacing w:after="0"/>
              <w:rPr>
                <w:sz w:val="17"/>
                <w:szCs w:val="17"/>
                <w:color w:val="auto"/>
              </w:rPr>
            </w:pP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20" w:type="dxa"/>
            <w:vAlign w:val="bottom"/>
          </w:tcPr>
          <w:p>
            <w:pPr>
              <w:spacing w:after="0"/>
              <w:rPr>
                <w:sz w:val="17"/>
                <w:szCs w:val="17"/>
                <w:color w:val="auto"/>
              </w:rPr>
            </w:pPr>
          </w:p>
        </w:tc>
        <w:tc>
          <w:tcPr>
            <w:tcW w:w="65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140" w:type="dxa"/>
            <w:vAlign w:val="bottom"/>
            <w:gridSpan w:val="2"/>
          </w:tcPr>
          <w:p>
            <w:pPr>
              <w:spacing w:after="0"/>
              <w:rPr>
                <w:sz w:val="17"/>
                <w:szCs w:val="17"/>
                <w:color w:val="auto"/>
              </w:rPr>
            </w:pP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668"/>
        </w:trPr>
        <w:tc>
          <w:tcPr>
            <w:tcW w:w="2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2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ind w:right="5020"/>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Minerva Neurosciences, Inc. </w:t>
      </w:r>
      <w:r>
        <w:rPr>
          <w:rFonts w:ascii="Times New Roman" w:cs="Times New Roman" w:eastAsia="Times New Roman" w:hAnsi="Times New Roman"/>
          <w:sz w:val="18"/>
          <w:szCs w:val="18"/>
          <w:b w:val="1"/>
          <w:bCs w:val="1"/>
          <w:color w:val="auto"/>
        </w:rPr>
        <w:t>Opinion on the Financial Statements</w:t>
      </w:r>
    </w:p>
    <w:p>
      <w:pPr>
        <w:spacing w:after="0" w:line="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Minerva Neurosciences, Inc. and subsidiaries (the “Company”) as of December 31, 2024 and 2023, the related consolidated statements of operations, stockholders’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2" w:lineRule="exact"/>
        <w:rPr>
          <w:sz w:val="20"/>
          <w:szCs w:val="20"/>
          <w:color w:val="auto"/>
        </w:rPr>
      </w:pPr>
    </w:p>
    <w:p>
      <w:pPr>
        <w:ind w:right="36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Liability Related to the Sale of Future Royalties - Refer to Notes 2 and 5 to the financial statements </w:t>
      </w:r>
      <w:r>
        <w:rPr>
          <w:rFonts w:ascii="Times New Roman" w:cs="Times New Roman" w:eastAsia="Times New Roman" w:hAnsi="Times New Roman"/>
          <w:sz w:val="18"/>
          <w:szCs w:val="18"/>
          <w:color w:val="auto"/>
        </w:rPr>
        <w:t>Critical Audit Matter Description</w:t>
      </w:r>
    </w:p>
    <w:p>
      <w:pPr>
        <w:ind w:right="60"/>
        <w:spacing w:after="0" w:line="256" w:lineRule="auto"/>
        <w:rPr>
          <w:sz w:val="20"/>
          <w:szCs w:val="20"/>
          <w:color w:val="auto"/>
        </w:rPr>
      </w:pPr>
      <w:r>
        <w:rPr>
          <w:rFonts w:ascii="Times New Roman" w:cs="Times New Roman" w:eastAsia="Times New Roman" w:hAnsi="Times New Roman"/>
          <w:sz w:val="18"/>
          <w:szCs w:val="18"/>
          <w:color w:val="auto"/>
        </w:rPr>
        <w:t>As described in Notes 2 and 5 to the consolidated financial statements, on January 19, 2021, the Company entered into an agreement with Royalty Pharma under which Royalty Pharma acquired the Company’s royalty interest in seltorexant for an upfront payment of $60 million and up to an additional $95 million in potential milestone payments. Management applied significant judgment in determining the appropriate accounting treatment for the transaction and accounted for the sale of future royalties to Royalty Pharma as a debt financing, as the Company continues to have significant involvement in the generation of the cash flows. The proceeds from the transaction were recorded as a liability related to the sale of future royalties, to be amortized under the interest method over the estimated life of the agreement.</w:t>
      </w:r>
    </w:p>
    <w:p>
      <w:pPr>
        <w:spacing w:after="0" w:line="120"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We identified the valuation of the liability related to the sale of future royalties as a critical audit matter because of the significant judgment by management in determining the appropriate accounting for the transaction and the valuation of the liability.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How We Addressed the Matter in Our Audit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included both consideration of the accounting treatment, and the recognition and valuation of the liability. To test the estimated value of the liability related to the sale of future royalties and the change in estimate, our audit procedures included the following, among others:</w:t>
      </w:r>
    </w:p>
    <w:p>
      <w:pPr>
        <w:spacing w:after="0" w:line="16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changes in significant estimates and assumptions used by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Recalculated the liability related to the sale of future royalties and associated other income/expense.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Corroborated third-party information used in recalculation, focusing on the probabilities and timing of payments, using public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accounting treatment of the remeasurement of the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3400" w:type="dxa"/>
            <w:vAlign w:val="bottom"/>
            <w:shd w:val="clear" w:color="auto" w:fill="CFF0FC"/>
          </w:tcPr>
          <w:p>
            <w:pPr>
              <w:spacing w:after="0"/>
              <w:rPr>
                <w:sz w:val="18"/>
                <w:szCs w:val="18"/>
                <w:color w:val="auto"/>
              </w:rPr>
            </w:pPr>
          </w:p>
        </w:tc>
        <w:tc>
          <w:tcPr>
            <w:tcW w:w="4720" w:type="dxa"/>
            <w:vAlign w:val="bottom"/>
            <w:gridSpan w:val="2"/>
            <w:shd w:val="clear" w:color="auto" w:fill="CFF0FC"/>
          </w:tcPr>
          <w:p>
            <w:pPr>
              <w:jc w:val="right"/>
              <w:ind w:right="39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21,362,008</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40,912,575</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16"/>
        </w:trPr>
        <w:tc>
          <w:tcPr>
            <w:tcW w:w="3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5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806,895</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989,865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22,268,903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42,002,440</w:t>
            </w:r>
          </w:p>
        </w:tc>
        <w:tc>
          <w:tcPr>
            <w:tcW w:w="100" w:type="dxa"/>
            <w:vAlign w:val="bottom"/>
          </w:tcPr>
          <w:p>
            <w:pPr>
              <w:spacing w:after="0"/>
              <w:rPr>
                <w:sz w:val="18"/>
                <w:szCs w:val="18"/>
                <w:color w:val="auto"/>
              </w:rPr>
            </w:pPr>
          </w:p>
        </w:tc>
      </w:tr>
      <w:tr>
        <w:trPr>
          <w:trHeight w:val="216"/>
        </w:trPr>
        <w:tc>
          <w:tcPr>
            <w:tcW w:w="3400" w:type="dxa"/>
            <w:vAlign w:val="bottom"/>
            <w:shd w:val="clear" w:color="auto" w:fill="CFF0FC"/>
          </w:tcPr>
          <w:p>
            <w:pPr>
              <w:spacing w:after="0"/>
              <w:rPr>
                <w:sz w:val="18"/>
                <w:szCs w:val="18"/>
                <w:color w:val="auto"/>
              </w:rPr>
            </w:pPr>
          </w:p>
        </w:tc>
        <w:tc>
          <w:tcPr>
            <w:tcW w:w="4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tcPr>
          <w:p>
            <w:pPr>
              <w:spacing w:after="0"/>
              <w:rPr>
                <w:sz w:val="18"/>
                <w:szCs w:val="18"/>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net</w:t>
            </w:r>
          </w:p>
        </w:tc>
        <w:tc>
          <w:tcPr>
            <w:tcW w:w="4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tcPr>
          <w:p>
            <w:pPr>
              <w:spacing w:after="0"/>
              <w:rPr>
                <w:sz w:val="18"/>
                <w:szCs w:val="18"/>
                <w:color w:val="auto"/>
              </w:rPr>
            </w:pPr>
          </w:p>
        </w:tc>
      </w:tr>
      <w:tr>
        <w:trPr>
          <w:trHeight w:val="250"/>
        </w:trPr>
        <w:tc>
          <w:tcPr>
            <w:tcW w:w="3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5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37,143,744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56,899,750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-864870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1,607,844</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1,805,320</w:t>
            </w:r>
          </w:p>
        </w:tc>
      </w:tr>
      <w:tr>
        <w:trPr>
          <w:trHeight w:val="234"/>
        </w:trPr>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1,229,000</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1,535,097</w:t>
            </w:r>
          </w:p>
        </w:tc>
      </w:tr>
      <w:tr>
        <w:trPr>
          <w:trHeight w:val="191"/>
        </w:trPr>
        <w:tc>
          <w:tcPr>
            <w:tcW w:w="38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2,836,844</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3,340,417</w:t>
            </w:r>
          </w:p>
        </w:tc>
      </w:tr>
      <w:tr>
        <w:trPr>
          <w:trHeight w:val="234"/>
        </w:trPr>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82,016,823</w:t>
            </w:r>
          </w:p>
        </w:tc>
      </w:tr>
      <w:tr>
        <w:trPr>
          <w:trHeight w:val="209"/>
        </w:trPr>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62,836,844</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85,357,240</w:t>
            </w:r>
          </w:p>
        </w:tc>
      </w:tr>
    </w:tbl>
    <w:p>
      <w:pPr>
        <w:spacing w:after="0" w:line="235" w:lineRule="exact"/>
        <w:rPr>
          <w:sz w:val="20"/>
          <w:szCs w:val="20"/>
          <w:color w:val="auto"/>
        </w:rPr>
      </w:pPr>
    </w:p>
    <w:p>
      <w:pPr>
        <w:sectPr>
          <w:pgSz w:w="11900" w:h="16838" w:orient="portrait"/>
          <w:cols w:equalWidth="0" w:num="2">
            <w:col w:w="7180" w:space="720"/>
            <w:col w:w="334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90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100,000,000 shares authorized; none issued or outstanding as of</w:t>
            </w: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3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9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$0.0001 par value; 125,000,000 shares authorized; 6,993,406 shares issued and</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0"/>
                <w:szCs w:val="20"/>
                <w:color w:val="auto"/>
              </w:rPr>
            </w:pPr>
          </w:p>
        </w:tc>
      </w:tr>
      <w:tr>
        <w:trPr>
          <w:trHeight w:val="216"/>
        </w:trPr>
        <w:tc>
          <w:tcPr>
            <w:tcW w:w="7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369,682,764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368,357,239</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(395,376,563 )</w:t>
            </w: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(396,815,428 )</w:t>
            </w:r>
          </w:p>
        </w:tc>
      </w:tr>
      <w:tr>
        <w:trPr>
          <w:trHeight w:val="20"/>
        </w:trPr>
        <w:tc>
          <w:tcPr>
            <w:tcW w:w="7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(25,693,100 )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(28,457,490 )</w:t>
            </w:r>
          </w:p>
        </w:tc>
      </w:tr>
      <w:tr>
        <w:trPr>
          <w:trHeight w:val="210"/>
        </w:trPr>
        <w:tc>
          <w:tcPr>
            <w:tcW w:w="79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37,143,744</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56,899,750</w:t>
            </w:r>
          </w:p>
        </w:tc>
        <w:tc>
          <w:tcPr>
            <w:tcW w:w="100" w:type="dxa"/>
            <w:vAlign w:val="bottom"/>
            <w:tcBorders>
              <w:top w:val="single" w:sz="8" w:color="CFF0FC"/>
            </w:tcBorders>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11,898,595</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12,705,253</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9,949,791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10,414,323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21,848,386</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23,119,576</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(21,848,386 )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(23,119,576 )</w:t>
            </w:r>
          </w:p>
        </w:tc>
      </w:tr>
      <w:tr>
        <w:trPr>
          <w:trHeight w:val="216"/>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(1,926 )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(40,235 )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1,272,354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1,437,405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(4,562,223 )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(8,282,947 )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26,579,046</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1,438,865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(30,005,353 )</w:t>
            </w:r>
          </w:p>
        </w:tc>
      </w:tr>
      <w:tr>
        <w:trPr>
          <w:trHeight w:val="197"/>
        </w:trPr>
        <w:tc>
          <w:tcPr>
            <w:tcW w:w="77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(4.61 )</w:t>
            </w:r>
          </w:p>
        </w:tc>
      </w:tr>
      <w:tr>
        <w:trPr>
          <w:trHeight w:val="197"/>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basic</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7,568,981</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6,506,372</w:t>
            </w:r>
          </w:p>
        </w:tc>
        <w:tc>
          <w:tcPr>
            <w:tcW w:w="100" w:type="dxa"/>
            <w:vAlign w:val="bottom"/>
            <w:tcBorders>
              <w:top w:val="single" w:sz="8" w:color="CFF0FC"/>
            </w:tcBorders>
          </w:tcPr>
          <w:p>
            <w:pPr>
              <w:spacing w:after="0"/>
              <w:rPr>
                <w:sz w:val="17"/>
                <w:szCs w:val="17"/>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(4.61 )</w:t>
            </w:r>
          </w:p>
        </w:tc>
      </w:tr>
      <w:tr>
        <w:trPr>
          <w:trHeight w:val="197"/>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7,573,763</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6,506,372</w:t>
            </w: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-1902460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-779145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-479425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236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500" w:type="dxa"/>
            <w:vAlign w:val="bottom"/>
          </w:tcPr>
          <w:p>
            <w:pPr>
              <w:spacing w:after="0"/>
              <w:rPr>
                <w:sz w:val="12"/>
                <w:szCs w:val="12"/>
                <w:color w:val="auto"/>
              </w:rPr>
            </w:pPr>
          </w:p>
        </w:tc>
        <w:tc>
          <w:tcPr>
            <w:tcW w:w="11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5,340,193</w:t>
            </w:r>
          </w:p>
        </w:tc>
        <w:tc>
          <w:tcPr>
            <w:tcW w:w="12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346,785,322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(366,810,075 )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(20,024,219 )</w:t>
            </w:r>
          </w:p>
        </w:tc>
      </w:tr>
      <w:tr>
        <w:trPr>
          <w:trHeight w:val="198"/>
        </w:trPr>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a private placement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1,425,000</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19,999,852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19,999,994</w:t>
            </w:r>
          </w:p>
        </w:tc>
        <w:tc>
          <w:tcPr>
            <w:tcW w:w="120" w:type="dxa"/>
            <w:vAlign w:val="bottom"/>
          </w:tcPr>
          <w:p>
            <w:pPr>
              <w:spacing w:after="0"/>
              <w:rPr>
                <w:sz w:val="20"/>
                <w:szCs w:val="20"/>
                <w:color w:val="auto"/>
              </w:rPr>
            </w:pPr>
          </w:p>
        </w:tc>
      </w:tr>
      <w:tr>
        <w:trPr>
          <w:trHeight w:val="198"/>
        </w:trPr>
        <w:tc>
          <w:tcPr>
            <w:tcW w:w="35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Costs related to issuance of common stock and</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(396,293 )</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(396,293 )</w:t>
            </w:r>
          </w:p>
        </w:tc>
      </w:tr>
      <w:tr>
        <w:trPr>
          <w:trHeight w:val="198"/>
        </w:trPr>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performance-based restricted stock</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228,213</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1,968,381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1,968,381</w:t>
            </w:r>
          </w:p>
        </w:tc>
        <w:tc>
          <w:tcPr>
            <w:tcW w:w="120" w:type="dxa"/>
            <w:vAlign w:val="bottom"/>
            <w:shd w:val="clear" w:color="auto" w:fill="CFF0FC"/>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(30,005,353 )</w:t>
            </w: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(30,005,353 )</w:t>
            </w:r>
          </w:p>
        </w:tc>
      </w:tr>
      <w:tr>
        <w:trPr>
          <w:trHeight w:val="20"/>
        </w:trPr>
        <w:tc>
          <w:tcPr>
            <w:tcW w:w="3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368,357,239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(396,815,428 )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(28,457,490 )</w:t>
            </w:r>
          </w:p>
        </w:tc>
      </w:tr>
      <w:tr>
        <w:trPr>
          <w:trHeight w:val="196"/>
        </w:trPr>
        <w:tc>
          <w:tcPr>
            <w:tcW w:w="350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1,325,525</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1,325,525</w:t>
            </w:r>
          </w:p>
        </w:tc>
        <w:tc>
          <w:tcPr>
            <w:tcW w:w="120" w:type="dxa"/>
            <w:vAlign w:val="bottom"/>
            <w:tcBorders>
              <w:top w:val="single" w:sz="8" w:color="CFF0FC"/>
            </w:tcBorders>
          </w:tcPr>
          <w:p>
            <w:pPr>
              <w:spacing w:after="0"/>
              <w:rPr>
                <w:sz w:val="17"/>
                <w:szCs w:val="17"/>
                <w:color w:val="auto"/>
              </w:rPr>
            </w:pPr>
          </w:p>
        </w:tc>
      </w:tr>
      <w:tr>
        <w:trPr>
          <w:trHeight w:val="216"/>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1,438,865</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1,438,865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12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369,682,764</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(395,376,563 )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(25,693,100 )</w:t>
            </w:r>
          </w:p>
        </w:tc>
      </w:tr>
      <w:tr>
        <w:trPr>
          <w:trHeight w:val="20"/>
        </w:trPr>
        <w:tc>
          <w:tcPr>
            <w:tcW w:w="3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-471170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-454025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-471170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-454025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-471170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-454025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-471170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-454025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1,438,865</w:t>
            </w:r>
          </w:p>
        </w:tc>
        <w:tc>
          <w:tcPr>
            <w:tcW w:w="30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(30,005,353 )</w:t>
            </w: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1,325,525</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1,968,381</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4,562,223</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8,282,947</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Remeasurement of liability related to sale of future royalties</w:t>
            </w:r>
          </w:p>
        </w:tc>
        <w:tc>
          <w:tcPr>
            <w:tcW w:w="3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(26,579,046 )</w:t>
            </w:r>
          </w:p>
        </w:tc>
        <w:tc>
          <w:tcPr>
            <w:tcW w:w="6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Refundable regulatory fee</w:t>
            </w:r>
          </w:p>
        </w:tc>
        <w:tc>
          <w:tcPr>
            <w:tcW w:w="3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3,117,218</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182,970</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(141,748 )</w:t>
            </w: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(197,476 )</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835,653</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(306,097 )</w:t>
            </w: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1,127,188</w:t>
            </w:r>
          </w:p>
        </w:tc>
        <w:tc>
          <w:tcPr>
            <w:tcW w:w="100" w:type="dxa"/>
            <w:vAlign w:val="bottom"/>
            <w:shd w:val="clear" w:color="auto" w:fill="CFF0FC"/>
          </w:tcPr>
          <w:p>
            <w:pPr>
              <w:spacing w:after="0"/>
              <w:rPr>
                <w:sz w:val="18"/>
                <w:szCs w:val="18"/>
                <w:color w:val="auto"/>
              </w:rPr>
            </w:pPr>
          </w:p>
        </w:tc>
      </w:tr>
      <w:tr>
        <w:trPr>
          <w:trHeight w:val="20"/>
        </w:trPr>
        <w:tc>
          <w:tcPr>
            <w:tcW w:w="75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(19,550,567 )</w:t>
            </w:r>
          </w:p>
        </w:tc>
        <w:tc>
          <w:tcPr>
            <w:tcW w:w="6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(14,784,732 )</w:t>
            </w:r>
          </w:p>
        </w:tc>
      </w:tr>
      <w:tr>
        <w:trPr>
          <w:trHeight w:val="210"/>
        </w:trPr>
        <w:tc>
          <w:tcPr>
            <w:tcW w:w="75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2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common stock and warrants in private placement</w:t>
            </w:r>
          </w:p>
        </w:tc>
        <w:tc>
          <w:tcPr>
            <w:tcW w:w="3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19,999,994</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paid in connection with private placements</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(396,293 )</w:t>
            </w:r>
          </w:p>
        </w:tc>
      </w:tr>
      <w:tr>
        <w:trPr>
          <w:trHeight w:val="209"/>
        </w:trPr>
        <w:tc>
          <w:tcPr>
            <w:tcW w:w="75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19,603,701</w:t>
            </w:r>
          </w:p>
        </w:tc>
        <w:tc>
          <w:tcPr>
            <w:tcW w:w="100" w:type="dxa"/>
            <w:vAlign w:val="bottom"/>
            <w:tcBorders>
              <w:top w:val="single" w:sz="8" w:color="CFF0FC"/>
            </w:tcBorders>
          </w:tcPr>
          <w:p>
            <w:pPr>
              <w:spacing w:after="0"/>
              <w:rPr>
                <w:sz w:val="18"/>
                <w:szCs w:val="18"/>
                <w:color w:val="auto"/>
              </w:rPr>
            </w:pPr>
          </w:p>
        </w:tc>
      </w:tr>
      <w:tr>
        <w:trPr>
          <w:trHeight w:val="210"/>
        </w:trPr>
        <w:tc>
          <w:tcPr>
            <w:tcW w:w="7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(19,550,567 )</w:t>
            </w: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4,818,969</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41,012,575</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36,193,606</w:t>
            </w:r>
          </w:p>
        </w:tc>
        <w:tc>
          <w:tcPr>
            <w:tcW w:w="100" w:type="dxa"/>
            <w:vAlign w:val="bottom"/>
          </w:tcPr>
          <w:p>
            <w:pPr>
              <w:spacing w:after="0"/>
              <w:rPr>
                <w:sz w:val="18"/>
                <w:szCs w:val="18"/>
                <w:color w:val="auto"/>
              </w:rPr>
            </w:pPr>
          </w:p>
        </w:tc>
      </w:tr>
      <w:tr>
        <w:trPr>
          <w:trHeight w:val="250"/>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21,462,008</w:t>
            </w:r>
          </w:p>
        </w:tc>
        <w:tc>
          <w:tcPr>
            <w:tcW w:w="3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41,012,575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74"/>
        </w:trPr>
        <w:tc>
          <w:tcPr>
            <w:tcW w:w="75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the Condensed Consolidated Statements of Cash Flows to the Condensed</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21,362,008</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40,912,575</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49"/>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21,462,008</w:t>
            </w:r>
          </w:p>
        </w:tc>
        <w:tc>
          <w:tcPr>
            <w:tcW w:w="3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41,012,575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-2725420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-2151380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-2151380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-1593850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-745490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-728345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proprietary product candidates to treat patients suffering from central nervous system (“CNS”) diseases. The Company’s lead product candidate is roluperidone, a compound the Company is developing for the treatment of negative symptoms in patients with schizophrenia. The Company previously submitted a New Drug Application (“NDA”) with the U.S. Food and Drug Administration (“FDA”) for roluperidone for the treatment of negative symptoms in schizophrenia in August 2022. On February 26, 2024, the FDA issued a Complete Response Letter (“CRL”) regarding the NDA for roluperidone. Since receiving the CRL, the Company has continued to have interactions with the FDA with the goal of addressing the questions raised in the CRL.</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also has exclusive rights to develop and commercialize MIN-301, a compound for the treatment of Parkinson’s disease. In addition, Minerva previously co-developed seltorexant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up front payment and up to an additional $95 million in potential future milestone payments.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December 31, 2024, the Company had an accumulated deficit of approximately $395.4 million and net cash used in operating activities was approximately $19.6 million during the year ended December 31, 2024.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cash, cash equivalents, and restricted cash of $21.5 million, which it believes will be sufficient to meet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operating commitments for the next 12 months from the date its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will need to raise additional capital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Further, if the Company does not satisfy The Nasdaq Capital Market continued listing requirements, its common stock may be subject to delisting, which could impact the Company’s ability to complete additional equity financings on terms acceptable to the Company. On April 10, 2024, the Company received written notice from The Nasdaq Stock Market LLC (“Nasdaq”) notifying the Company that for the last 31 consecutive business days, the Company’s minimum Market Value of Listed Securities was below the minimum of $35 million required for continued listing on The Nasdaq Capital Market pursuant to Nasdaq Listing Rule 5550(b)(2) (the “MVLS Rule”).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7" w:name="page88"/>
    <w:bookmarkEnd w:id="87"/>
    <w:p>
      <w:pPr>
        <w:ind w:right="20"/>
        <w:spacing w:after="0" w:line="254" w:lineRule="auto"/>
        <w:rPr>
          <w:sz w:val="20"/>
          <w:szCs w:val="20"/>
          <w:color w:val="auto"/>
        </w:rPr>
      </w:pPr>
      <w:r>
        <w:rPr>
          <w:rFonts w:ascii="Times New Roman" w:cs="Times New Roman" w:eastAsia="Times New Roman" w:hAnsi="Times New Roman"/>
          <w:sz w:val="18"/>
          <w:szCs w:val="18"/>
          <w:color w:val="auto"/>
        </w:rPr>
        <w:t>On January 10, 2025, the Company received a notice from Nasdaq indicating that following the Company’s hearing before the Nasdaq Hearings Panel (the “Panel”) on December 10, 2024, the Panel has granted the Company’s request for continued listing on Nasdaq, subject to the following: (1) on or before March 31, 2025, the Company will have filed a public disclosure describing the transactions undertaken by the Company to achieve compliance and demonstrate long-term compliance with Nasdaq Listing Rule 5550(b)(1) (the “Equity Rule”), which requires issuers listed on The Nasdaq Capital Market to maintain minimum stockholders’ equity of $2.5 million, and will have provided an indication of the Company’s equity following those transactions; and</w:t>
      </w:r>
    </w:p>
    <w:p>
      <w:pPr>
        <w:spacing w:after="0" w:line="3" w:lineRule="exact"/>
        <w:rPr>
          <w:sz w:val="20"/>
          <w:szCs w:val="20"/>
          <w:color w:val="auto"/>
        </w:rPr>
      </w:pPr>
    </w:p>
    <w:p>
      <w:pPr>
        <w:ind w:right="720" w:firstLine="8"/>
        <w:spacing w:after="0" w:line="260"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March 31, 2025, the Company must have provided the Panel with income projections for the next 12 months, with all underlying assumptions clearly stated, and evidence compliance with all applicable criteria for continued listing on The Nasdaq Capital Market.</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working to prepare and file, as applicable, the documents described above by March 31, 2025 to enable the Company to regain compliance with Nasdaq’s listing standards. Notwithstanding, there can be no assurance that the Company will be able to regain compliance with Nasdaq’s listing standards, including the continued listing requirements under the Equity Rule or the MVLS Rule, that the Company will be able to maintain compliance with the other continued listing requirements set forth in Nasdaq’s listing standards or that the Company will be able to continue its listing on Nasdaq.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(“GAAP”), and include all adjustments necessary for the fair presentation of the Company’s financial position for the periods presented. From its inception, the Company has devoted substantially all of its efforts to business planning, engaging regulatory, manufacturing and other technical consultants, planning and executing clinical trials and raising capital.</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8" w:name="page89"/>
    <w:bookmarkEnd w:id="8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December 31, 2024 and 2023.</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(“CROs”)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 See Note 7 for information on the Company’s performance-based restricted stock units (“PRSU”) grants.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(loss) per share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Basic income (loss) per share is calculated by dividing the net income (loss) by the weighted average number of shares of common stock outstanding for the period. Diluted income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allowance should be provided. Valuation allowances are established when necessary to reduce deferred tax assets to the amounts expected to be realized.</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uses a recognition threshold and measurement attribute for the financial statement recognition and measurement of a tax position taken, or expected to be taken, in a tax return. The Company has elected to treat interest and penalties, to the extent they arise, as a component of income tax expense. There was no interest or penalties related to income taxes for the years ended December 31, 2024 or 2023. Income tax years beginning in 2021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capitalized software in accordance with the Financial Accounting Standards Board (“FASB”) Accounting Standards Codification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350-40”), which provides guidance for computer software developed or obtained for internal use. The Company is required to continually evaluate the stage of the implementation process to determine whether costs are expensed or capitalized. Costs incurred during the preliminary project phase or planning and research phase are expensed as incurred. Costs incurred during the development phase, such as material and direct services costs, compensation costs of employees associated with the development and interest cost, are capitalized as incurred. Costs incurred during the post-implementation or operation phase, such as training and maintenance costs, are expensed as incurred. In addition, costs incurred to modify existing software that result in additional functionality are capitalized as incurred. Capitalized costs are amortized over the expected useful life of the asset.</w:t>
      </w:r>
    </w:p>
    <w:p>
      <w:pPr>
        <w:spacing w:after="0" w:line="1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 - Goodwill and Other - Internal-Use Software (Subtopic 350-40), 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Implementation Costs Incurred in a Cloud Computing Arrangement That Is a Service Contract</w:t>
      </w:r>
      <w:r>
        <w:rPr>
          <w:rFonts w:ascii="Times New Roman" w:cs="Times New Roman" w:eastAsia="Times New Roman" w:hAnsi="Times New Roman"/>
          <w:sz w:val="18"/>
          <w:szCs w:val="18"/>
          <w:color w:val="auto"/>
        </w:rPr>
        <w:t>. This new guidance requires a customer in a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computing arrangement (i.e., hosting arrangement) that is a service contract to follow the internal-use software guidance in ASC 350-40 to determine which implementation costs to capitalize as assets or expense as incurred. Also, capitalized implementation costs related to a hosting arrangement that is a service contract will be amortized over the term of the hosting arrangement, beginning when the module or component of the hosting arrangement is ready for its intended use.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18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FASB ASC Topic 842, Leases (“ASC 842”), the Company utilized the remaining lease term of its leases in determining the appropriate incremental borrowing rates.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December 31, 2024 and 2023.</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has a single reporting unit, which is the level that the goodwill impairment test is performed. There was no impairment of goodwill for the years ended December 31, 2024 and 2023. As of December 31, 2024, $14.9 million of goodwill was associated with a reporting unit with zero or negative carrying value. As the reporting unit had a positive fair value, there was no impairment associated with this reporting unit.</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Level 2 —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1" w:name="page92"/>
    <w:bookmarkEnd w:id="91"/>
    <w:p>
      <w:pPr>
        <w:ind w:right="80"/>
        <w:spacing w:after="0" w:line="257"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cash equivalents and marketable securities as of December 31, 2024 and 2023, measured at fair value on a recurring basis and indicates the fair value hierarchy of the valuation techniques the Company utilized to determine such fair value:</w:t>
      </w:r>
    </w:p>
    <w:tbl>
      <w:tblPr>
        <w:tblLayout w:type="fixed"/>
        <w:tblInd w:w="0" w:type="dxa"/>
        <w:tblCellMar>
          <w:top w:w="0" w:type="dxa"/>
          <w:left w:w="0" w:type="dxa"/>
          <w:bottom w:w="0" w:type="dxa"/>
          <w:right w:w="0" w:type="dxa"/>
        </w:tblCellMar>
      </w:tblPr>
      <w:tr>
        <w:trPr>
          <w:trHeight w:val="156"/>
        </w:trPr>
        <w:tc>
          <w:tcPr>
            <w:tcW w:w="39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0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9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19,574,213</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19,574,213</w:t>
            </w:r>
          </w:p>
        </w:tc>
        <w:tc>
          <w:tcPr>
            <w:tcW w:w="2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19,574,213</w:t>
            </w: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19,574,213</w:t>
            </w:r>
          </w:p>
        </w:tc>
        <w:tc>
          <w:tcPr>
            <w:tcW w:w="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346"/>
        </w:trPr>
        <w:tc>
          <w:tcPr>
            <w:tcW w:w="39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9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27,351,596</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27,351,596</w:t>
            </w:r>
          </w:p>
        </w:tc>
        <w:tc>
          <w:tcPr>
            <w:tcW w:w="2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27,351,596</w:t>
            </w: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27,351,596</w:t>
            </w:r>
          </w:p>
        </w:tc>
        <w:tc>
          <w:tcPr>
            <w:tcW w:w="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-782320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-782320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-782320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-782320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-156845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-156845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-156845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restricted cash, accounts payable, accrued expenses and liabilities related to the sale of future royalties. The carrying amounts of cash and cash equivalents, restricted cash, accounts payable, and accrued expenses approximate fair value because of their short-term nature.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revenue recognition guidance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enters into an arrangement that meets the definition of a collaboration under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treats the sale of future royalties to Royalty Pharma as a debt financing, as the Company has significant continuing involvement in facilitating the transfer of royalties to Royalty Pharma and Royalty Pharma has recourse against the Company relating to the payments due from Janssen. As a result, the Company recorded the upfront payment of $60 million from this transaction as a liability related to the sale of future royalties, and up to an additional $95 million in potential milestone payments will also be recorded as a liability related to the sale of future royalties and amortized as interest expense over the estimated remaining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2" w:name="page93"/>
    <w:bookmarkEnd w:id="92"/>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liability related to sale of future royalties and the related interest expense is based on our current estimates of future royalties expected to be paid over the life of the arrangement. The Company will periodically assess the expected royalty payments using a combination of internal projections and forecasts from external sources. To the extent the Company’s future estimates of royalty payments are greater or less than previous estimates or the estimated timing of such payments is materially different than its previous estimates, the Company will recognize related non-cash interest expense or other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the sale of future royalties, please refer to Note 5, Sale of Future Royalties.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about which discrete financial information is available and regularly reviewed by the chief operating decision maker (“CODM”) in deciding how to allocate resources and in assessing performance. The Company’s CODM is the Chief Executive Officer. The CODM evaluates performance of the segments based on net income (loss). The CODM also reviews operating results and previously forecasted financial information to make decisions about allocating resources and assessing performance for the entire Company.</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operations are organized into one operating and one reportable segment focused on the development and commercialization of proprietary product candidates to treat patients suffering from CNS diseases. The one operating segment is managed on a consolidated basis. The operating segment’s revenue would be generated from commercial sales or license agreements of the product candidates, however, none of the company’s product candidates have been approved for commercialization and it has not received any revenue in connection with the sale or license of its product candidates. Furthermore, except for most of Asia, the Company has global commercialization rights for roluperidone and also owns worldwide rights for MIN-301 and the Sigma Ligands.</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CODM does not evaluate operating segments using asset or liability information and therefore it is not disclosed. The following table summarizes the reportable segment’s financial information: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r>
      <w:tr>
        <w:trPr>
          <w:trHeight w:val="210"/>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staff related expenses </w:t>
            </w:r>
            <w:r>
              <w:rPr>
                <w:rFonts w:ascii="Times New Roman" w:cs="Times New Roman" w:eastAsia="Times New Roman" w:hAnsi="Times New Roman"/>
                <w:sz w:val="24"/>
                <w:szCs w:val="24"/>
                <w:color w:val="auto"/>
                <w:vertAlign w:val="superscript"/>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2,246,565</w:t>
            </w:r>
          </w:p>
        </w:tc>
        <w:tc>
          <w:tcPr>
            <w:tcW w:w="28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2,742,809</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drug product material expenses and associated costs </w:t>
            </w:r>
            <w:r>
              <w:rPr>
                <w:rFonts w:ascii="Times New Roman" w:cs="Times New Roman" w:eastAsia="Times New Roman" w:hAnsi="Times New Roman"/>
                <w:sz w:val="24"/>
                <w:szCs w:val="24"/>
                <w:color w:val="auto"/>
                <w:vertAlign w:val="superscript"/>
              </w:rPr>
              <w:t>(2)</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3,298,851</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687,133</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stock compensation expenses (non-cash)</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450,537</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909,845</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staff related expenses </w:t>
            </w:r>
            <w:r>
              <w:rPr>
                <w:rFonts w:ascii="Times New Roman" w:cs="Times New Roman" w:eastAsia="Times New Roman" w:hAnsi="Times New Roman"/>
                <w:sz w:val="24"/>
                <w:szCs w:val="24"/>
                <w:color w:val="auto"/>
                <w:vertAlign w:val="superscript"/>
              </w:rPr>
              <w:t>(1)</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3,374,711</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3,841,422</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stock compensation expenses (non-cash)</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874,988</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1,058,536</w:t>
            </w:r>
          </w:p>
        </w:tc>
        <w:tc>
          <w:tcPr>
            <w:tcW w:w="120" w:type="dxa"/>
            <w:vAlign w:val="bottom"/>
          </w:tcPr>
          <w:p>
            <w:pPr>
              <w:spacing w:after="0"/>
              <w:rPr>
                <w:sz w:val="18"/>
                <w:szCs w:val="18"/>
                <w:color w:val="auto"/>
              </w:rPr>
            </w:pPr>
          </w:p>
        </w:tc>
      </w:tr>
      <w:tr>
        <w:trPr>
          <w:trHeight w:val="210"/>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10,245,652</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9,239,745</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Other segment expense, net </w:t>
            </w:r>
            <w:r>
              <w:rPr>
                <w:rFonts w:ascii="Times New Roman" w:cs="Times New Roman" w:eastAsia="Times New Roman" w:hAnsi="Times New Roman"/>
                <w:sz w:val="24"/>
                <w:szCs w:val="24"/>
                <w:b w:val="1"/>
                <w:bCs w:val="1"/>
                <w:color w:val="auto"/>
                <w:vertAlign w:val="superscript"/>
              </w:rPr>
              <w:t>(3)</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11,602,734</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13,879,831</w:t>
            </w:r>
          </w:p>
        </w:tc>
        <w:tc>
          <w:tcPr>
            <w:tcW w:w="120" w:type="dxa"/>
            <w:vAlign w:val="bottom"/>
          </w:tcPr>
          <w:p>
            <w:pPr>
              <w:spacing w:after="0"/>
              <w:rPr>
                <w:sz w:val="18"/>
                <w:szCs w:val="18"/>
                <w:color w:val="auto"/>
              </w:rPr>
            </w:pPr>
          </w:p>
        </w:tc>
      </w:tr>
      <w:tr>
        <w:trPr>
          <w:trHeight w:val="209"/>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21,848,386</w:t>
            </w: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23,119,576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(21,848,386 )</w:t>
            </w:r>
          </w:p>
        </w:tc>
        <w:tc>
          <w:tcPr>
            <w:tcW w:w="6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(23,119,576 )</w:t>
            </w: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losses</w:t>
            </w: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(1,926 )</w:t>
            </w:r>
          </w:p>
        </w:tc>
        <w:tc>
          <w:tcPr>
            <w:tcW w:w="6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(40,235 )</w:t>
            </w:r>
          </w:p>
        </w:tc>
      </w:tr>
      <w:tr>
        <w:trPr>
          <w:trHeight w:val="216"/>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1,272,354</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1,437,405</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(4,562,223 )</w:t>
            </w:r>
          </w:p>
        </w:tc>
        <w:tc>
          <w:tcPr>
            <w:tcW w:w="6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(8,282,947 )</w:t>
            </w:r>
          </w:p>
        </w:tc>
      </w:tr>
      <w:tr>
        <w:trPr>
          <w:trHeight w:val="216"/>
        </w:trPr>
        <w:tc>
          <w:tcPr>
            <w:tcW w:w="7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26,579,046</w:t>
            </w: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1,438,865</w:t>
            </w:r>
          </w:p>
        </w:tc>
        <w:tc>
          <w:tcPr>
            <w:tcW w:w="28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(30,005,353 )</w:t>
            </w: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-1002665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-1002665</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40" w:hanging="35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bonus, and fringe benefits are included in staff related expenses.</w:t>
      </w:r>
    </w:p>
    <w:p>
      <w:pPr>
        <w:spacing w:after="0" w:line="27"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Company’s drug substance validation campaign are included in drug product material expenses.</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consultant, audit, legal, and the C18 study costs are included in other segment expense, net.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items of comprehensive income (loss) other than its net income (loss) for each period presented.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are adopted by the Company as of the specified effective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ind w:left="2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Improvements to Reportable Segment Disclosures (Topic 280)</w:t>
      </w:r>
      <w:r>
        <w:rPr>
          <w:rFonts w:ascii="Times New Roman" w:cs="Times New Roman" w:eastAsia="Times New Roman" w:hAnsi="Times New Roman"/>
          <w:sz w:val="18"/>
          <w:szCs w:val="18"/>
          <w:color w:val="auto"/>
        </w:rPr>
        <w:t xml:space="preserve">. This ASU updates reportable segment disclosure requirements by requiring disclosures of significant reportable segment expenses that are regularly provided to the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We adopted this ASU retrospectively on December 31, 2024. Refer to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the inclusion of the new required disclosures.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ACCRUED EXPENSES AND OTHER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351,782</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777,680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363,181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514,037</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166,648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1,229,000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NET INCOME (LOSS) PER SHARE OF COMMON STOCK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0" w:type="dxa"/>
            <w:vAlign w:val="bottom"/>
            <w:vMerge w:val="continue"/>
          </w:tcPr>
          <w:p>
            <w:pPr>
              <w:spacing w:after="0"/>
              <w:rPr>
                <w:sz w:val="24"/>
                <w:szCs w:val="24"/>
                <w:color w:val="auto"/>
              </w:rPr>
            </w:pPr>
          </w:p>
        </w:tc>
        <w:tc>
          <w:tcPr>
            <w:tcW w:w="66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-462280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-462280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Basic income (loss) per share is calculated by dividing the net income (loss) by the weighted average number of shares of common stock outstanding. Diluted income (loss) per share is computed by dividing the net income (loss) by the weighted average number of shares of common stock outstanding, plus potential outstanding common stock for the period. Potential outstanding common stock includes stock options, but only to the extent that their inclusion is dilutive. Performance-based restricted stock units are excluded from the calculation of dilutive potential common shares until the performance conditions have been achieved on the basis of the assumption that the end of the reporting period was the end of the contingency period, if such shares issuable are dilutive.</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June 2023, in connection with the Private Placement (as defined and described in Note 6, Stockholders’ Deficit), the Company issued and sold pre-funded warrants exercisable for an aggregate of 575,575 shares of common stock. The purchase price of the pre-funded warrants was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income (loss) per share as of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income (loss) per share for common stockholders: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1,438,865</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(30,005,353 )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6,506,372</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7,573,763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6,506,372</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ordinary share: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(4.61 )</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(4.61 )</w:t>
            </w: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6140" w:type="dxa"/>
            <w:vAlign w:val="bottom"/>
            <w:tcBorders>
              <w:top w:val="single" w:sz="8" w:color="CFF0FC"/>
            </w:tcBorders>
          </w:tcPr>
          <w:p>
            <w:pPr>
              <w:ind w:left="4320"/>
              <w:spacing w:after="0"/>
              <w:rPr>
                <w:sz w:val="20"/>
                <w:szCs w:val="20"/>
                <w:color w:val="auto"/>
              </w:rPr>
            </w:pPr>
            <w:r>
              <w:rPr>
                <w:rFonts w:ascii="Times New Roman" w:cs="Times New Roman" w:eastAsia="Times New Roman" w:hAnsi="Times New Roman"/>
                <w:sz w:val="18"/>
                <w:szCs w:val="18"/>
                <w:color w:val="auto"/>
              </w:rPr>
              <w:t>F-14</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-1790700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-1790700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-1499235</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-1499235</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-933450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-916305</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-933450</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-916305</wp:posOffset>
            </wp:positionV>
            <wp:extent cx="59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4" w:name="page95"/>
    <w:bookmarkEnd w:id="94"/>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December 31, 2024 and 2023 have been excluded from the calculation of weighted average shares outstanding as their effect on the calculation of income (loss) per share is antidilutive:</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8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4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1,440,002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1,157,229</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co-development and license agreement (the “Janssen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Royalty Pharma has recourse against the Company relating to payments due from Janssen and therefore, the Company is deemed to have significant continuing involvement. The Company has applied the debt recognition guidance under ASC 470, Debt, and recorded the upfront payment of $60 million on the balance sheet as a liability related to the sale of future royalties (the “Royalty Obligation”) and will record any amortized interest expense and future milestone payments received from Royalty Pharma as well. No amounts received, including the initial upfront payment, amortized interest expense or potential milestone payments, are repayable to Royalty Pharma if Janssen discontinues the clinical development of seltorexant or ceases to pursue its commercialization at a future date for any reason. In accordance with ASC 470, the Company will account for any royalties received in the future as non-cash royalty revenue.</w:t>
      </w:r>
    </w:p>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royalties are remitted from Janssen to Royalty Pharma, the balance of the Royalty Obligation will be effectively repaid over the expected life of the Janssen Agreement. The $60 million payment received from Royalty Pharma and any potential future milestone payments from Royalty Pharma are recorded as part of the Royalty Obligation. The difference between the total expected royalties receivable from Janssen and the upfront and milestone payments potentially receivable from Royalty Pharma is being amortized as non-cash interest expense over the estimated remaining life of the Janssen Agreement. To determine the amount of non-cash interest to be amortized, the Company is required to make assumptions for the total amount of future royalty payments to be received from Janssen. At execution, the Company’s estimate of this total non-cash interest expense resulted in an effective annual interest rate of approximately 10.5%.</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regularly evaluates the assumptions supporting future royalty estimates and, during the third quarter of 2024, noted that Janssen announced on clinicaltrials.gov a further Phase 3 study with seltorexant (42847922MDD3003) that has an estimated study completion date of November 30, 2027, which is significantly different from the assumption the Company used in its original estimates. As a result, the Company has made a significant revision to its estimates for the timing and amount of future royalty payments to be earned over the life of the Janssen Agreement and noted that the estimate of undiscounted royalty payments is now less than the original carrying value of the upfront payment received. Therefore, under the retrospective interest model, as of December 31, 2024 the Company adjusted the Royalty Obligation to the initial upfront payment received of $60 million and recognized $26.6 million as a component of Other Income, representing the amount of amortized non-cash interest expense through June 30, 2024. In addition, the Company does not expect to recognize non-cash interest expense in the future related to the Royalty Obligation, as the effective annual interest rate is negative.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and Warrants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June 27, 2023, the Company entered into a securities purchase agreement (the “Securities Purchase Agreement”) with certain institutional accredited investors (the “Investors”), pursuant to which the Company agreed to issue and sell to the Investors in a private placement (the “Private Placement”) (i) an aggregate of 1,425,000 shares (the “Shares”) of the Company’s common stock at a purchase price of $10.00 per Share, and (ii) in lieu of additional shares of common stock, pre-funded warrants to purchase 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5" w:name="page96"/>
    <w:bookmarkEnd w:id="95"/>
    <w:p>
      <w:pPr>
        <w:ind w:right="40"/>
        <w:spacing w:after="0" w:line="266" w:lineRule="auto"/>
        <w:rPr>
          <w:sz w:val="20"/>
          <w:szCs w:val="20"/>
          <w:color w:val="auto"/>
        </w:rPr>
      </w:pPr>
      <w:r>
        <w:rPr>
          <w:rFonts w:ascii="Times New Roman" w:cs="Times New Roman" w:eastAsia="Times New Roman" w:hAnsi="Times New Roman"/>
          <w:sz w:val="18"/>
          <w:szCs w:val="18"/>
          <w:color w:val="auto"/>
        </w:rPr>
        <w:t>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pre-funded warrants issued in the Private Placement provide that a holder of the pre-funded warrants will not have the right to exercise any portion of its pre-funded warrants to the extent such holder, together with its affiliates, after giving effect to such exercise, would beneficially own in excess of the beneficial ownership limitation, as elected by such Investor, immediately after giving effect to such exercise (the “Beneficial Ownership Limitation”); provided, however, that each pre-funded warrant holder may increase or decrease the Beneficial Ownership Limitation by giving 61 days’ notice to the Company, but not to any percentage in excess of 19.99%.</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June 30, 2023, the Private Placement closed and the Company received aggregate gross proceeds from the Private Placement of $20.0 million. The Company incurred approximately $0.4 million in offering expenses during 2023, which were included as a component of additional paid-in capital, resulting in net proceeds of $19.6 million from the Private Placement.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Securities Purchase Agreement, the Company filed a registration statement on Form S-3 (File No. 333-273686), which was declared effective by the SEC on August 9, 2023, covering the resale of the Registrable Securities (as such term is defined in the Securities Purchase Agreement). The Company has agreed to use its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Securities Purchase Agreement).</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Securities Purchase Agreement, in connection with the Private Placement, Boehringer Ingelheim International GmbH (“BI”), an Investor in the Private Placement, has the right to designate an observer to attend, subject to certain exceptions, meetings of the Company’s board of directors and its committees, until the earlier of (i) the occurrence of a Change of Control and (ii) the date that it and its affiliates collectively hold less than 10% of the Company’s common stock (which shall be calculated by including in the amount of common stock held by such Investor and its affiliates any shares of common stock issuable upon exercise of any portion of the pre-funded warrant issued to such Investor and not yet exercised). BI designated a board observer on August 29, 2023.</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the twelve months ended December 31, 2024, no shares of the Company’s common stock were issued or sold under the Sales Agreement. As of December 31, 2024, an aggregate of $22.6 million was eligible for sale pursuant to the Sales Agreement under the Company’s effective registration statement on Form S-3 (File No. 333-267424).</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Term Loan Warrants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5,099 shares of common stock at a per share exercise price of $44.13. The warrants were immediately exercisable upon issuance, and other than in connection with certain mergers or acquisitions, will expire on the ten-year anniversary of the date of issuance. The term loans were repaid in August 2018. All related warrants were outstanding and exercisable as of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AWARD PLAN AND STOCK-BASED COMPENSATION</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 As of December 31, 2024, the total shares authorized for issuance under the Plan were 2,078,917.</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6" w:name="page97"/>
    <w:bookmarkEnd w:id="9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year ended December 31, 2024 is as follows:</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Intrinsic</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00" w:type="dxa"/>
            <w:vAlign w:val="bottom"/>
          </w:tcPr>
          <w:p>
            <w:pPr>
              <w:spacing w:after="0"/>
              <w:rPr>
                <w:sz w:val="12"/>
                <w:szCs w:val="12"/>
                <w:color w:val="auto"/>
              </w:rPr>
            </w:pPr>
          </w:p>
        </w:tc>
        <w:tc>
          <w:tcPr>
            <w:tcW w:w="10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Terms (years)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1,157,229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451,500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(115,000 )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(6,495 )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1,487,234</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December 31, 2024</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576,351</w:t>
            </w:r>
          </w:p>
        </w:tc>
        <w:tc>
          <w:tcPr>
            <w:tcW w:w="2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15.37</w:t>
            </w: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Available for future grant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32,361</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-333375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-316230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December 31, 2024 was $6.17 per share. Total unrecognized compensation costs related to non-vested stock options at December 31, 2024 were approximately $2.8 million and are expected to be recognized within future operating results over a weighted-average period of 2.6 years. Generally, stock options are granted using exercise prices equal to the market price at the date of grant, vest over four years for employees and one year for directors, and are exercisable over a maximum period of 10 years from their grant dates.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volatility of the Company and volatilities for industry peer companies.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the purposes of estimating the fair value of the options.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For stock options granted during the years ended December 31, 2024 and 2023, the Company utilized the following assumptions:</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8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2"/>
                <w:szCs w:val="12"/>
                <w:color w:val="auto"/>
              </w:rPr>
            </w:pPr>
          </w:p>
        </w:tc>
        <w:tc>
          <w:tcPr>
            <w:tcW w:w="13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- 6.25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- 6.25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- 4.10%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- 4.74%</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- 126%</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- 119%</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common stock</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$1.88</w:t>
            </w:r>
          </w:p>
        </w:tc>
        <w:tc>
          <w:tcPr>
            <w:tcW w:w="1480" w:type="dxa"/>
            <w:vAlign w:val="bottom"/>
            <w:gridSpan w:val="3"/>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$5.67</w:t>
            </w: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spacing w:after="0" w:line="17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Company used the pre-modification stock options for determining the compensation cost related to the PRSUs as the vesting conditions remain uncertain for the outstanding PRSUs. All expense related to the non-vested pre-modification stock options was fully recognized as of December 31, 2023.</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28, 2023, the Compensation Committee of the Company’s board of directors certified the achievement of a performance condition occurring upon FDA acceptance of the NDA for roluperidone. As a result, 50% of the shares of common stock underlying the Company’s PRSUs vested and the Company recognized approximately $0.2 million in non-cash compensation expense, representing 50% of the incremental cost of the PRSUs granted under the Exchange Program. The incremental cost was measured as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7" w:name="page98"/>
    <w:bookmarkEnd w:id="97"/>
    <w:p>
      <w:pPr>
        <w:ind w:right="20"/>
        <w:spacing w:after="0" w:line="261" w:lineRule="auto"/>
        <w:rPr>
          <w:sz w:val="20"/>
          <w:szCs w:val="20"/>
          <w:color w:val="auto"/>
        </w:rPr>
      </w:pPr>
      <w:r>
        <w:rPr>
          <w:rFonts w:ascii="Times New Roman" w:cs="Times New Roman" w:eastAsia="Times New Roman" w:hAnsi="Times New Roman"/>
          <w:sz w:val="18"/>
          <w:szCs w:val="18"/>
          <w:color w:val="auto"/>
        </w:rPr>
        <w:t>the excess of the fair value of each new PRSU, measured as of the date the new PRSUs were granted, over the fair value of the stock options surrendered in exchange for the new PRSU, measured immediately prior to the cancellation. The remaining PRSUs vest upon roluperidone receiving FDA marketing approval, provided that such approval occurs within five years after the August 6, 2021 grant date. As of December 31, 2024, 228,213 PRSUs have vested, 20,218 have been cancelled, and 228,209 remain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450,537</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909,845</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874,988</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1,058,536</w:t>
            </w:r>
          </w:p>
        </w:tc>
        <w:tc>
          <w:tcPr>
            <w:tcW w:w="8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1,325,525</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1,968,381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-24765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federal, foreign and state income taxes for the years ended December 31, 2024 and 2023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5"/>
                <w:szCs w:val="15"/>
                <w:color w:val="auto"/>
              </w:rPr>
            </w:pPr>
          </w:p>
        </w:tc>
      </w:tr>
      <w:tr>
        <w:trPr>
          <w:trHeight w:val="223"/>
        </w:trPr>
        <w:tc>
          <w:tcPr>
            <w:tcW w:w="114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6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61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48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 (liabilities) as of December 31, 2024 and 2023 consist of the following:</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5"/>
        </w:trPr>
        <w:tc>
          <w:tcPr>
            <w:tcW w:w="11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24"/>
                <w:szCs w:val="24"/>
                <w:color w:val="auto"/>
              </w:rPr>
            </w:pPr>
          </w:p>
        </w:tc>
      </w:tr>
      <w:tr>
        <w:trPr>
          <w:trHeight w:val="142"/>
        </w:trPr>
        <w:tc>
          <w:tcPr>
            <w:tcW w:w="11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6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42,922,972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34,490,808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25,269,520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27,901,874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8,860,595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8,911,005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start-up and license costs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2,464,112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3,011,692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Sale of royalties</w:t>
            </w: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16,392,000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22,406,996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96,054,353</w:t>
            </w: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96,867,490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(96,054,353 )</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(96,867,059 )</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1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(431 )</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(431 )</w:t>
            </w: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1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614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F-18</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-3771265</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-3754120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-3771265</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-3754120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-1508125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-1508125</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-1224915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-1224915</wp:posOffset>
            </wp:positionV>
            <wp:extent cx="596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-933450</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-916305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-933450</wp:posOffset>
            </wp:positionV>
            <wp:extent cx="596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-916305</wp:posOffset>
            </wp:positionV>
            <wp:extent cx="596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A reconciliation between the Company’s effective tax rate and the federal statutory rate for the years ended December 31, 2024 and 2023 are as follows:</w:t>
      </w:r>
    </w:p>
    <w:p>
      <w:pPr>
        <w:spacing w:after="0" w:line="8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59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r>
      <w:tr>
        <w:trPr>
          <w:trHeight w:val="20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21.00 %</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14.99 %</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(0.57 %)</w:t>
            </w:r>
          </w:p>
        </w:tc>
      </w:tr>
      <w:tr>
        <w:trPr>
          <w:trHeight w:val="216"/>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0.00 %</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(35.99 %)</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(20.44 %)</w:t>
            </w:r>
          </w:p>
        </w:tc>
      </w:tr>
      <w:tr>
        <w:trPr>
          <w:trHeight w:val="20"/>
        </w:trPr>
        <w:tc>
          <w:tcPr>
            <w:tcW w:w="5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7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0.00 %</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-25400</wp:posOffset>
            </wp:positionV>
            <wp:extent cx="1543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1543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1543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1543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the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losses and the uncertainty of future taxable income over the periods which the Company will realize the benefits of its net deferred tax assets, management believes it is more likely than not that the Company will not realize the benefits on the balance of its net deferred tax asset and, accordingly, the Company has established a full valuation allowance on its net deferred tax assets. The valuation allowance decreased by approximately $0.8 million and increased by approximately $6.8 million during the years ended December 31, 2024 and 2023, respectively.</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approximately $156.8 million of federal net operating losses that will begin to expire in 2036, if not utilized. Of the total federal net operating loss, approximately $135.4 million has an unlimited carryforward and therefore will not expire. As of December 31, 2024, the Company had approximately $7.7 million of New Jersey and approximately $148.1 million of Massachusetts operating losses that will begin to expire in 2029 and 2037, respectively, if not utilized. As of December 31, 2024, the Company had approximately $0.1 million of federal research and development credits that will begin to expire in 2027, if not utilized.</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2021 to present.</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no liability recorded for unrecognized tax benefit. The Company classifies penalties and interest expense related to income tax liabilities as an income tax expense. There were no interest and penalties recognized in the statements of operations for the years ended December 31, 2024 and 2023, or accrued on the balance sheets as of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11, 2022, the Company entered into an office lease agreement with Regus to lease approximately 491 rentable square feet of office space located at 1500 District Avenue, Burlington, MA 01803. In January 2025, the Company renewed the month-to-month lease agreement commencing on February 1, 2025, with a monthly payment of $9,106. The Company has elected to not recognize the lease agreement on the balance sheet as the term of the agreement is 12 months or 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December 31, 2024. Based on the evaluation of our disclosure controls and procedures as of December 31, 2024,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2024, our management assessed the effectiveness of our internal control over financial reporting using the criteria set forth by the Committee of Sponsoring Organizations of the Treadway Commission in Internal Control-Integrated Framework (2013 Framework). Based on this assessment, our management concluded that, as of December 31, 2024, our internal control over financial reporting was effective based on those criteria.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the Securities and Exchange Commission adopted amendments to the accelerated filer and large accelerated filer definitions on March 12, 2020. Following the adoption of the amendments, smaller reporting companies with less than $100 million in revenues will continue to be required to establish and maintain effective internal control over financial reporting (“ICFR”) but will no longer be required to obtain a separate attestation of their ICFR from an outside auditor.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such term is defined in Rules 13a-15(f) and 15d-15(f) promulgated under the Exchange Act, during the fourth quarter that would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will be contained in the sections entitled “Election of Directors,” “Information Regarding the Board and Corporate Governance,” “Executive Officers” and “Delinquent Section 16(a) Reports” appearing in the definitive proxy statement we will file in connection with our 2025 Annual Meeting of Stockholders and is incorporated by reference herein.</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all officers, directors and employees, and have posted the text of the policy on our website (http://ir.minervaneurosciences.com/corporate-governance). In addition, we intend to promptly disclose on our website in the future (i) the date and nature of any amendment (other than technical, administrative or other non-substantive amendments) to the policy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policy that is granted to one of these specified individuals that relates to one or more of the elements of the code of ethics definition enumerated in Item 406(b) of Regulation S-K, the name of such person who is granted the waiver and the date of the waiver.</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and/or other dispositions of our securities by directors, officers and employees. In addition, it is our intent to comply with the applicable laws and regulations relating to insider trading.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contained in the sections entitled “Executive Compensation” and “Director Compensation” appearing in the definitive proxy statement we will file in connection with our 2025 Annual Meeting of Stockholders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be contained in the sections entitled “Security Ownership of Certain Beneficial Owners and Management” and “Equity Compensation Plan Information” appearing in the definitive proxy statement we will file in connection with our 2025 Annual Meeting of Stockholders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Person Transactions, and Director Independence</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will be contained in the sections entitled “Transactions with Related Persons Related Person Transactions Policy and Procedures” appearing in the definitive proxy statement we will file in connection with our 2025 Annual Meeting of Stockholders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14 will be contained in the section entitled “Principal Accountant Fees and Services” appearing in the definitive proxy statement we will file in connection with our 2025 Annual Meeting of Stockholders and is incorporated by reference herein.</w:t>
      </w: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1" w:name="page102"/>
    <w:bookmarkEnd w:id="101"/>
    <w:p>
      <w:pPr>
        <w:ind w:left="53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300" w:hanging="292"/>
        <w:spacing w:after="0"/>
        <w:tabs>
          <w:tab w:leader="none" w:pos="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Form 10-K.</w:t>
      </w:r>
    </w:p>
    <w:p>
      <w:pPr>
        <w:spacing w:after="0" w:line="117" w:lineRule="exact"/>
        <w:rPr>
          <w:rFonts w:ascii="Times New Roman" w:cs="Times New Roman" w:eastAsia="Times New Roman" w:hAnsi="Times New Roman"/>
          <w:sz w:val="18"/>
          <w:szCs w:val="18"/>
          <w:color w:val="auto"/>
        </w:rPr>
      </w:pPr>
    </w:p>
    <w:p>
      <w:pPr>
        <w:ind w:left="560" w:hanging="297"/>
        <w:spacing w:after="0"/>
        <w:tabs>
          <w:tab w:leader="none" w:pos="5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and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Stockholders’ Deficit for the Years Ended December 31, 2024 and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and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 Schedules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Schedules have been omitted as all required information has been disclosed in the financial statements and related footnotes.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 Exhibits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 or are incorporated herein by reference.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30"/>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3"/>
                <w:szCs w:val="13"/>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0"/>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Amended and Restated Certificate of Incorporation of the</w:t>
              </w:r>
            </w:hyperlink>
          </w:p>
        </w:tc>
        <w:tc>
          <w:tcPr>
            <w:tcW w:w="14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8"/>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Registrant</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Certificate of Amendment to Amended and Restated</w:t>
              </w:r>
            </w:hyperlink>
          </w:p>
        </w:tc>
        <w:tc>
          <w:tcPr>
            <w:tcW w:w="50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8"/>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Certificate of Incorporation of the Registrant</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Amended and Restated Bylaws of the Registrant</w:t>
              </w:r>
            </w:hyperlink>
          </w:p>
        </w:tc>
        <w:tc>
          <w:tcPr>
            <w:tcW w:w="840" w:type="dxa"/>
            <w:vAlign w:val="bottom"/>
            <w:gridSpan w:val="2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2019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Form of Common Stock Certificate</w:t>
              </w:r>
            </w:hyperlink>
          </w:p>
        </w:tc>
        <w:tc>
          <w:tcPr>
            <w:tcW w:w="20" w:type="dxa"/>
            <w:vAlign w:val="bottom"/>
            <w:tcBorders>
              <w:bottom w:val="single" w:sz="8" w:color="0000EE"/>
            </w:tcBorders>
          </w:tcPr>
          <w:p>
            <w:pPr>
              <w:spacing w:after="0"/>
              <w:rPr>
                <w:sz w:val="24"/>
                <w:szCs w:val="24"/>
                <w:color w:val="auto"/>
              </w:rPr>
            </w:pPr>
          </w:p>
        </w:tc>
        <w:tc>
          <w:tcPr>
            <w:tcW w:w="1760" w:type="dxa"/>
            <w:vAlign w:val="bottom"/>
            <w:gridSpan w:val="25"/>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Description of Securities Registered Pursuant to Section 12</w:t>
              </w:r>
            </w:hyperlink>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8"/>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of the Securities Exchange Act of 1934</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38"/>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Share Purchase Agreement between the Registrant, Mind-</w:t>
              </w:r>
            </w:hyperlink>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9,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NRG SA and Various Shareholders dated as of February</w:t>
              </w:r>
            </w:hyperlink>
          </w:p>
        </w:tc>
        <w:tc>
          <w:tcPr>
            <w:tcW w:w="40" w:type="dxa"/>
            <w:vAlign w:val="bottom"/>
            <w:tcBorders>
              <w:top w:val="single" w:sz="8" w:color="0000FF"/>
            </w:tcBorders>
            <w:gridSpan w:val="2"/>
          </w:tcPr>
          <w:p>
            <w:pPr>
              <w:spacing w:after="0"/>
              <w:rPr>
                <w:sz w:val="17"/>
                <w:szCs w:val="17"/>
                <w:color w:val="auto"/>
              </w:rPr>
            </w:pPr>
          </w:p>
        </w:tc>
        <w:tc>
          <w:tcPr>
            <w:tcW w:w="16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33">
              <w:r>
                <w:rPr>
                  <w:rFonts w:ascii="Times New Roman" w:cs="Times New Roman" w:eastAsia="Times New Roman" w:hAnsi="Times New Roman"/>
                  <w:sz w:val="18"/>
                  <w:szCs w:val="18"/>
                  <w:color w:val="0000FF"/>
                  <w:w w:val="98"/>
                </w:rPr>
                <w:t>11, 2014</w:t>
              </w:r>
            </w:hyperlink>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of Indemnification Agreement between the Registrant</w:t>
              </w:r>
            </w:hyperlink>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8"/>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and each of its directors and executive officers</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License Agreement between Mitsubishi Pharma</w:t>
              </w:r>
            </w:hyperlink>
          </w:p>
        </w:tc>
        <w:tc>
          <w:tcPr>
            <w:tcW w:w="840" w:type="dxa"/>
            <w:vAlign w:val="bottom"/>
            <w:gridSpan w:val="2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Corporation and the Registrant f/k/a Cyrenaic</w:t>
              </w:r>
            </w:hyperlink>
          </w:p>
        </w:tc>
        <w:tc>
          <w:tcPr>
            <w:tcW w:w="98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Pharmaceuticals, Inc., dated as of August 30, 2007</w:t>
              </w:r>
            </w:hyperlink>
          </w:p>
        </w:tc>
        <w:tc>
          <w:tcPr>
            <w:tcW w:w="20" w:type="dxa"/>
            <w:vAlign w:val="bottom"/>
            <w:tcBorders>
              <w:bottom w:val="single" w:sz="8" w:color="0000EE"/>
            </w:tcBorders>
          </w:tcPr>
          <w:p>
            <w:pPr>
              <w:spacing w:after="0"/>
              <w:rPr>
                <w:sz w:val="17"/>
                <w:szCs w:val="17"/>
                <w:color w:val="auto"/>
              </w:rPr>
            </w:pPr>
          </w:p>
        </w:tc>
        <w:tc>
          <w:tcPr>
            <w:tcW w:w="66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Amendment to License Agreement between Mitsubishi</w:t>
              </w:r>
            </w:hyperlink>
          </w:p>
        </w:tc>
        <w:tc>
          <w:tcPr>
            <w:tcW w:w="32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Tanabe Pharma Corporation and the Registrant f/k/a</w:t>
              </w:r>
            </w:hyperlink>
          </w:p>
        </w:tc>
        <w:tc>
          <w:tcPr>
            <w:tcW w:w="52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Cyrenaic Pharmaceuticals, Inc., dated as of June 16, 2011</w:t>
              </w:r>
            </w:hyperlink>
          </w:p>
        </w:tc>
        <w:tc>
          <w:tcPr>
            <w:tcW w:w="1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Second Amendment to License Agreement between</w:t>
              </w:r>
            </w:hyperlink>
          </w:p>
        </w:tc>
        <w:tc>
          <w:tcPr>
            <w:tcW w:w="56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Mitsubishi Tanabe Pharma Corporation and the Registrant,</w:t>
              </w:r>
            </w:hyperlink>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dated as of January 20, 2014</w:t>
              </w:r>
            </w:hyperlink>
          </w:p>
        </w:tc>
        <w:tc>
          <w:tcPr>
            <w:tcW w:w="2280" w:type="dxa"/>
            <w:vAlign w:val="bottom"/>
            <w:gridSpan w:val="27"/>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License Agreement between Mitsubishi Tanabe Pharma</w:t>
              </w:r>
            </w:hyperlink>
          </w:p>
        </w:tc>
        <w:tc>
          <w:tcPr>
            <w:tcW w:w="26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Corporation and the Registrant as successor in interest to</w:t>
              </w:r>
            </w:hyperlink>
          </w:p>
        </w:tc>
        <w:tc>
          <w:tcPr>
            <w:tcW w:w="20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Sonkei Pharmaceuticals, Inc., dated as of September 1,</w:t>
              </w:r>
            </w:hyperlink>
          </w:p>
        </w:tc>
        <w:tc>
          <w:tcPr>
            <w:tcW w:w="34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3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38">
              <w:r>
                <w:rPr>
                  <w:rFonts w:ascii="Times New Roman" w:cs="Times New Roman" w:eastAsia="Times New Roman" w:hAnsi="Times New Roman"/>
                  <w:sz w:val="18"/>
                  <w:szCs w:val="18"/>
                  <w:color w:val="0000FF"/>
                  <w:w w:val="94"/>
                </w:rPr>
                <w:t>2008</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Amendment to License Agreement between Mitsubishi</w:t>
              </w:r>
            </w:hyperlink>
          </w:p>
        </w:tc>
        <w:tc>
          <w:tcPr>
            <w:tcW w:w="32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Tanabe Pharma Corporation and the Registrant, dated as of</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239">
              <w:r>
                <w:rPr>
                  <w:rFonts w:ascii="Times New Roman" w:cs="Times New Roman" w:eastAsia="Times New Roman" w:hAnsi="Times New Roman"/>
                  <w:sz w:val="18"/>
                  <w:szCs w:val="18"/>
                  <w:color w:val="0000FF"/>
                  <w:w w:val="98"/>
                </w:rPr>
                <w:t>January 20, 2014</w:t>
              </w:r>
            </w:hyperlink>
          </w:p>
        </w:tc>
        <w:tc>
          <w:tcPr>
            <w:tcW w:w="20" w:type="dxa"/>
            <w:vAlign w:val="bottom"/>
            <w:tcBorders>
              <w:bottom w:val="single" w:sz="8" w:color="0000EE"/>
            </w:tcBorders>
          </w:tcPr>
          <w:p>
            <w:pPr>
              <w:spacing w:after="0"/>
              <w:rPr>
                <w:sz w:val="17"/>
                <w:szCs w:val="17"/>
                <w:color w:val="auto"/>
              </w:rPr>
            </w:pPr>
          </w:p>
        </w:tc>
        <w:tc>
          <w:tcPr>
            <w:tcW w:w="3080" w:type="dxa"/>
            <w:vAlign w:val="bottom"/>
            <w:gridSpan w:val="3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Co-Development and License Agreement between Janssen</w:t>
              </w:r>
            </w:hyperlink>
          </w:p>
        </w:tc>
        <w:tc>
          <w:tcPr>
            <w:tcW w:w="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Pharmaceutica, N.V. and the Registrant, dated as of</w:t>
              </w:r>
            </w:hyperlink>
          </w:p>
        </w:tc>
        <w:tc>
          <w:tcPr>
            <w:tcW w:w="58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8"/>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February 13, 2014</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Form of Securities Purchase Agreement between certain</w:t>
              </w:r>
            </w:hyperlink>
          </w:p>
        </w:tc>
        <w:tc>
          <w:tcPr>
            <w:tcW w:w="22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2015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investors referenced therein and the Registrant, dated as of</w:t>
              </w:r>
            </w:hyperlink>
          </w:p>
        </w:tc>
        <w:tc>
          <w:tcPr>
            <w:tcW w:w="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8"/>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March 13, 2015</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Form of Registration Rights Agreement between certain</w:t>
              </w:r>
            </w:hyperlink>
          </w:p>
        </w:tc>
        <w:tc>
          <w:tcPr>
            <w:tcW w:w="24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2015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investors referenced therein and the Registrant, dated as of</w:t>
              </w:r>
            </w:hyperlink>
          </w:p>
        </w:tc>
        <w:tc>
          <w:tcPr>
            <w:tcW w:w="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8"/>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March 13, 2015</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Second Amendment to License Agreement between</w:t>
              </w:r>
            </w:hyperlink>
          </w:p>
        </w:tc>
        <w:tc>
          <w:tcPr>
            <w:tcW w:w="56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2015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Mitsubishi Tanabe Pharma Corporation and the Registrant,</w:t>
              </w:r>
            </w:hyperlink>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8"/>
              </w:rPr>
            </w:pPr>
            <w:hyperlink r:id="rId243">
              <w:r>
                <w:rPr>
                  <w:rFonts w:ascii="Times New Roman" w:cs="Times New Roman" w:eastAsia="Times New Roman" w:hAnsi="Times New Roman"/>
                  <w:sz w:val="18"/>
                  <w:szCs w:val="18"/>
                  <w:color w:val="0000FF"/>
                  <w:w w:val="98"/>
                </w:rPr>
                <w:t>dated as of April 21, 2015</w:t>
              </w:r>
            </w:hyperlink>
          </w:p>
        </w:tc>
        <w:tc>
          <w:tcPr>
            <w:tcW w:w="20" w:type="dxa"/>
            <w:vAlign w:val="bottom"/>
            <w:tcBorders>
              <w:bottom w:val="single" w:sz="8" w:color="0000EE"/>
            </w:tcBorders>
          </w:tcPr>
          <w:p>
            <w:pPr>
              <w:spacing w:after="0"/>
              <w:rPr>
                <w:sz w:val="17"/>
                <w:szCs w:val="17"/>
                <w:color w:val="auto"/>
              </w:rPr>
            </w:pPr>
          </w:p>
        </w:tc>
        <w:tc>
          <w:tcPr>
            <w:tcW w:w="2440" w:type="dxa"/>
            <w:vAlign w:val="bottom"/>
            <w:gridSpan w:val="2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Amended and Restated Non-Employee Director</w:t>
              </w:r>
            </w:hyperlink>
          </w:p>
        </w:tc>
        <w:tc>
          <w:tcPr>
            <w:tcW w:w="480" w:type="dxa"/>
            <w:vAlign w:val="bottom"/>
            <w:gridSpan w:val="7"/>
          </w:tcPr>
          <w:p>
            <w:pPr>
              <w:spacing w:after="0"/>
              <w:rPr>
                <w:sz w:val="24"/>
                <w:szCs w:val="24"/>
                <w:color w:val="auto"/>
              </w:rPr>
            </w:pPr>
          </w:p>
        </w:tc>
        <w:tc>
          <w:tcPr>
            <w:tcW w:w="36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7, 2023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8"/>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Compensation Plan</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right w:val="single" w:sz="8" w:color="0000EE"/>
            </w:tcBorders>
            <w:gridSpan w:val="8"/>
            <w:shd w:val="clear" w:color="auto" w:fill="0000FF"/>
          </w:tcPr>
          <w:p>
            <w:pPr>
              <w:spacing w:after="0" w:line="20" w:lineRule="exact"/>
              <w:rPr>
                <w:sz w:val="1"/>
                <w:szCs w:val="1"/>
                <w:color w:val="auto"/>
              </w:rPr>
            </w:pPr>
          </w:p>
        </w:tc>
        <w:tc>
          <w:tcPr>
            <w:tcW w:w="2560" w:type="dxa"/>
            <w:vAlign w:val="bottom"/>
            <w:gridSpan w:val="16"/>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Common Stock Purchase Agreement, dated March 17,</w:t>
              </w:r>
            </w:hyperlink>
          </w:p>
        </w:tc>
        <w:tc>
          <w:tcPr>
            <w:tcW w:w="36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8"/>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2016, by and between David Kupfer and the Registrant</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ind w:right="57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80" w:type="dxa"/>
            <w:vAlign w:val="bottom"/>
            <w:gridSpan w:val="3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3"/>
                <w:szCs w:val="13"/>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0"/>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Employment Agreement, dated as of August 1, 2016,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4"/>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and between Mind-NRG SARL and Dr. Remy Luthringer</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top w:val="single" w:sz="8" w:color="0000FF"/>
              <w:bottom w:val="single" w:sz="8" w:color="0000FF"/>
            </w:tcBorders>
            <w:gridSpan w:val="26"/>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Employment Agreement, dated as of August 1, 2016, by</w:t>
              </w:r>
            </w:hyperlink>
          </w:p>
        </w:tc>
        <w:tc>
          <w:tcPr>
            <w:tcW w:w="20" w:type="dxa"/>
            <w:vAlign w:val="bottom"/>
            <w:tcBorders>
              <w:top w:val="single" w:sz="8" w:color="0000FF"/>
              <w:bottom w:val="single" w:sz="8" w:color="0000FF"/>
            </w:tcBorders>
          </w:tcPr>
          <w:p>
            <w:pPr>
              <w:spacing w:after="0"/>
              <w:rPr>
                <w:sz w:val="24"/>
                <w:szCs w:val="24"/>
                <w:color w:val="auto"/>
              </w:rPr>
            </w:pPr>
          </w:p>
        </w:tc>
        <w:tc>
          <w:tcPr>
            <w:tcW w:w="20" w:type="dxa"/>
            <w:vAlign w:val="bottom"/>
            <w:tcBorders>
              <w:top w:val="single" w:sz="8" w:color="0000FF"/>
              <w:bottom w:val="single" w:sz="8" w:color="0000FF"/>
            </w:tcBorders>
          </w:tcPr>
          <w:p>
            <w:pPr>
              <w:spacing w:after="0"/>
              <w:rPr>
                <w:sz w:val="24"/>
                <w:szCs w:val="24"/>
                <w:color w:val="auto"/>
              </w:rPr>
            </w:pPr>
          </w:p>
        </w:tc>
        <w:tc>
          <w:tcPr>
            <w:tcW w:w="20" w:type="dxa"/>
            <w:vAlign w:val="bottom"/>
            <w:tcBorders>
              <w:top w:val="single" w:sz="8" w:color="0000FF"/>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and between Mind-NRG SARL and Geoffrey Race</w:t>
              </w:r>
            </w:hyperlink>
          </w:p>
        </w:tc>
        <w:tc>
          <w:tcPr>
            <w:tcW w:w="20" w:type="dxa"/>
            <w:vAlign w:val="bottom"/>
            <w:tcBorders>
              <w:bottom w:val="single" w:sz="8" w:color="0000EE"/>
            </w:tcBorders>
          </w:tcPr>
          <w:p>
            <w:pPr>
              <w:spacing w:after="0"/>
              <w:rPr>
                <w:sz w:val="17"/>
                <w:szCs w:val="17"/>
                <w:color w:val="auto"/>
              </w:rPr>
            </w:pPr>
          </w:p>
        </w:tc>
        <w:tc>
          <w:tcPr>
            <w:tcW w:w="62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Employment Agreement, dated as of August 1, 2016,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and between the Registrant and Frederick Ahlholm</w:t>
              </w:r>
            </w:hyperlink>
          </w:p>
        </w:tc>
        <w:tc>
          <w:tcPr>
            <w:tcW w:w="20" w:type="dxa"/>
            <w:vAlign w:val="bottom"/>
            <w:tcBorders>
              <w:bottom w:val="single" w:sz="8" w:color="0000EE"/>
            </w:tcBorders>
          </w:tcPr>
          <w:p>
            <w:pPr>
              <w:spacing w:after="0"/>
              <w:rPr>
                <w:sz w:val="17"/>
                <w:szCs w:val="17"/>
                <w:color w:val="auto"/>
              </w:rPr>
            </w:pPr>
          </w:p>
        </w:tc>
        <w:tc>
          <w:tcPr>
            <w:tcW w:w="64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Form of Restricted Stock Unit Agreement under the</w:t>
              </w:r>
            </w:hyperlink>
          </w:p>
        </w:tc>
        <w:tc>
          <w:tcPr>
            <w:tcW w:w="54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16,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Amended and Restated 2013 Equity Incentive Plan of the</w:t>
              </w:r>
            </w:hyperlink>
          </w:p>
        </w:tc>
        <w:tc>
          <w:tcPr>
            <w:tcW w:w="1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4"/>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Registrant</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Form of Option Grant Agreement under the Amended and</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2017</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4"/>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Restated 2013 Equity Incentive Plan</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Amendment No. 1 to Co-Development and License</w:t>
              </w:r>
            </w:hyperlink>
          </w:p>
        </w:tc>
        <w:tc>
          <w:tcPr>
            <w:tcW w:w="58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14, 2017</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Agreement dated June 13, 2017, by and between the</w:t>
              </w:r>
            </w:hyperlink>
          </w:p>
        </w:tc>
        <w:tc>
          <w:tcPr>
            <w:tcW w:w="52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4"/>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Registrant and Janssen Pharmaceutica NV</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Commercial Supply Agreement by and between the</w:t>
              </w:r>
            </w:hyperlink>
          </w:p>
        </w:tc>
        <w:tc>
          <w:tcPr>
            <w:tcW w:w="560" w:type="dxa"/>
            <w:vAlign w:val="bottom"/>
            <w:gridSpan w:val="16"/>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2019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Registrant and Catalent Germany Schorndorf GmbH, dated</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4"/>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September 18, 2019</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Open Market Sale Agreement, dated as of September 14,</w:t>
              </w:r>
            </w:hyperlink>
          </w:p>
        </w:tc>
        <w:tc>
          <w:tcPr>
            <w:tcW w:w="18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333-267424</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2022, by and between the Registrant and Jefferies LLC</w:t>
              </w:r>
            </w:hyperlink>
          </w:p>
        </w:tc>
        <w:tc>
          <w:tcPr>
            <w:tcW w:w="20" w:type="dxa"/>
            <w:vAlign w:val="bottom"/>
            <w:tcBorders>
              <w:bottom w:val="single" w:sz="8" w:color="0000EE"/>
            </w:tcBorders>
          </w:tcPr>
          <w:p>
            <w:pPr>
              <w:spacing w:after="0"/>
              <w:rPr>
                <w:sz w:val="17"/>
                <w:szCs w:val="17"/>
                <w:color w:val="auto"/>
              </w:rPr>
            </w:pPr>
          </w:p>
        </w:tc>
        <w:tc>
          <w:tcPr>
            <w:tcW w:w="34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Settlement Agreement, dated as of June 24, 2020, by and</w:t>
              </w:r>
            </w:hyperlink>
          </w:p>
        </w:tc>
        <w:tc>
          <w:tcPr>
            <w:tcW w:w="18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between the Registrant and Janssen Pharmaceutica, N.V.</w:t>
              </w:r>
            </w:hyperlink>
          </w:p>
        </w:tc>
        <w:tc>
          <w:tcPr>
            <w:tcW w:w="24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Amended and Restated 2013 Equity Incentive Plan</w:t>
              </w:r>
            </w:hyperlink>
          </w:p>
        </w:tc>
        <w:tc>
          <w:tcPr>
            <w:tcW w:w="20" w:type="dxa"/>
            <w:vAlign w:val="bottom"/>
            <w:tcBorders>
              <w:bottom w:val="single" w:sz="8" w:color="0000EE"/>
            </w:tcBorders>
          </w:tcPr>
          <w:p>
            <w:pPr>
              <w:spacing w:after="0"/>
              <w:rPr>
                <w:sz w:val="24"/>
                <w:szCs w:val="24"/>
                <w:color w:val="auto"/>
              </w:rPr>
            </w:pPr>
          </w:p>
        </w:tc>
        <w:tc>
          <w:tcPr>
            <w:tcW w:w="640" w:type="dxa"/>
            <w:vAlign w:val="bottom"/>
            <w:gridSpan w:val="19"/>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7, 2023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Royalty Purchase Agreement, dated as of January 15, 2021,</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by and between the Registrant and RPI 2019 Intermediate</w:t>
              </w:r>
            </w:hyperlink>
          </w:p>
        </w:tc>
        <w:tc>
          <w:tcPr>
            <w:tcW w:w="1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4"/>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Finance Trust (redacted)</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Remy Luthringer Supplemental Retention Benefits Letter</w:t>
              </w:r>
            </w:hyperlink>
          </w:p>
        </w:tc>
        <w:tc>
          <w:tcPr>
            <w:tcW w:w="14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12, 2021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Agreement (redacted)</w:t>
              </w:r>
            </w:hyperlink>
          </w:p>
        </w:tc>
        <w:tc>
          <w:tcPr>
            <w:tcW w:w="20" w:type="dxa"/>
            <w:vAlign w:val="bottom"/>
            <w:tcBorders>
              <w:bottom w:val="single" w:sz="8" w:color="0000EE"/>
            </w:tcBorders>
          </w:tcPr>
          <w:p>
            <w:pPr>
              <w:spacing w:after="0"/>
              <w:rPr>
                <w:sz w:val="17"/>
                <w:szCs w:val="17"/>
                <w:color w:val="auto"/>
              </w:rPr>
            </w:pPr>
          </w:p>
        </w:tc>
        <w:tc>
          <w:tcPr>
            <w:tcW w:w="2740" w:type="dxa"/>
            <w:vAlign w:val="bottom"/>
            <w:gridSpan w:val="2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First Amendment to the Employment Agreement of Geoff</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Race by and between Mind-NRG SARL and Geoff Race,</w:t>
              </w:r>
            </w:hyperlink>
          </w:p>
        </w:tc>
        <w:tc>
          <w:tcPr>
            <w:tcW w:w="16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4"/>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effective October 11, 2021</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5"/>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Amended and Restated Employment Agreement by and</w:t>
              </w:r>
            </w:hyperlink>
          </w:p>
        </w:tc>
        <w:tc>
          <w:tcPr>
            <w:tcW w:w="28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between Minerva Neurosciences, Inc. and Frederick</w:t>
              </w:r>
            </w:hyperlink>
          </w:p>
        </w:tc>
        <w:tc>
          <w:tcPr>
            <w:tcW w:w="54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Ahlholm, effective October 11, 2021</w:t>
              </w:r>
            </w:hyperlink>
          </w:p>
        </w:tc>
        <w:tc>
          <w:tcPr>
            <w:tcW w:w="20" w:type="dxa"/>
            <w:vAlign w:val="bottom"/>
            <w:tcBorders>
              <w:bottom w:val="single" w:sz="8" w:color="0000EE"/>
            </w:tcBorders>
          </w:tcPr>
          <w:p>
            <w:pPr>
              <w:spacing w:after="0"/>
              <w:rPr>
                <w:sz w:val="17"/>
                <w:szCs w:val="17"/>
                <w:color w:val="auto"/>
              </w:rPr>
            </w:pPr>
          </w:p>
        </w:tc>
        <w:tc>
          <w:tcPr>
            <w:tcW w:w="1660" w:type="dxa"/>
            <w:vAlign w:val="bottom"/>
            <w:gridSpan w:val="2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First Amendment to the Employment Agreement of Remy</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13, 2022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Luthringer by and between Mind-NRG SARL and Remy</w:t>
              </w:r>
            </w:hyperlink>
          </w:p>
        </w:tc>
        <w:tc>
          <w:tcPr>
            <w:tcW w:w="2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4"/>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Luthringer, effective December 13, 2022</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40" w:type="dxa"/>
            <w:vAlign w:val="bottom"/>
            <w:tcBorders>
              <w:right w:val="single" w:sz="8" w:color="0000EE"/>
            </w:tcBorders>
            <w:gridSpan w:val="9"/>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Second Amendment to the Employment Agreement of</w:t>
              </w:r>
            </w:hyperlink>
          </w:p>
        </w:tc>
        <w:tc>
          <w:tcPr>
            <w:tcW w:w="34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Remy Luthringer by and between Mind-NRG SARL and</w:t>
              </w:r>
            </w:hyperlink>
          </w:p>
        </w:tc>
        <w:tc>
          <w:tcPr>
            <w:tcW w:w="2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Remy Luthringer, effective March 6, 2023</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gridSpan w:val="10"/>
            <w:shd w:val="clear" w:color="auto" w:fill="0000FF"/>
          </w:tcPr>
          <w:p>
            <w:pPr>
              <w:spacing w:after="0" w:line="20" w:lineRule="exact"/>
              <w:rPr>
                <w:sz w:val="1"/>
                <w:szCs w:val="1"/>
                <w:color w:val="auto"/>
              </w:rPr>
            </w:pPr>
          </w:p>
        </w:tc>
        <w:tc>
          <w:tcPr>
            <w:tcW w:w="840" w:type="dxa"/>
            <w:vAlign w:val="bottom"/>
            <w:tcBorders>
              <w:left w:val="single" w:sz="8" w:color="0000EE"/>
            </w:tcBorders>
            <w:gridSpan w:val="8"/>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Securities Purchase Agreement, dated June 27, 2023, by</w:t>
              </w:r>
            </w:hyperlink>
          </w:p>
        </w:tc>
        <w:tc>
          <w:tcPr>
            <w:tcW w:w="24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and among Minerva Neurosciences, Inc. and the purchasers</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264">
              <w:r>
                <w:rPr>
                  <w:rFonts w:ascii="Times New Roman" w:cs="Times New Roman" w:eastAsia="Times New Roman" w:hAnsi="Times New Roman"/>
                  <w:sz w:val="18"/>
                  <w:szCs w:val="18"/>
                  <w:color w:val="0000FF"/>
                  <w:w w:val="98"/>
                </w:rPr>
                <w:t>party thereto</w:t>
              </w:r>
            </w:hyperlink>
          </w:p>
        </w:tc>
        <w:tc>
          <w:tcPr>
            <w:tcW w:w="3420" w:type="dxa"/>
            <w:vAlign w:val="bottom"/>
            <w:gridSpan w:val="31"/>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Statement of Company Policy on Insider Trading and</w:t>
            </w:r>
          </w:p>
        </w:tc>
        <w:tc>
          <w:tcPr>
            <w:tcW w:w="440" w:type="dxa"/>
            <w:vAlign w:val="bottom"/>
            <w:gridSpan w:val="13"/>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Disclosure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ind w:right="57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80" w:type="dxa"/>
            <w:vAlign w:val="bottom"/>
            <w:gridSpan w:val="1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tcPr>
          <w:p>
            <w:pPr>
              <w:spacing w:after="0"/>
              <w:rPr>
                <w:sz w:val="13"/>
                <w:szCs w:val="13"/>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3"/>
                <w:szCs w:val="13"/>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13"/>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5"/>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List of Subsidiaries</w:t>
              </w:r>
            </w:hyperlink>
          </w:p>
        </w:tc>
        <w:tc>
          <w:tcPr>
            <w:tcW w:w="1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independent registered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public accounting firm</w:t>
            </w:r>
          </w:p>
        </w:tc>
        <w:tc>
          <w:tcPr>
            <w:tcW w:w="20" w:type="dxa"/>
            <w:vAlign w:val="bottom"/>
            <w:tcBorders>
              <w:bottom w:val="single" w:sz="8" w:color="0000EE"/>
            </w:tcBorders>
          </w:tcPr>
          <w:p>
            <w:pPr>
              <w:spacing w:after="0"/>
              <w:rPr>
                <w:sz w:val="17"/>
                <w:szCs w:val="17"/>
                <w:color w:val="auto"/>
              </w:rPr>
            </w:pPr>
          </w:p>
        </w:tc>
        <w:tc>
          <w:tcPr>
            <w:tcW w:w="268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of this</w:t>
            </w:r>
          </w:p>
        </w:tc>
        <w:tc>
          <w:tcPr>
            <w:tcW w:w="1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Annual Report on Form 10-K)</w:t>
            </w:r>
          </w:p>
        </w:tc>
        <w:tc>
          <w:tcPr>
            <w:tcW w:w="214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w:t>
            </w:r>
          </w:p>
        </w:tc>
        <w:tc>
          <w:tcPr>
            <w:tcW w:w="66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 pursuant to Section 302 of Sarbanes-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0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(Principal Financial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Section 302 of Sarbanes-Oxley Act of</w:t>
            </w:r>
          </w:p>
        </w:tc>
        <w:tc>
          <w:tcPr>
            <w:tcW w:w="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3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w:t>
            </w:r>
          </w:p>
        </w:tc>
        <w:tc>
          <w:tcPr>
            <w:tcW w:w="66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 and Chief Financial Officer (Principal</w:t>
            </w:r>
          </w:p>
        </w:tc>
        <w:tc>
          <w:tcPr>
            <w:tcW w:w="16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pursuant to Section 906 of Sarbanes-</w:t>
            </w:r>
          </w:p>
        </w:tc>
        <w:tc>
          <w:tcPr>
            <w:tcW w:w="34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Incentive Compensation Recoupment Policy</w:t>
              </w:r>
            </w:hyperlink>
          </w:p>
        </w:tc>
        <w:tc>
          <w:tcPr>
            <w:tcW w:w="20" w:type="dxa"/>
            <w:vAlign w:val="bottom"/>
            <w:tcBorders>
              <w:bottom w:val="single" w:sz="8" w:color="0000EE"/>
            </w:tcBorders>
          </w:tcPr>
          <w:p>
            <w:pPr>
              <w:spacing w:after="0"/>
              <w:rPr>
                <w:sz w:val="24"/>
                <w:szCs w:val="24"/>
                <w:color w:val="auto"/>
              </w:rPr>
            </w:pPr>
          </w:p>
        </w:tc>
        <w:tc>
          <w:tcPr>
            <w:tcW w:w="110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as its XBRL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Linkbase Document.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formatted as inline XBRL with applicable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taxonomy extension information contained in Exhibits 101.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Confidential treatment has been granted by the Securities and Exchange Commission as to certain portions of this document.</w:t>
      </w:r>
    </w:p>
    <w:p>
      <w:pPr>
        <w:spacing w:after="0" w:line="117" w:lineRule="exact"/>
        <w:rPr>
          <w:sz w:val="20"/>
          <w:szCs w:val="20"/>
          <w:color w:val="auto"/>
        </w:rPr>
      </w:pPr>
    </w:p>
    <w:p>
      <w:pPr>
        <w:ind w:right="80" w:firstLine="8"/>
        <w:spacing w:after="0" w:line="266" w:lineRule="auto"/>
        <w:tabs>
          <w:tab w:leader="none" w:pos="2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68"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105" w:name="page106"/>
    <w:bookmarkEnd w:id="1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5715</wp:posOffset>
            </wp:positionV>
            <wp:extent cx="25285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838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23"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Remy Luthringer, Ph.D.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Frederick Ahlholm, and each of them, his true and lawful attorneys-in-fact and agents, with full power of substitution and resubstitution, for him and in his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20"/>
                <w:szCs w:val="20"/>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91"/>
        </w:trPr>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Remy Luthringer, Ph.D.</w:t>
            </w:r>
          </w:p>
        </w:tc>
        <w:tc>
          <w:tcPr>
            <w:tcW w:w="240" w:type="dxa"/>
            <w:vAlign w:val="bottom"/>
          </w:tcPr>
          <w:p>
            <w:pPr>
              <w:spacing w:after="0"/>
              <w:rPr>
                <w:sz w:val="16"/>
                <w:szCs w:val="16"/>
                <w:color w:val="auto"/>
              </w:rPr>
            </w:pPr>
          </w:p>
        </w:tc>
        <w:tc>
          <w:tcPr>
            <w:tcW w:w="3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Executive Chairman and</w:t>
            </w:r>
          </w:p>
        </w:tc>
        <w:tc>
          <w:tcPr>
            <w:tcW w:w="2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5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39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240" w:type="dxa"/>
            <w:vAlign w:val="bottom"/>
          </w:tcPr>
          <w:p>
            <w:pPr>
              <w:spacing w:after="0"/>
              <w:rPr>
                <w:sz w:val="14"/>
                <w:szCs w:val="14"/>
                <w:color w:val="auto"/>
              </w:rPr>
            </w:pPr>
          </w:p>
        </w:tc>
        <w:tc>
          <w:tcPr>
            <w:tcW w:w="33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6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Remy Luthringer, Ph.D.</w:t>
            </w:r>
          </w:p>
        </w:tc>
        <w:tc>
          <w:tcPr>
            <w:tcW w:w="24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Frederick Ahlholm</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920" w:type="dxa"/>
            <w:vAlign w:val="bottom"/>
            <w:vMerge w:val="restart"/>
          </w:tcPr>
          <w:p>
            <w:pPr>
              <w:jc w:val="center"/>
              <w:spacing w:after="0" w:line="163" w:lineRule="exact"/>
              <w:rPr>
                <w:sz w:val="20"/>
                <w:szCs w:val="20"/>
                <w:color w:val="auto"/>
              </w:rPr>
            </w:pPr>
            <w:r>
              <w:rPr>
                <w:rFonts w:ascii="Times New Roman" w:cs="Times New Roman" w:eastAsia="Times New Roman" w:hAnsi="Times New Roman"/>
                <w:sz w:val="18"/>
                <w:szCs w:val="18"/>
                <w:i w:val="1"/>
                <w:iCs w:val="1"/>
                <w:color w:val="auto"/>
              </w:rPr>
              <w:t>(Principal Financial Officer and</w:t>
            </w:r>
          </w:p>
        </w:tc>
        <w:tc>
          <w:tcPr>
            <w:tcW w:w="240" w:type="dxa"/>
            <w:vAlign w:val="bottom"/>
          </w:tcPr>
          <w:p>
            <w:pPr>
              <w:spacing w:after="0"/>
              <w:rPr>
                <w:sz w:val="12"/>
                <w:szCs w:val="12"/>
                <w:color w:val="auto"/>
              </w:rPr>
            </w:pPr>
          </w:p>
        </w:tc>
        <w:tc>
          <w:tcPr>
            <w:tcW w:w="3340" w:type="dxa"/>
            <w:vAlign w:val="bottom"/>
            <w:vMerge w:val="restart"/>
          </w:tcPr>
          <w:p>
            <w:pPr>
              <w:jc w:val="center"/>
              <w:spacing w:after="0" w:line="163" w:lineRule="exact"/>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9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3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Frederick Ahlholm</w:t>
            </w:r>
          </w:p>
        </w:tc>
        <w:tc>
          <w:tcPr>
            <w:tcW w:w="24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2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Geoffrey Race</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Geoffrey Race</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Hans Peter Hasler</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Hans Peter Hasler</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Kupfer, MD</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Kupfer, MD</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Fouzia Laghrissi-Thode, MD</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Fouzia Laghrissi-Thode, MD</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Jan van Heek</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 van Heek</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500" w:type="dxa"/>
            <w:vAlign w:val="bottom"/>
          </w:tcPr>
          <w:p>
            <w:pPr>
              <w:spacing w:after="0"/>
              <w:rPr>
                <w:sz w:val="24"/>
                <w:szCs w:val="24"/>
                <w:color w:val="auto"/>
              </w:rPr>
            </w:pPr>
          </w:p>
        </w:tc>
        <w:tc>
          <w:tcPr>
            <w:tcW w:w="4160" w:type="dxa"/>
            <w:vAlign w:val="bottom"/>
            <w:gridSpan w:val="2"/>
          </w:tcPr>
          <w:p>
            <w:pPr>
              <w:jc w:val="right"/>
              <w:ind w:right="185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ind w:left="10140"/>
        <w:spacing w:after="0"/>
        <w:rPr>
          <w:sz w:val="20"/>
          <w:szCs w:val="20"/>
          <w:color w:val="auto"/>
        </w:rPr>
      </w:pPr>
      <w:r>
        <w:rPr>
          <w:rFonts w:ascii="Arial" w:cs="Arial" w:eastAsia="Arial" w:hAnsi="Arial"/>
          <w:sz w:val="19"/>
          <w:szCs w:val="19"/>
          <w:b w:val="1"/>
          <w:bCs w:val="1"/>
          <w:color w:val="auto"/>
        </w:rPr>
        <w:t>Exhibit 19.1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inerva</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eurosciences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jc w:val="center"/>
        <w:spacing w:after="0" w:line="231"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nsider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13"/>
          <w:szCs w:val="13"/>
          <w:b w:val="1"/>
          <w:bCs w:val="1"/>
          <w:color w:val="auto"/>
        </w:rPr>
        <w:t>adopted</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ebruary</w:t>
      </w:r>
      <w:r>
        <w:rPr>
          <w:rFonts w:ascii="Arial" w:cs="Arial" w:eastAsia="Arial" w:hAnsi="Arial"/>
          <w:sz w:val="20"/>
          <w:szCs w:val="20"/>
          <w:b w:val="1"/>
          <w:bCs w:val="1"/>
          <w:color w:val="auto"/>
        </w:rPr>
        <w:t xml:space="preserv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2794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ntroduction</w:t>
      </w:r>
    </w:p>
    <w:p>
      <w:pPr>
        <w:spacing w:after="0" w:line="204"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During the course of your relationship with Minerva Neurosciences, Inc. (“</w:t>
      </w:r>
      <w:r>
        <w:rPr>
          <w:rFonts w:ascii="Arial" w:cs="Arial" w:eastAsia="Arial" w:hAnsi="Arial"/>
          <w:sz w:val="20"/>
          <w:szCs w:val="20"/>
          <w:b w:val="1"/>
          <w:bCs w:val="1"/>
          <w:i w:val="1"/>
          <w:iCs w:val="1"/>
          <w:color w:val="auto"/>
        </w:rPr>
        <w:t>Minerva</w:t>
      </w:r>
      <w:r>
        <w:rPr>
          <w:rFonts w:ascii="Arial" w:cs="Arial" w:eastAsia="Arial" w:hAnsi="Arial"/>
          <w:sz w:val="20"/>
          <w:szCs w:val="20"/>
          <w:color w:val="auto"/>
        </w:rPr>
        <w:t>”), you may receive material information that is not yet publicly available (“</w:t>
      </w:r>
      <w:r>
        <w:rPr>
          <w:rFonts w:ascii="Arial" w:cs="Arial" w:eastAsia="Arial" w:hAnsi="Arial"/>
          <w:sz w:val="20"/>
          <w:szCs w:val="20"/>
          <w:b w:val="1"/>
          <w:bCs w:val="1"/>
          <w:i w:val="1"/>
          <w:iCs w:val="1"/>
          <w:color w:val="auto"/>
        </w:rPr>
        <w:t>material nonpublic information</w:t>
      </w:r>
      <w:r>
        <w:rPr>
          <w:rFonts w:ascii="Arial" w:cs="Arial" w:eastAsia="Arial" w:hAnsi="Arial"/>
          <w:sz w:val="20"/>
          <w:szCs w:val="20"/>
          <w:color w:val="auto"/>
        </w:rPr>
        <w:t>”) about Minerva or other publicly traded companies that Minerva has business relationships with. Material nonpublic information may give you, or someone you pass that information on to, a leg up over others when deciding whether to buy, sell or otherwise transact in Minerva’s securities or the securities of another publicly traded company. This policy sets forth guidelines with respect to transactions in Minerva securities and in the securities of other applicable publicly traded companies, in each case by our employees, directors and consultants and the other persons or entities subject to this policy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ransactions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ubject to this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This policy applies to all transactions in securities issued by Minerva, as well as derivative securities that are not issued by Minerva, such as exchange-traded put or call options or swaps relating to Minerva’s securities. Accordingly, for purposes of this policy, the terms “</w:t>
      </w:r>
      <w:r>
        <w:rPr>
          <w:rFonts w:ascii="Arial" w:cs="Arial" w:eastAsia="Arial" w:hAnsi="Arial"/>
          <w:sz w:val="20"/>
          <w:szCs w:val="20"/>
          <w:b w:val="1"/>
          <w:bCs w:val="1"/>
          <w:i w:val="1"/>
          <w:iCs w:val="1"/>
          <w:color w:val="auto"/>
        </w:rPr>
        <w:t>trade</w:t>
      </w:r>
      <w:r>
        <w:rPr>
          <w:rFonts w:ascii="Arial" w:cs="Arial" w:eastAsia="Arial" w:hAnsi="Arial"/>
          <w:sz w:val="20"/>
          <w:szCs w:val="20"/>
          <w:color w:val="auto"/>
        </w:rPr>
        <w:t>,” “</w:t>
      </w:r>
      <w:r>
        <w:rPr>
          <w:rFonts w:ascii="Arial" w:cs="Arial" w:eastAsia="Arial" w:hAnsi="Arial"/>
          <w:sz w:val="20"/>
          <w:szCs w:val="20"/>
          <w:b w:val="1"/>
          <w:bCs w:val="1"/>
          <w:i w:val="1"/>
          <w:iCs w:val="1"/>
          <w:color w:val="auto"/>
        </w:rPr>
        <w:t>trading</w:t>
      </w:r>
      <w:r>
        <w:rPr>
          <w:rFonts w:ascii="Arial" w:cs="Arial" w:eastAsia="Arial" w:hAnsi="Arial"/>
          <w:sz w:val="20"/>
          <w:szCs w:val="20"/>
          <w:color w:val="auto"/>
        </w:rPr>
        <w:t>” and “</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 include not only purchases and sales of Minerva’s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ersons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ubject to this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jc w:val="both"/>
        <w:ind w:firstLine="374"/>
        <w:spacing w:after="0" w:line="230" w:lineRule="auto"/>
        <w:rPr>
          <w:sz w:val="20"/>
          <w:szCs w:val="20"/>
          <w:color w:val="auto"/>
        </w:rPr>
      </w:pPr>
      <w:r>
        <w:rPr>
          <w:rFonts w:ascii="Arial" w:cs="Arial" w:eastAsia="Arial" w:hAnsi="Arial"/>
          <w:sz w:val="20"/>
          <w:szCs w:val="20"/>
          <w:color w:val="auto"/>
        </w:rPr>
        <w:t xml:space="preserve">This policy applies to you and all other employees, directors and consultants of Minerva and its subsidiaries. This policy also applies to members of your family who reside with you, any other persons with whom you share a household, any family members who do not live in your household but whose transactions in Minerva’s securities are directed by you or are subject to your influence or control and any other individuals or entities whose transactions in securities you influence, direct or control (including, e.g., a venture or other investment fund, </w:t>
      </w:r>
      <w:r>
        <w:rPr>
          <w:rFonts w:ascii="Arial" w:cs="Arial" w:eastAsia="Arial" w:hAnsi="Arial"/>
          <w:sz w:val="20"/>
          <w:szCs w:val="20"/>
          <w:u w:val="single" w:color="auto"/>
          <w:color w:val="auto"/>
        </w:rPr>
        <w:t>if</w:t>
      </w:r>
      <w:r>
        <w:rPr>
          <w:rFonts w:ascii="Arial" w:cs="Arial" w:eastAsia="Arial" w:hAnsi="Arial"/>
          <w:sz w:val="20"/>
          <w:szCs w:val="20"/>
          <w:color w:val="auto"/>
        </w:rPr>
        <w:t xml:space="preserve"> you influence,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Minerva’s securities. The foregoing persons who are deemed subject to this policy are referred to in this policy as “</w:t>
      </w:r>
      <w:r>
        <w:rPr>
          <w:rFonts w:ascii="Arial" w:cs="Arial" w:eastAsia="Arial" w:hAnsi="Arial"/>
          <w:sz w:val="20"/>
          <w:szCs w:val="20"/>
          <w:b w:val="1"/>
          <w:bCs w:val="1"/>
          <w:i w:val="1"/>
          <w:iCs w:val="1"/>
          <w:color w:val="auto"/>
        </w:rPr>
        <w:t>Related Persons</w:t>
      </w:r>
      <w:r>
        <w:rPr>
          <w:rFonts w:ascii="Arial" w:cs="Arial" w:eastAsia="Arial" w:hAnsi="Arial"/>
          <w:sz w:val="20"/>
          <w:szCs w:val="20"/>
          <w:color w:val="auto"/>
        </w:rPr>
        <w:t>.” You are responsible for making sure that your Related Persons comply with this policy.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tatement of</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jc w:val="both"/>
        <w:ind w:firstLine="374"/>
        <w:spacing w:after="0" w:line="268" w:lineRule="auto"/>
        <w:rPr>
          <w:sz w:val="20"/>
          <w:szCs w:val="20"/>
          <w:color w:val="auto"/>
        </w:rPr>
      </w:pPr>
      <w:r>
        <w:rPr>
          <w:rFonts w:ascii="Arial" w:cs="Arial" w:eastAsia="Arial" w:hAnsi="Arial"/>
          <w:sz w:val="20"/>
          <w:szCs w:val="20"/>
          <w:color w:val="auto"/>
        </w:rPr>
        <w:t xml:space="preserve">It is the policy of Minerva that an employee, director or consultant of Minerva (or any other person or entity subject to this policy) who is aware of material nonpublic information relating to Minerva </w:t>
      </w:r>
      <w:r>
        <w:rPr>
          <w:rFonts w:ascii="Arial" w:cs="Arial" w:eastAsia="Arial" w:hAnsi="Arial"/>
          <w:sz w:val="20"/>
          <w:szCs w:val="20"/>
          <w:b w:val="1"/>
          <w:bCs w:val="1"/>
          <w:color w:val="auto"/>
        </w:rPr>
        <w:t>may not</w:t>
      </w:r>
      <w:r>
        <w:rPr>
          <w:rFonts w:ascii="Arial" w:cs="Arial" w:eastAsia="Arial" w:hAnsi="Arial"/>
          <w:sz w:val="20"/>
          <w:szCs w:val="20"/>
          <w:color w:val="auto"/>
        </w:rPr>
        <w:t>,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7" w:name="page108"/>
    <w:bookmarkEnd w:id="107"/>
    <w:p>
      <w:pPr>
        <w:ind w:left="1220" w:hanging="374"/>
        <w:spacing w:after="0" w:line="257" w:lineRule="auto"/>
        <w:tabs>
          <w:tab w:leader="none" w:pos="12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engage in any transactions in Minerva’s securities, except as otherwise specified under the heading “Exceptions to this Policy” below;</w:t>
      </w:r>
    </w:p>
    <w:p>
      <w:pPr>
        <w:spacing w:after="0" w:line="47" w:lineRule="exact"/>
        <w:rPr>
          <w:rFonts w:ascii="Arial" w:cs="Arial" w:eastAsia="Arial" w:hAnsi="Arial"/>
          <w:sz w:val="20"/>
          <w:szCs w:val="20"/>
          <w:color w:val="auto"/>
        </w:rPr>
      </w:pPr>
    </w:p>
    <w:p>
      <w:pPr>
        <w:ind w:left="1220" w:hanging="374"/>
        <w:spacing w:after="0"/>
        <w:tabs>
          <w:tab w:leader="none" w:pos="12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recommend the purchase or sale of any Minerva’s securities;</w:t>
      </w:r>
    </w:p>
    <w:p>
      <w:pPr>
        <w:spacing w:after="0" w:line="94" w:lineRule="exact"/>
        <w:rPr>
          <w:rFonts w:ascii="Arial" w:cs="Arial" w:eastAsia="Arial" w:hAnsi="Arial"/>
          <w:sz w:val="20"/>
          <w:szCs w:val="20"/>
          <w:color w:val="auto"/>
        </w:rPr>
      </w:pPr>
    </w:p>
    <w:p>
      <w:pPr>
        <w:jc w:val="both"/>
        <w:ind w:left="1220" w:hanging="374"/>
        <w:spacing w:after="0" w:line="237" w:lineRule="auto"/>
        <w:tabs>
          <w:tab w:leader="none" w:pos="12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disclose material nonpublic information to persons within Minerva whose jobs do not require them to have that information, or outside of Minerva to other persons, such as family, friends, business associates and investors, unless the disclosure is made in accordance with Minerva’s policies regarding the protection or authorized external disclosure of information regarding Minerva; or</w:t>
      </w:r>
    </w:p>
    <w:p>
      <w:pPr>
        <w:spacing w:after="0" w:line="63" w:lineRule="exact"/>
        <w:rPr>
          <w:rFonts w:ascii="Arial" w:cs="Arial" w:eastAsia="Arial" w:hAnsi="Arial"/>
          <w:sz w:val="20"/>
          <w:szCs w:val="20"/>
          <w:color w:val="auto"/>
        </w:rPr>
      </w:pPr>
    </w:p>
    <w:p>
      <w:pPr>
        <w:ind w:left="1220" w:hanging="374"/>
        <w:spacing w:after="0"/>
        <w:tabs>
          <w:tab w:leader="none" w:pos="12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assist anyone engaged in the above activities.</w:t>
      </w:r>
    </w:p>
    <w:p>
      <w:pPr>
        <w:spacing w:after="0" w:line="20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20"/>
          <w:szCs w:val="20"/>
          <w:color w:val="auto"/>
        </w:rPr>
        <w:t xml:space="preserve">The prohibition against insider trading is absolute. It applies </w:t>
      </w:r>
      <w:r>
        <w:rPr>
          <w:rFonts w:ascii="Arial" w:cs="Arial" w:eastAsia="Arial" w:hAnsi="Arial"/>
          <w:sz w:val="20"/>
          <w:szCs w:val="20"/>
          <w:b w:val="1"/>
          <w:bCs w:val="1"/>
          <w:i w:val="1"/>
          <w:iCs w:val="1"/>
          <w:color w:val="auto"/>
        </w:rPr>
        <w:t>even if</w:t>
      </w:r>
      <w:r>
        <w:rPr>
          <w:rFonts w:ascii="Arial" w:cs="Arial" w:eastAsia="Arial" w:hAnsi="Arial"/>
          <w:sz w:val="20"/>
          <w:szCs w:val="20"/>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Arial" w:cs="Arial" w:eastAsia="Arial" w:hAnsi="Arial"/>
          <w:sz w:val="20"/>
          <w:szCs w:val="20"/>
          <w:b w:val="1"/>
          <w:bCs w:val="1"/>
          <w:color w:val="auto"/>
        </w:rPr>
        <w:t>any</w:t>
      </w:r>
      <w:r>
        <w:rPr>
          <w:rFonts w:ascii="Arial" w:cs="Arial" w:eastAsia="Arial" w:hAnsi="Arial"/>
          <w:sz w:val="20"/>
          <w:szCs w:val="20"/>
          <w:color w:val="auto"/>
        </w:rPr>
        <w:t xml:space="preserve"> material nonpublic information relating to Minerva at the time of the transaction.</w:t>
      </w:r>
    </w:p>
    <w:p>
      <w:pPr>
        <w:spacing w:after="0" w:line="164"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The U.S. federal securities laws do not recognize any mitigating circumstances to insider trading. In addition, even the appearance of an improper transaction must be avoided to preserve Minerva’s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75" w:lineRule="exact"/>
        <w:rPr>
          <w:sz w:val="20"/>
          <w:szCs w:val="20"/>
          <w:color w:val="auto"/>
        </w:rPr>
      </w:pPr>
    </w:p>
    <w:p>
      <w:pPr>
        <w:jc w:val="both"/>
        <w:ind w:firstLine="374"/>
        <w:spacing w:after="0" w:line="230" w:lineRule="auto"/>
        <w:rPr>
          <w:sz w:val="20"/>
          <w:szCs w:val="20"/>
          <w:color w:val="auto"/>
        </w:rPr>
      </w:pPr>
      <w:r>
        <w:rPr>
          <w:rFonts w:ascii="Arial" w:cs="Arial" w:eastAsia="Arial" w:hAnsi="Arial"/>
          <w:sz w:val="20"/>
          <w:szCs w:val="20"/>
          <w:color w:val="auto"/>
        </w:rPr>
        <w:t xml:space="preserve">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Minerva that no employee, director or consultant of Minerva (or any other person or entity subject to this policy) may either (a) recommend to another person or entity that they buy, hold or sell Minerva’s securities </w:t>
      </w:r>
      <w:r>
        <w:rPr>
          <w:rFonts w:ascii="Arial" w:cs="Arial" w:eastAsia="Arial" w:hAnsi="Arial"/>
          <w:sz w:val="20"/>
          <w:szCs w:val="20"/>
          <w:b w:val="1"/>
          <w:bCs w:val="1"/>
          <w:color w:val="auto"/>
        </w:rPr>
        <w:t>at any time</w:t>
      </w:r>
      <w:r>
        <w:rPr>
          <w:rFonts w:ascii="Arial" w:cs="Arial" w:eastAsia="Arial" w:hAnsi="Arial"/>
          <w:sz w:val="20"/>
          <w:szCs w:val="20"/>
          <w:color w:val="auto"/>
        </w:rPr>
        <w:t xml:space="preserve"> or (b) disclose material nonpublic information to persons within Minerva whose jobs do not require them to have that information, or outside of Minerva to other persons (unless the disclosure is made in accordance with Minerva’s policies regarding the protection or authorized external disclosure of information regarding Minerva).</w:t>
      </w:r>
    </w:p>
    <w:p>
      <w:pPr>
        <w:spacing w:after="0" w:line="172" w:lineRule="exact"/>
        <w:rPr>
          <w:sz w:val="20"/>
          <w:szCs w:val="20"/>
          <w:color w:val="auto"/>
        </w:rPr>
      </w:pPr>
    </w:p>
    <w:p>
      <w:pPr>
        <w:jc w:val="both"/>
        <w:ind w:firstLine="469"/>
        <w:spacing w:after="0" w:line="237" w:lineRule="auto"/>
        <w:rPr>
          <w:sz w:val="20"/>
          <w:szCs w:val="20"/>
          <w:color w:val="auto"/>
        </w:rPr>
      </w:pPr>
      <w:r>
        <w:rPr>
          <w:rFonts w:ascii="Arial" w:cs="Arial" w:eastAsia="Arial" w:hAnsi="Arial"/>
          <w:sz w:val="20"/>
          <w:szCs w:val="20"/>
          <w:color w:val="auto"/>
        </w:rPr>
        <w:t>In addition, it is the policy of Minerva that no person subject to this policy who, in the course of his or her relationship with Minerva, learns of any confidential information that is material to another publicly traded company with which Minerva does business, including a supplier, partner or collaborator of Minerva, may trade in that other company’s securities until the information becomes public or is no longer material to that other company.</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There are no exceptions to this policy, except as specifically noted above or below.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aterial</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onpublic</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nformation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Material information</w:t>
      </w:r>
    </w:p>
    <w:p>
      <w:pPr>
        <w:spacing w:after="0" w:line="202"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75"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75" w:lineRule="exact"/>
        <w:rPr>
          <w:sz w:val="20"/>
          <w:szCs w:val="20"/>
          <w:color w:val="auto"/>
        </w:rPr>
      </w:pPr>
    </w:p>
    <w:p>
      <w:pPr>
        <w:ind w:left="1140" w:hanging="383"/>
        <w:spacing w:after="0"/>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results or forecasts;</w:t>
      </w:r>
    </w:p>
    <w:p>
      <w:pPr>
        <w:spacing w:after="0" w:line="16" w:lineRule="exact"/>
        <w:rPr>
          <w:rFonts w:ascii="Times New Roman" w:cs="Times New Roman" w:eastAsia="Times New Roman" w:hAnsi="Times New Roman"/>
          <w:sz w:val="20"/>
          <w:szCs w:val="20"/>
          <w:color w:val="auto"/>
        </w:rPr>
      </w:pP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status of product or product candidate development or regulatory approvals;</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clinical data relating to products or product candidates;</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timelines for pre-clinical studies or clinical trials;</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acquisitions or dispositions of assets, divisions or companies;</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public or private sales of debt or equity securities;</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stock splits, dividends or changes in dividend policy;</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the establishment of a repurchase program for Minerva’s securities;</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gain or loss of a significant licensor, licensee or supplier;</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changes or new corporate partner relationships or collaborations;</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notice of issuance or denial of patents;</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regulatory developments;</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management or control changes;</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employee layoffs;</w:t>
      </w:r>
    </w:p>
    <w:p>
      <w:pPr>
        <w:ind w:left="1140" w:hanging="383"/>
        <w:spacing w:after="0" w:line="224"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a disruption in Minerva’s operations or breach or unauthorized access of its property or assets, including its facilities and information technology infrastructure;</w:t>
      </w:r>
    </w:p>
    <w:p>
      <w:pPr>
        <w:spacing w:after="0" w:line="1" w:lineRule="exact"/>
        <w:rPr>
          <w:rFonts w:ascii="Times New Roman" w:cs="Times New Roman" w:eastAsia="Times New Roman" w:hAnsi="Times New Roman"/>
          <w:sz w:val="20"/>
          <w:szCs w:val="20"/>
          <w:color w:val="auto"/>
        </w:rPr>
      </w:pP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tender offers or proxy fights;</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accounting restatements;</w:t>
      </w:r>
    </w:p>
    <w:p>
      <w:pPr>
        <w:ind w:left="1140" w:hanging="383"/>
        <w:spacing w:after="0" w:line="238" w:lineRule="auto"/>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litigation or settlements; and</w:t>
      </w:r>
    </w:p>
    <w:p>
      <w:pPr>
        <w:ind w:left="1140" w:hanging="383"/>
        <w:spacing w:after="0"/>
        <w:tabs>
          <w:tab w:leader="none" w:pos="114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impending bankruptcy.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When information is considered public</w:t>
      </w:r>
    </w:p>
    <w:p>
      <w:pPr>
        <w:spacing w:after="0" w:line="202"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Arial" w:cs="Arial" w:eastAsia="Arial" w:hAnsi="Arial"/>
          <w:sz w:val="20"/>
          <w:szCs w:val="20"/>
          <w:b w:val="1"/>
          <w:bCs w:val="1"/>
          <w:i w:val="1"/>
          <w:iCs w:val="1"/>
          <w:color w:val="auto"/>
        </w:rPr>
        <w:t>SEC</w:t>
      </w:r>
      <w:r>
        <w:rPr>
          <w:rFonts w:ascii="Arial" w:cs="Arial" w:eastAsia="Arial" w:hAnsi="Arial"/>
          <w:sz w:val="20"/>
          <w:szCs w:val="20"/>
          <w:color w:val="auto"/>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9" w:name="page110"/>
    <w:bookmarkEnd w:id="109"/>
    <w:p>
      <w:pPr>
        <w:jc w:val="both"/>
        <w:spacing w:after="0" w:line="234" w:lineRule="auto"/>
        <w:rPr>
          <w:sz w:val="20"/>
          <w:szCs w:val="20"/>
          <w:color w:val="auto"/>
        </w:rPr>
      </w:pPr>
      <w:r>
        <w:rPr>
          <w:rFonts w:ascii="Arial" w:cs="Arial" w:eastAsia="Arial" w:hAnsi="Arial"/>
          <w:sz w:val="20"/>
          <w:szCs w:val="20"/>
          <w:color w:val="auto"/>
        </w:rPr>
        <w:t>information was publicly disclosed.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Depending on the particular circumstances, Minerva may determine that a longer or shorter waiting period should apply to the release of specific material nonpublic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w:t>
      </w:r>
      <w:r>
        <w:rPr>
          <w:rFonts w:ascii="Arial" w:cs="Arial" w:eastAsia="Arial" w:hAnsi="Arial"/>
          <w:sz w:val="13"/>
          <w:szCs w:val="13"/>
          <w:b w:val="1"/>
          <w:bCs w:val="1"/>
          <w:color w:val="auto"/>
        </w:rPr>
        <w:t>uarterly</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lackouts</w:t>
      </w:r>
    </w:p>
    <w:p>
      <w:pPr>
        <w:spacing w:after="0" w:line="204" w:lineRule="exact"/>
        <w:rPr>
          <w:sz w:val="20"/>
          <w:szCs w:val="20"/>
          <w:color w:val="auto"/>
        </w:rPr>
      </w:pPr>
    </w:p>
    <w:p>
      <w:pPr>
        <w:jc w:val="both"/>
        <w:ind w:firstLine="374"/>
        <w:spacing w:after="0" w:line="230" w:lineRule="auto"/>
        <w:rPr>
          <w:sz w:val="20"/>
          <w:szCs w:val="20"/>
          <w:color w:val="auto"/>
        </w:rPr>
      </w:pPr>
      <w:r>
        <w:rPr>
          <w:rFonts w:ascii="Arial" w:cs="Arial" w:eastAsia="Arial" w:hAnsi="Arial"/>
          <w:sz w:val="20"/>
          <w:szCs w:val="20"/>
          <w:color w:val="auto"/>
        </w:rPr>
        <w:t xml:space="preserve">Because our workplace culture tends to be open, odds are that the vast majority of our employees, directors and consultants will possess material nonpublic information at certain points during the year. To minimize even the appearance of insider trading among our employees, directors and consultants we have established “quarterly trading blackout periods” during which Minerva employees, directors, consultants and their Related Persons—regardless of whether they are aware of material nonpublic information or not—may not conduct any trades in Minerva securities. That means that, except as described in this policy, </w:t>
      </w:r>
      <w:r>
        <w:rPr>
          <w:rFonts w:ascii="Arial" w:cs="Arial" w:eastAsia="Arial" w:hAnsi="Arial"/>
          <w:sz w:val="20"/>
          <w:szCs w:val="20"/>
          <w:u w:val="single" w:color="auto"/>
          <w:color w:val="auto"/>
        </w:rPr>
        <w:t>all</w:t>
      </w:r>
      <w:r>
        <w:rPr>
          <w:rFonts w:ascii="Arial" w:cs="Arial" w:eastAsia="Arial" w:hAnsi="Arial"/>
          <w:sz w:val="20"/>
          <w:szCs w:val="20"/>
          <w:color w:val="auto"/>
        </w:rPr>
        <w:t xml:space="preserve"> Minerva employees, directors, consultants and their Related Persons will be able to trade in Minerva securities </w:t>
      </w:r>
      <w:r>
        <w:rPr>
          <w:rFonts w:ascii="Arial" w:cs="Arial" w:eastAsia="Arial" w:hAnsi="Arial"/>
          <w:sz w:val="20"/>
          <w:szCs w:val="20"/>
          <w:u w:val="single" w:color="auto"/>
          <w:color w:val="auto"/>
        </w:rPr>
        <w:t>only</w:t>
      </w:r>
      <w:r>
        <w:rPr>
          <w:rFonts w:ascii="Arial" w:cs="Arial" w:eastAsia="Arial" w:hAnsi="Arial"/>
          <w:sz w:val="20"/>
          <w:szCs w:val="20"/>
          <w:color w:val="auto"/>
        </w:rPr>
        <w:t xml:space="preserve"> during limited open trading window periods that generally will begin after two full trading days have elapsed since the public dissemination of Minerva’s annual or quarterly financial results and end at the beginning of the next quarterly trading blackout period. Of course, even during an open trading window period, you may not (unless an exception applies) conduct any trades in Minerva securities if you are otherwise in possession of material nonpublic information.</w:t>
      </w:r>
    </w:p>
    <w:p>
      <w:pPr>
        <w:spacing w:after="0" w:line="172" w:lineRule="exact"/>
        <w:rPr>
          <w:sz w:val="20"/>
          <w:szCs w:val="20"/>
          <w:color w:val="auto"/>
        </w:rPr>
      </w:pPr>
    </w:p>
    <w:p>
      <w:pPr>
        <w:jc w:val="both"/>
        <w:ind w:firstLine="374"/>
        <w:spacing w:after="0" w:line="231" w:lineRule="auto"/>
        <w:rPr>
          <w:sz w:val="20"/>
          <w:szCs w:val="20"/>
          <w:color w:val="auto"/>
        </w:rPr>
      </w:pPr>
      <w:r>
        <w:rPr>
          <w:rFonts w:ascii="Arial" w:cs="Arial" w:eastAsia="Arial" w:hAnsi="Arial"/>
          <w:sz w:val="20"/>
          <w:szCs w:val="20"/>
          <w:color w:val="auto"/>
        </w:rPr>
        <w:t>For purposes of this policy, each “</w:t>
      </w:r>
      <w:r>
        <w:rPr>
          <w:rFonts w:ascii="Arial" w:cs="Arial" w:eastAsia="Arial" w:hAnsi="Arial"/>
          <w:sz w:val="20"/>
          <w:szCs w:val="20"/>
          <w:b w:val="1"/>
          <w:bCs w:val="1"/>
          <w:i w:val="1"/>
          <w:iCs w:val="1"/>
          <w:color w:val="auto"/>
        </w:rPr>
        <w:t>quarterly trading blackout period</w:t>
      </w:r>
      <w:r>
        <w:rPr>
          <w:rFonts w:ascii="Arial" w:cs="Arial" w:eastAsia="Arial" w:hAnsi="Arial"/>
          <w:sz w:val="20"/>
          <w:szCs w:val="20"/>
          <w:color w:val="auto"/>
        </w:rPr>
        <w:t>” will generally begin at the end of the day on the last day of each fiscal quarter and end after two full trading days have elapsed since the public dissemination of Minerva’s financial results for that quarter. Please note that the quarterly trading blackout period may commence early or may be extended if, in the judgment of the Chief Executive Officer and General Counsel (or if the General Counsel is absent or is otherwise unavailable, the President or the Chief Financial Officer), there exists undisclosed information that would make trades by Minerva employees, directors and consultants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73"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A Minerva employee, director or consultant who believes that special circumstances require him or her to trade during a quarterly trading blackout period should consult the General Counsel (or if the General Counsel is absent or is otherwise unavailable, the Chief Financial Officer) (the “</w:t>
      </w:r>
      <w:r>
        <w:rPr>
          <w:rFonts w:ascii="Arial" w:cs="Arial" w:eastAsia="Arial" w:hAnsi="Arial"/>
          <w:sz w:val="20"/>
          <w:szCs w:val="20"/>
          <w:b w:val="1"/>
          <w:bCs w:val="1"/>
          <w:i w:val="1"/>
          <w:iCs w:val="1"/>
          <w:color w:val="auto"/>
        </w:rPr>
        <w:t>Clearing Officer</w:t>
      </w:r>
      <w:r>
        <w:rPr>
          <w:rFonts w:ascii="Arial" w:cs="Arial" w:eastAsia="Arial" w:hAnsi="Arial"/>
          <w:sz w:val="20"/>
          <w:szCs w:val="20"/>
          <w:color w:val="auto"/>
        </w:rPr>
        <w:t>”). Permission to trade during a quarterly trading blackout period will be granted only where the circumstances are extenuating, the Clearing Officer concludes that the person is not in fact aware of any material nonpublic information relating to Minerva or its securities, and there appears to be no significant risk that the trade may subsequently be questioned.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vent</w:t>
      </w:r>
      <w:r>
        <w:rPr>
          <w:rFonts w:ascii="Arial" w:cs="Arial" w:eastAsia="Arial" w:hAnsi="Arial"/>
          <w:sz w:val="20"/>
          <w:szCs w:val="20"/>
          <w:b w:val="1"/>
          <w:bCs w:val="1"/>
          <w:color w:val="auto"/>
        </w:rPr>
        <w:t>-S</w:t>
      </w:r>
      <w:r>
        <w:rPr>
          <w:rFonts w:ascii="Arial" w:cs="Arial" w:eastAsia="Arial" w:hAnsi="Arial"/>
          <w:sz w:val="13"/>
          <w:szCs w:val="13"/>
          <w:b w:val="1"/>
          <w:bCs w:val="1"/>
          <w:color w:val="auto"/>
        </w:rPr>
        <w:t>pecific</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lackouts</w:t>
      </w:r>
    </w:p>
    <w:p>
      <w:pPr>
        <w:spacing w:after="0" w:line="204"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From time to time, an event may occur that is material to Minerva and is known by only a few directors, officers and/or employees. So long as the event remains material and nonpublic, the persons designated by the Chief Executive Officer and General Counsel (or if the General Counsel is absent or is otherwise unavailable, the President or the Chief Financial Officer) may not trade in Minerva’s securities. In that situation, Minerva will notify the designated individuals that neither they nor their Related Persons may trade in the Minerva’s securities. The existence of an event-specific trading blackout should also be considered material nonpublic information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0" w:name="page111"/>
    <w:bookmarkEnd w:id="110"/>
    <w:p>
      <w:pPr>
        <w:jc w:val="both"/>
        <w:spacing w:after="0" w:line="241" w:lineRule="auto"/>
        <w:rPr>
          <w:sz w:val="20"/>
          <w:szCs w:val="20"/>
          <w:color w:val="auto"/>
        </w:rPr>
      </w:pPr>
      <w:r>
        <w:rPr>
          <w:rFonts w:ascii="Arial" w:cs="Arial" w:eastAsia="Arial" w:hAnsi="Arial"/>
          <w:sz w:val="20"/>
          <w:szCs w:val="20"/>
          <w:color w:val="auto"/>
        </w:rPr>
        <w:t>and should not be communicated to any other person. Even if you have not been designated as a person who should not trade due to an event-specific trading blackout, you should not trade while aware of material nonpublic information. Exceptions will not be granted during an event-specific trading blackout.</w:t>
      </w:r>
    </w:p>
    <w:p>
      <w:pPr>
        <w:spacing w:after="0" w:line="171"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The quarterly and event-driven trading blackouts do not apply to those transactions to which this policy does not apply, as described under the heading “Exceptions to this Policy” below.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xceptions to this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This policy does not apply in the case of the following transactions, except as specifically noted:</w:t>
      </w:r>
    </w:p>
    <w:p>
      <w:pPr>
        <w:spacing w:after="0" w:line="202"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b w:val="1"/>
          <w:bCs w:val="1"/>
          <w:color w:val="auto"/>
        </w:rPr>
        <w:t>1.</w:t>
      </w:r>
      <w:r>
        <w:rPr>
          <w:rFonts w:ascii="Arial" w:cs="Arial" w:eastAsia="Arial" w:hAnsi="Arial"/>
          <w:sz w:val="19"/>
          <w:szCs w:val="19"/>
          <w:b w:val="1"/>
          <w:bCs w:val="1"/>
          <w:i w:val="1"/>
          <w:iCs w:val="1"/>
          <w:color w:val="auto"/>
        </w:rPr>
        <w:t>Option and Warrant Exercises</w:t>
      </w:r>
      <w:r>
        <w:rPr>
          <w:rFonts w:ascii="Arial" w:cs="Arial" w:eastAsia="Arial" w:hAnsi="Arial"/>
          <w:sz w:val="19"/>
          <w:szCs w:val="19"/>
          <w:color w:val="auto"/>
        </w:rPr>
        <w:t>. This policy does not apply to the exercise of options granted under Minerva’s equity</w:t>
      </w:r>
      <w:r>
        <w:rPr>
          <w:rFonts w:ascii="Arial" w:cs="Arial" w:eastAsia="Arial" w:hAnsi="Arial"/>
          <w:sz w:val="18"/>
          <w:szCs w:val="18"/>
          <w:b w:val="1"/>
          <w:bCs w:val="1"/>
          <w:color w:val="auto"/>
        </w:rPr>
        <w:t xml:space="preserve"> </w:t>
      </w:r>
      <w:r>
        <w:rPr>
          <w:rFonts w:ascii="Arial" w:cs="Arial" w:eastAsia="Arial" w:hAnsi="Arial"/>
          <w:sz w:val="19"/>
          <w:szCs w:val="19"/>
          <w:color w:val="auto"/>
        </w:rPr>
        <w:t>compensation plans, or the exercise of warrants, for cash or, where permitted under the option or warrant, by a net exercise transaction with the Company or by delivery to Minerva of already-owned Minerva stock. This policy does, however, apply to any sale of stock as part of a broker-assisted cashless exercise or any other market sale, whether or not for the purpose of generating the cash needed to pay the exercise price or pay taxes.</w:t>
      </w:r>
    </w:p>
    <w:p>
      <w:pPr>
        <w:spacing w:after="0" w:line="167"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b w:val="1"/>
          <w:bCs w:val="1"/>
          <w:color w:val="auto"/>
        </w:rPr>
        <w:t>2.</w:t>
      </w:r>
      <w:r>
        <w:rPr>
          <w:rFonts w:ascii="Arial" w:cs="Arial" w:eastAsia="Arial" w:hAnsi="Arial"/>
          <w:sz w:val="19"/>
          <w:szCs w:val="19"/>
          <w:b w:val="1"/>
          <w:bCs w:val="1"/>
          <w:i w:val="1"/>
          <w:iCs w:val="1"/>
          <w:color w:val="auto"/>
        </w:rPr>
        <w:t>Tax Withholding Transactions</w:t>
      </w:r>
      <w:r>
        <w:rPr>
          <w:rFonts w:ascii="Arial" w:cs="Arial" w:eastAsia="Arial" w:hAnsi="Arial"/>
          <w:sz w:val="19"/>
          <w:szCs w:val="19"/>
          <w:color w:val="auto"/>
        </w:rPr>
        <w:t>. This policy does not apply to the surrender of shares directly to Minerva to satisfy tax</w:t>
      </w:r>
      <w:r>
        <w:rPr>
          <w:rFonts w:ascii="Arial" w:cs="Arial" w:eastAsia="Arial" w:hAnsi="Arial"/>
          <w:sz w:val="18"/>
          <w:szCs w:val="18"/>
          <w:b w:val="1"/>
          <w:bCs w:val="1"/>
          <w:color w:val="auto"/>
        </w:rPr>
        <w:t xml:space="preserve"> </w:t>
      </w:r>
      <w:r>
        <w:rPr>
          <w:rFonts w:ascii="Arial" w:cs="Arial" w:eastAsia="Arial" w:hAnsi="Arial"/>
          <w:sz w:val="19"/>
          <w:szCs w:val="19"/>
          <w:color w:val="auto"/>
        </w:rPr>
        <w:t>withholding obligations as a result of the issuance of shares upon vesting or exercise of restricted stock units, options or other equity awards granted under Minerva’s equity compensation plans. Of course, any market sale of the stock received upon exercise or vesting of any such equity awards remains subject to all provisions of this policy whether or not for the purpose of generating the cash needed to pay the exercise price or pay taxes.</w:t>
      </w:r>
    </w:p>
    <w:p>
      <w:pPr>
        <w:spacing w:after="0" w:line="167"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b w:val="1"/>
          <w:bCs w:val="1"/>
          <w:color w:val="auto"/>
        </w:rPr>
        <w:t>3.</w:t>
      </w:r>
      <w:r>
        <w:rPr>
          <w:rFonts w:ascii="Arial" w:cs="Arial" w:eastAsia="Arial" w:hAnsi="Arial"/>
          <w:sz w:val="19"/>
          <w:szCs w:val="19"/>
          <w:b w:val="1"/>
          <w:bCs w:val="1"/>
          <w:i w:val="1"/>
          <w:iCs w:val="1"/>
          <w:color w:val="auto"/>
        </w:rPr>
        <w:t>10b5-1 Automatic Trading Programs</w:t>
      </w:r>
      <w:r>
        <w:rPr>
          <w:rFonts w:ascii="Arial" w:cs="Arial" w:eastAsia="Arial" w:hAnsi="Arial"/>
          <w:sz w:val="19"/>
          <w:szCs w:val="19"/>
          <w:i w:val="1"/>
          <w:iCs w:val="1"/>
          <w:color w:val="auto"/>
        </w:rPr>
        <w:t>.</w:t>
      </w:r>
      <w:r>
        <w:rPr>
          <w:rFonts w:ascii="Arial" w:cs="Arial" w:eastAsia="Arial" w:hAnsi="Arial"/>
          <w:sz w:val="18"/>
          <w:szCs w:val="18"/>
          <w:b w:val="1"/>
          <w:bCs w:val="1"/>
          <w:color w:val="auto"/>
        </w:rPr>
        <w:t xml:space="preserve"> </w:t>
      </w:r>
      <w:r>
        <w:rPr>
          <w:rFonts w:ascii="Arial" w:cs="Arial" w:eastAsia="Arial" w:hAnsi="Arial"/>
          <w:sz w:val="19"/>
          <w:szCs w:val="19"/>
          <w:color w:val="auto"/>
        </w:rPr>
        <w:t>Under Rule 10b5-1 of the Securities Exchange Act of 1934, as amended</w:t>
      </w:r>
      <w:r>
        <w:rPr>
          <w:rFonts w:ascii="Arial" w:cs="Arial" w:eastAsia="Arial" w:hAnsi="Arial"/>
          <w:sz w:val="18"/>
          <w:szCs w:val="18"/>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and as permitted by Minerva, employees, directors and consultants may establish a trading plan under which a broker is instructed to buy and sell Minerva securities based on pre-determined criteria (a “</w:t>
      </w:r>
      <w:r>
        <w:rPr>
          <w:rFonts w:ascii="Arial" w:cs="Arial" w:eastAsia="Arial" w:hAnsi="Arial"/>
          <w:sz w:val="19"/>
          <w:szCs w:val="19"/>
          <w:b w:val="1"/>
          <w:bCs w:val="1"/>
          <w:i w:val="1"/>
          <w:iCs w:val="1"/>
          <w:color w:val="auto"/>
        </w:rPr>
        <w:t>10b5-1 Trading Plan</w:t>
      </w:r>
      <w:r>
        <w:rPr>
          <w:rFonts w:ascii="Arial" w:cs="Arial" w:eastAsia="Arial" w:hAnsi="Arial"/>
          <w:sz w:val="19"/>
          <w:szCs w:val="19"/>
          <w:color w:val="auto"/>
        </w:rPr>
        <w:t>”). So long as a 10b5-1 Trading Plan is properly established, purchases and sales of Minerva securities pursuant to that Trading Plan are not subject to this policy. To be properly established, an eligible person’s Trading Plan must be established in compliance with the requirements of Rule 10b5-1 of the Exchange Act and any applicable 10b5-1 trading plan guidelines of Minerva at a time when Minerva was not in a trading blackout period and they were not otherwise aware of any material nonpublic information relating to Minerva or the securities subject to the Trading Plan. Moreover, all 10b5-1 Trading Plans must be reviewed and approved by Minerva before being established to confirm that the 10b5-1 Trading Plan complies with all pertinent company policies and applicable securities laws.</w:t>
      </w:r>
    </w:p>
    <w:p>
      <w:pPr>
        <w:spacing w:after="0" w:line="393" w:lineRule="exact"/>
        <w:rPr>
          <w:sz w:val="20"/>
          <w:szCs w:val="20"/>
          <w:color w:val="auto"/>
        </w:rPr>
      </w:pPr>
    </w:p>
    <w:p>
      <w:pPr>
        <w:jc w:val="both"/>
        <w:ind w:firstLine="374"/>
        <w:spacing w:after="0" w:line="245"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19"/>
          <w:szCs w:val="19"/>
          <w:b w:val="1"/>
          <w:bCs w:val="1"/>
          <w:i w:val="1"/>
          <w:iCs w:val="1"/>
          <w:color w:val="auto"/>
        </w:rPr>
        <w:t>401(k) Plan</w:t>
      </w:r>
      <w:r>
        <w:rPr>
          <w:rFonts w:ascii="Arial" w:cs="Arial" w:eastAsia="Arial" w:hAnsi="Arial"/>
          <w:sz w:val="19"/>
          <w:szCs w:val="19"/>
          <w:color w:val="auto"/>
        </w:rPr>
        <w:t>. To the extent applicable, this policy does not apply to purchases of Minerva’s securities in Minerva’s 401(k)</w:t>
      </w:r>
      <w:r>
        <w:rPr>
          <w:rFonts w:ascii="Arial" w:cs="Arial" w:eastAsia="Arial" w:hAnsi="Arial"/>
          <w:sz w:val="18"/>
          <w:szCs w:val="18"/>
          <w:b w:val="1"/>
          <w:bCs w:val="1"/>
          <w:color w:val="auto"/>
        </w:rPr>
        <w:t xml:space="preserve"> </w:t>
      </w:r>
      <w:r>
        <w:rPr>
          <w:rFonts w:ascii="Arial" w:cs="Arial" w:eastAsia="Arial" w:hAnsi="Arial"/>
          <w:sz w:val="19"/>
          <w:szCs w:val="19"/>
          <w:color w:val="auto"/>
        </w:rPr>
        <w:t>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Minerva stock fund; (b) an election to make an intra-plan transfer of an existing account balance into or out of the Minerva stock fund; (c) an election to borrow money against your 401(k) plan account if the loan will result in a liquidation of some or all of your Minerva stock fund balance; and (d) an election to pre-pay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a plan loan if the pre-payment will result in allocation of loan proceeds to the Minerva stock fund.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pecial and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rohibited</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ransactions</w:t>
      </w:r>
    </w:p>
    <w:p>
      <w:pPr>
        <w:spacing w:after="0" w:line="202"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i w:val="1"/>
          <w:iCs w:val="1"/>
          <w:color w:val="auto"/>
        </w:rPr>
        <w:t>Inherently Speculative Transactions</w:t>
      </w:r>
      <w:r>
        <w:rPr>
          <w:rFonts w:ascii="Arial" w:cs="Arial" w:eastAsia="Arial" w:hAnsi="Arial"/>
          <w:sz w:val="20"/>
          <w:szCs w:val="20"/>
          <w:b w:val="1"/>
          <w:bCs w:val="1"/>
          <w:color w:val="auto"/>
        </w:rPr>
        <w:t>.</w:t>
      </w:r>
      <w:r>
        <w:rPr>
          <w:rFonts w:ascii="Arial" w:cs="Arial" w:eastAsia="Arial" w:hAnsi="Arial"/>
          <w:sz w:val="20"/>
          <w:szCs w:val="20"/>
          <w:color w:val="auto"/>
        </w:rPr>
        <w:t xml:space="preserve"> No Minerva employee, director or consultant may engage in short sales, transactions in put options, call options or other derivative securities on an exchange or in any other organized market, or in any other inherently speculative transactions with respect to Minerva’s stock.</w:t>
      </w:r>
    </w:p>
    <w:p>
      <w:pPr>
        <w:spacing w:after="0" w:line="170"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2.</w:t>
      </w:r>
      <w:r>
        <w:rPr>
          <w:rFonts w:ascii="Arial" w:cs="Arial" w:eastAsia="Arial" w:hAnsi="Arial"/>
          <w:sz w:val="20"/>
          <w:szCs w:val="20"/>
          <w:b w:val="1"/>
          <w:bCs w:val="1"/>
          <w:i w:val="1"/>
          <w:iCs w:val="1"/>
          <w:color w:val="auto"/>
        </w:rPr>
        <w:t>Hedging Transactions.</w:t>
      </w:r>
      <w:r>
        <w:rPr>
          <w:rFonts w:ascii="Arial" w:cs="Arial" w:eastAsia="Arial" w:hAnsi="Arial"/>
          <w:sz w:val="20"/>
          <w:szCs w:val="20"/>
          <w:color w:val="auto"/>
        </w:rPr>
        <w:t xml:space="preserve"> Hedging or monetization transactions can be accomplished through a number of possible mechanisms, including through the use of financial instruments such as prepaid variable forwards, equity swaps, collars and exchange funds. Such hedging transactions may permit a Minerva employee, director or consultant to continue to own Minerva’s securities obtained through employee benefit plans or otherwise, but without the full risks and rewards of ownership. When that occurs, the Minerva employee, director or consultant may no longer have the same objectives as Minerva’s other stockholders. Therefore, Minerva employees, directors and consultants are prohibited from engaging in any such transactions.</w:t>
      </w:r>
    </w:p>
    <w:p>
      <w:pPr>
        <w:spacing w:after="0" w:line="172"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3.</w:t>
      </w:r>
      <w:r>
        <w:rPr>
          <w:rFonts w:ascii="Arial" w:cs="Arial" w:eastAsia="Arial" w:hAnsi="Arial"/>
          <w:sz w:val="20"/>
          <w:szCs w:val="20"/>
          <w:b w:val="1"/>
          <w:bCs w:val="1"/>
          <w:i w:val="1"/>
          <w:iCs w:val="1"/>
          <w:color w:val="auto"/>
        </w:rPr>
        <w:t>Margin Accounts and Pledged Securities</w:t>
      </w:r>
      <w:r>
        <w:rPr>
          <w:rFonts w:ascii="Arial" w:cs="Arial" w:eastAsia="Arial" w:hAnsi="Arial"/>
          <w:sz w:val="20"/>
          <w:szCs w:val="20"/>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Minerva’s securities, Minerva employee, director and consultants are prohibited from holding Minerva’s securities in a margin account or otherwise pledging Minerva’s securities as collateral for a loan.</w:t>
      </w:r>
    </w:p>
    <w:p>
      <w:pPr>
        <w:spacing w:after="0" w:line="172" w:lineRule="exact"/>
        <w:rPr>
          <w:sz w:val="20"/>
          <w:szCs w:val="20"/>
          <w:color w:val="auto"/>
        </w:rPr>
      </w:pPr>
    </w:p>
    <w:p>
      <w:pPr>
        <w:jc w:val="both"/>
        <w:ind w:firstLine="374"/>
        <w:spacing w:after="0" w:line="230" w:lineRule="auto"/>
        <w:rPr>
          <w:sz w:val="20"/>
          <w:szCs w:val="20"/>
          <w:color w:val="auto"/>
        </w:rPr>
      </w:pPr>
      <w:r>
        <w:rPr>
          <w:rFonts w:ascii="Arial" w:cs="Arial" w:eastAsia="Arial" w:hAnsi="Arial"/>
          <w:sz w:val="20"/>
          <w:szCs w:val="20"/>
          <w:color w:val="auto"/>
        </w:rPr>
        <w:t>4.</w:t>
      </w:r>
      <w:r>
        <w:rPr>
          <w:rFonts w:ascii="Arial" w:cs="Arial" w:eastAsia="Arial" w:hAnsi="Arial"/>
          <w:sz w:val="20"/>
          <w:szCs w:val="20"/>
          <w:b w:val="1"/>
          <w:bCs w:val="1"/>
          <w:i w:val="1"/>
          <w:iCs w:val="1"/>
          <w:color w:val="auto"/>
        </w:rPr>
        <w:t>Standing and Limit Orders</w:t>
      </w:r>
      <w:r>
        <w:rPr>
          <w:rFonts w:ascii="Arial" w:cs="Arial" w:eastAsia="Arial" w:hAnsi="Arial"/>
          <w:sz w:val="20"/>
          <w:szCs w:val="20"/>
          <w:color w:val="auto"/>
        </w:rPr>
        <w:t>.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Minerva employee, director or consultant is in possession of material nonpublic information. Minerva therefore discourages placing standing or limit orders on Minerva’s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re</w:t>
      </w:r>
      <w:r>
        <w:rPr>
          <w:rFonts w:ascii="Arial" w:cs="Arial" w:eastAsia="Arial" w:hAnsi="Arial"/>
          <w:sz w:val="20"/>
          <w:szCs w:val="20"/>
          <w:b w:val="1"/>
          <w:bCs w:val="1"/>
          <w:color w:val="auto"/>
        </w:rPr>
        <w:t>-C</w:t>
      </w:r>
      <w:r>
        <w:rPr>
          <w:rFonts w:ascii="Arial" w:cs="Arial" w:eastAsia="Arial" w:hAnsi="Arial"/>
          <w:sz w:val="13"/>
          <w:szCs w:val="13"/>
          <w:b w:val="1"/>
          <w:bCs w:val="1"/>
          <w:color w:val="auto"/>
        </w:rPr>
        <w:t>learance and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dvance</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otice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ransactions</w:t>
      </w:r>
    </w:p>
    <w:p>
      <w:pPr>
        <w:spacing w:after="0" w:line="204"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In addition to the requirements above, executive officers, directors and other applicable employees who have been notified that they are subject to pre-clearance requirements face a further restriction: Even during an open trading window, they may not engage in any transaction in, or enter into, modify or terminate any contract, instruction or written plan or arrangement in, Minerva’s securities without first obtaining pre-clearance from the Clearing Officer or his or her designee (or the Chief Executive Officer if the insider requesting pre-clearance is the Clearing Officer) or his or her designee at least two business days in advance. Pre-cleared transactions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not completed within two business days will require new pre-clearance. Minerva may choose to shorten this period.</w:t>
      </w:r>
    </w:p>
    <w:p>
      <w:pPr>
        <w:spacing w:after="0" w:line="202"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Insiders shall provide to the Clearing Officer or his or her designee any documentation reasonably requested by him or her in furtherance of the foregoing procedures. The Clearing Officer or his or her designee does not assume the responsibility for, and approval from the Clearing Officer or his or her designee does not protect the insider from, the consequences of prohibited insider trading. The existence of the foregoing approval procedures does not in any way obligate the Clearing Officer or his or her designee to approve any trade requested by an insider.</w:t>
      </w:r>
    </w:p>
    <w:p>
      <w:pPr>
        <w:spacing w:after="0" w:line="175"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20"/>
          <w:szCs w:val="20"/>
          <w:color w:val="auto"/>
        </w:rPr>
        <w:t>Persons subject to pre-clearance must also give advance notice of their plans to exercise an outstanding stock option or warrant to the Clearing Officer or his or her designee. Once any transaction takes place, the officer, director or applicable employee must immediately notify the Clearing Officer or his or her designee so that Minerva may assist in any reporting requirements under Section 16(a) of the Exchange Act.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hort</w:t>
      </w:r>
      <w:r>
        <w:rPr>
          <w:rFonts w:ascii="Arial" w:cs="Arial" w:eastAsia="Arial" w:hAnsi="Arial"/>
          <w:sz w:val="20"/>
          <w:szCs w:val="20"/>
          <w:b w:val="1"/>
          <w:bCs w:val="1"/>
          <w:color w:val="auto"/>
        </w:rPr>
        <w:t>-S</w:t>
      </w:r>
      <w:r>
        <w:rPr>
          <w:rFonts w:ascii="Arial" w:cs="Arial" w:eastAsia="Arial" w:hAnsi="Arial"/>
          <w:sz w:val="13"/>
          <w:szCs w:val="13"/>
          <w:b w:val="1"/>
          <w:bCs w:val="1"/>
          <w:color w:val="auto"/>
        </w:rPr>
        <w:t>wing</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C</w:t>
      </w:r>
      <w:r>
        <w:rPr>
          <w:rFonts w:ascii="Arial" w:cs="Arial" w:eastAsia="Arial" w:hAnsi="Arial"/>
          <w:sz w:val="13"/>
          <w:szCs w:val="13"/>
          <w:b w:val="1"/>
          <w:bCs w:val="1"/>
          <w:color w:val="auto"/>
        </w:rPr>
        <w:t>ontrol</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 and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20"/>
          <w:szCs w:val="20"/>
          <w:b w:val="1"/>
          <w:bCs w:val="1"/>
          <w:color w:val="auto"/>
        </w:rPr>
        <w:t xml:space="preserve"> 16 R</w:t>
      </w:r>
      <w:r>
        <w:rPr>
          <w:rFonts w:ascii="Arial" w:cs="Arial" w:eastAsia="Arial" w:hAnsi="Arial"/>
          <w:sz w:val="13"/>
          <w:szCs w:val="13"/>
          <w:b w:val="1"/>
          <w:bCs w:val="1"/>
          <w:color w:val="auto"/>
        </w:rPr>
        <w:t>eports</w:t>
      </w:r>
    </w:p>
    <w:p>
      <w:pPr>
        <w:spacing w:after="0" w:line="204"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20"/>
          <w:szCs w:val="20"/>
          <w:color w:val="auto"/>
        </w:rPr>
        <w:t>Officers and directors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and any notices of sale required by Rule 144.</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rohibition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uring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ension</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lackouts</w:t>
      </w:r>
    </w:p>
    <w:p>
      <w:pPr>
        <w:spacing w:after="0" w:line="204"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9"/>
          <w:szCs w:val="19"/>
          <w:color w:val="auto"/>
        </w:rPr>
        <w:t xml:space="preserve">No director or executive officer of Minerva may, directly or indirectly, purchase, sell or otherwise transfer any equity security of Minerva (other than an exempt security) during any “blackout period’’ (as defined in Regulation BTR under the Exchange Act)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Minerva’s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gift or by will or the laws of descent or pursuant to a domestic relations order. Minerva will notify each director and executive officer of any blackout periods in accordance with the provisions of Regulation BTR. Because Regulation BTR is very complex, no director or executive officer of Minerva should engage in any transactions in Minerva’s securities, even if believed to be exempt from Regulation BTR, without first consulting with the Clearing Officer.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olicy</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uration</w:t>
      </w:r>
    </w:p>
    <w:p>
      <w:pPr>
        <w:spacing w:after="0" w:line="204"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This policy continues to apply to your transactions in Minerva’s securities and the securities of other applicable public companies as more specifically set forth in this policy, even after your relationship with Minerva has ended. If you are aware of material nonpublic information when your relationship with Minerva ends, you may not trade Minerva’s securities or the securities of other applicable publicly traded companies until the material nonpublic information has been publicly disseminated or is no longer material. Further, if you leave Minerva during a trading blackout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3" w:name="page114"/>
    <w:bookmarkEnd w:id="113"/>
    <w:p>
      <w:pPr>
        <w:jc w:val="both"/>
        <w:spacing w:after="0" w:line="257" w:lineRule="auto"/>
        <w:rPr>
          <w:sz w:val="20"/>
          <w:szCs w:val="20"/>
          <w:color w:val="auto"/>
        </w:rPr>
      </w:pPr>
      <w:r>
        <w:rPr>
          <w:rFonts w:ascii="Arial" w:cs="Arial" w:eastAsia="Arial" w:hAnsi="Arial"/>
          <w:sz w:val="20"/>
          <w:szCs w:val="20"/>
          <w:color w:val="auto"/>
        </w:rPr>
        <w:t>period, then you may not trade Minerva’s securities or the securities of other applicable companies until the trading blackout period has ended.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ndividual</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esponsibility</w:t>
      </w:r>
    </w:p>
    <w:p>
      <w:pPr>
        <w:spacing w:after="0" w:line="204" w:lineRule="exact"/>
        <w:rPr>
          <w:sz w:val="20"/>
          <w:szCs w:val="20"/>
          <w:color w:val="auto"/>
        </w:rPr>
      </w:pPr>
    </w:p>
    <w:p>
      <w:pPr>
        <w:jc w:val="both"/>
        <w:ind w:firstLine="469"/>
        <w:spacing w:after="0" w:line="230" w:lineRule="auto"/>
        <w:rPr>
          <w:sz w:val="20"/>
          <w:szCs w:val="20"/>
          <w:color w:val="auto"/>
        </w:rPr>
      </w:pPr>
      <w:r>
        <w:rPr>
          <w:rFonts w:ascii="Arial" w:cs="Arial" w:eastAsia="Arial" w:hAnsi="Arial"/>
          <w:sz w:val="20"/>
          <w:szCs w:val="20"/>
          <w:color w:val="auto"/>
        </w:rPr>
        <w:t>Persons subject to this policy have ethical and legal obligations to maintain the confidentiality of information about Minerva and to not engage in transactions in Minerva’s securities or the securities of other applicable public companies while aware of material nonpublic information, as more specifically set forth in this policy.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Minerva or any employee or director of Minerva pursuant to this policy (or otherwise) does not in any way constitute legal advice or insulate an individual from liability under applicable securities laws. You could be subject to severe legal penalties and disciplinary action by Minerva for any conduct prohibited by this policy or applicable securities laws. See “Penalties” below.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enalties</w:t>
      </w:r>
    </w:p>
    <w:p>
      <w:pPr>
        <w:spacing w:after="0" w:line="204"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20"/>
          <w:szCs w:val="20"/>
          <w:color w:val="auto"/>
        </w:rPr>
        <w:t xml:space="preserve">Anyone who engages in insider trading or otherwise violates this policy may be subject to both civil liability and criminal penalties. Violators also risk disciplinary action by Minerva, including termination of employment. Anyone who has questions about this policy should contact their own attorney or Minerva’s Clearing Officer. Please also see Frequently Asked Questions, which are attached as </w:t>
      </w: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20"/>
          <w:szCs w:val="20"/>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mendments</w:t>
      </w:r>
    </w:p>
    <w:p>
      <w:pPr>
        <w:spacing w:after="0" w:line="204" w:lineRule="exact"/>
        <w:rPr>
          <w:sz w:val="20"/>
          <w:szCs w:val="20"/>
          <w:color w:val="auto"/>
        </w:rPr>
      </w:pPr>
    </w:p>
    <w:p>
      <w:pPr>
        <w:jc w:val="both"/>
        <w:ind w:right="20" w:firstLine="374"/>
        <w:spacing w:after="0" w:line="257" w:lineRule="auto"/>
        <w:rPr>
          <w:sz w:val="20"/>
          <w:szCs w:val="20"/>
          <w:color w:val="auto"/>
        </w:rPr>
      </w:pPr>
      <w:r>
        <w:rPr>
          <w:rFonts w:ascii="Arial" w:cs="Arial" w:eastAsia="Arial" w:hAnsi="Arial"/>
          <w:sz w:val="20"/>
          <w:szCs w:val="20"/>
          <w:color w:val="auto"/>
        </w:rPr>
        <w:t>Minerva is committed to continuously reviewing and updating its policies and procedures. Minerva therefore reserves the right to amend, alter or terminate this policy at any time and for any reason.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A</w:t>
      </w:r>
    </w:p>
    <w:p>
      <w:pPr>
        <w:jc w:val="center"/>
        <w:spacing w:after="0" w:line="231"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nsider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requently</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sked</w:t>
      </w:r>
      <w:r>
        <w:rPr>
          <w:rFonts w:ascii="Arial" w:cs="Arial" w:eastAsia="Arial" w:hAnsi="Arial"/>
          <w:sz w:val="20"/>
          <w:szCs w:val="20"/>
          <w:b w:val="1"/>
          <w:bCs w:val="1"/>
          <w:color w:val="auto"/>
        </w:rPr>
        <w:t xml:space="preserve"> Q</w:t>
      </w:r>
      <w:r>
        <w:rPr>
          <w:rFonts w:ascii="Arial" w:cs="Arial" w:eastAsia="Arial" w:hAnsi="Arial"/>
          <w:sz w:val="13"/>
          <w:szCs w:val="13"/>
          <w:b w:val="1"/>
          <w:bCs w:val="1"/>
          <w:color w:val="auto"/>
        </w:rPr>
        <w:t>uestions</w:t>
      </w:r>
    </w:p>
    <w:p>
      <w:pPr>
        <w:spacing w:after="0" w:line="184"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is insider trading?</w:t>
      </w:r>
    </w:p>
    <w:p>
      <w:pPr>
        <w:spacing w:after="0" w:line="202" w:lineRule="exact"/>
        <w:rPr>
          <w:rFonts w:ascii="Arial" w:cs="Arial" w:eastAsia="Arial" w:hAnsi="Arial"/>
          <w:sz w:val="20"/>
          <w:szCs w:val="20"/>
          <w:b w:val="1"/>
          <w:bCs w:val="1"/>
          <w:color w:val="auto"/>
        </w:rPr>
      </w:pPr>
    </w:p>
    <w:p>
      <w:pPr>
        <w:jc w:val="both"/>
        <w:ind w:firstLine="382"/>
        <w:spacing w:after="0" w:line="242" w:lineRule="auto"/>
        <w:tabs>
          <w:tab w:leader="none" w:pos="693" w:val="left"/>
        </w:tabs>
        <w:numPr>
          <w:ilvl w:val="1"/>
          <w:numId w:val="48"/>
        </w:numPr>
        <w:rPr>
          <w:rFonts w:ascii="Arial" w:cs="Arial" w:eastAsia="Arial" w:hAnsi="Arial"/>
          <w:sz w:val="19"/>
          <w:szCs w:val="19"/>
          <w:b w:val="1"/>
          <w:bCs w:val="1"/>
          <w:color w:val="auto"/>
        </w:rPr>
      </w:pPr>
      <w:r>
        <w:rPr>
          <w:rFonts w:ascii="Arial" w:cs="Arial" w:eastAsia="Arial" w:hAnsi="Arial"/>
          <w:sz w:val="19"/>
          <w:szCs w:val="19"/>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during the course of your relationship with Minerva, you become aware of material nonpublic information about Minerva and you trade in Minerva’s securities, you have broken the law and violated our insider trading policy. In addition, our insider trading policy provides that if in the course of your relationship with Minerva, you learn of any confidential information that is material to another publicly traded company with which Minerva does business, including a or supplier, partner or collaborator of Minerva, you may not trade in that other company’s securities until the information becomes public or is no longer material to that other company.</w:t>
      </w:r>
    </w:p>
    <w:p>
      <w:pPr>
        <w:spacing w:after="0" w:line="172" w:lineRule="exact"/>
        <w:rPr>
          <w:rFonts w:ascii="Arial" w:cs="Arial" w:eastAsia="Arial" w:hAnsi="Arial"/>
          <w:sz w:val="19"/>
          <w:szCs w:val="19"/>
          <w:b w:val="1"/>
          <w:bCs w:val="1"/>
          <w:color w:val="auto"/>
        </w:rPr>
      </w:pPr>
    </w:p>
    <w:p>
      <w:pPr>
        <w:ind w:left="520" w:hanging="512"/>
        <w:spacing w:after="0"/>
        <w:tabs>
          <w:tab w:leader="none" w:pos="5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Why is insider trading illegal?</w:t>
      </w:r>
    </w:p>
    <w:p>
      <w:pPr>
        <w:spacing w:after="0" w:line="202" w:lineRule="exact"/>
        <w:rPr>
          <w:rFonts w:ascii="Arial" w:cs="Arial" w:eastAsia="Arial" w:hAnsi="Arial"/>
          <w:sz w:val="20"/>
          <w:szCs w:val="20"/>
          <w:b w:val="1"/>
          <w:bCs w:val="1"/>
          <w:color w:val="auto"/>
        </w:rPr>
      </w:pPr>
    </w:p>
    <w:p>
      <w:pPr>
        <w:jc w:val="both"/>
        <w:ind w:firstLine="757"/>
        <w:spacing w:after="0" w:line="241" w:lineRule="auto"/>
        <w:tabs>
          <w:tab w:leader="none" w:pos="1081" w:val="left"/>
        </w:tabs>
        <w:numPr>
          <w:ilvl w:val="2"/>
          <w:numId w:val="48"/>
        </w:numPr>
        <w:rPr>
          <w:rFonts w:ascii="Arial" w:cs="Arial" w:eastAsia="Arial" w:hAnsi="Arial"/>
          <w:sz w:val="20"/>
          <w:szCs w:val="20"/>
          <w:b w:val="1"/>
          <w:bCs w:val="1"/>
          <w:color w:val="auto"/>
        </w:rPr>
      </w:pPr>
      <w:r>
        <w:rPr>
          <w:rFonts w:ascii="Arial" w:cs="Arial" w:eastAsia="Arial" w:hAnsi="Arial"/>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71" w:lineRule="exact"/>
        <w:rPr>
          <w:rFonts w:ascii="Arial" w:cs="Arial" w:eastAsia="Arial" w:hAnsi="Arial"/>
          <w:sz w:val="20"/>
          <w:szCs w:val="20"/>
          <w:b w:val="1"/>
          <w:bCs w:val="1"/>
          <w:color w:val="auto"/>
        </w:rPr>
      </w:pPr>
    </w:p>
    <w:p>
      <w:pPr>
        <w:ind w:left="520" w:hanging="512"/>
        <w:spacing w:after="0"/>
        <w:tabs>
          <w:tab w:leader="none" w:pos="5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is material nonpublic information?</w:t>
      </w:r>
    </w:p>
    <w:p>
      <w:pPr>
        <w:spacing w:after="0" w:line="202" w:lineRule="exact"/>
        <w:rPr>
          <w:rFonts w:ascii="Arial" w:cs="Arial" w:eastAsia="Arial" w:hAnsi="Arial"/>
          <w:sz w:val="20"/>
          <w:szCs w:val="20"/>
          <w:b w:val="1"/>
          <w:bCs w:val="1"/>
          <w:color w:val="auto"/>
        </w:rPr>
      </w:pPr>
    </w:p>
    <w:p>
      <w:pPr>
        <w:jc w:val="both"/>
        <w:ind w:firstLine="757"/>
        <w:spacing w:after="0" w:line="260" w:lineRule="auto"/>
        <w:tabs>
          <w:tab w:leader="none" w:pos="1067" w:val="left"/>
        </w:tabs>
        <w:numPr>
          <w:ilvl w:val="2"/>
          <w:numId w:val="48"/>
        </w:numPr>
        <w:rPr>
          <w:rFonts w:ascii="Arial" w:cs="Arial" w:eastAsia="Arial" w:hAnsi="Arial"/>
          <w:sz w:val="19"/>
          <w:szCs w:val="19"/>
          <w:b w:val="1"/>
          <w:bCs w:val="1"/>
          <w:color w:val="auto"/>
        </w:rPr>
      </w:pPr>
      <w:r>
        <w:rPr>
          <w:rFonts w:ascii="Arial" w:cs="Arial" w:eastAsia="Arial" w:hAnsi="Arial"/>
          <w:sz w:val="19"/>
          <w:szCs w:val="19"/>
          <w:color w:val="auto"/>
        </w:rPr>
        <w:t>Information is material if it would influence a reasonable investor to buy or sell a stock, bond future or other security. This could mean many things: financial results, clinical or regulatory results, potential acquisitions or major contracts to name just a few. Information is nonpublic if it has not yet been publicly disseminated within the meaning of our insider trading policy.</w:t>
      </w:r>
    </w:p>
    <w:p>
      <w:pPr>
        <w:spacing w:after="0" w:line="153" w:lineRule="exact"/>
        <w:rPr>
          <w:rFonts w:ascii="Arial" w:cs="Arial" w:eastAsia="Arial" w:hAnsi="Arial"/>
          <w:sz w:val="19"/>
          <w:szCs w:val="19"/>
          <w:b w:val="1"/>
          <w:bCs w:val="1"/>
          <w:color w:val="auto"/>
        </w:rPr>
      </w:pPr>
    </w:p>
    <w:p>
      <w:pPr>
        <w:ind w:left="520" w:hanging="512"/>
        <w:spacing w:after="0"/>
        <w:tabs>
          <w:tab w:leader="none" w:pos="5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Who can be guilty of insider trading?</w:t>
      </w:r>
    </w:p>
    <w:p>
      <w:pPr>
        <w:spacing w:after="0" w:line="202" w:lineRule="exact"/>
        <w:rPr>
          <w:rFonts w:ascii="Arial" w:cs="Arial" w:eastAsia="Arial" w:hAnsi="Arial"/>
          <w:sz w:val="20"/>
          <w:szCs w:val="20"/>
          <w:b w:val="1"/>
          <w:bCs w:val="1"/>
          <w:color w:val="auto"/>
        </w:rPr>
      </w:pPr>
    </w:p>
    <w:p>
      <w:pPr>
        <w:jc w:val="both"/>
        <w:ind w:firstLine="757"/>
        <w:spacing w:after="0" w:line="234" w:lineRule="auto"/>
        <w:tabs>
          <w:tab w:leader="none" w:pos="1094" w:val="left"/>
        </w:tabs>
        <w:numPr>
          <w:ilvl w:val="2"/>
          <w:numId w:val="48"/>
        </w:numPr>
        <w:rPr>
          <w:rFonts w:ascii="Arial" w:cs="Arial" w:eastAsia="Arial" w:hAnsi="Arial"/>
          <w:sz w:val="20"/>
          <w:szCs w:val="20"/>
          <w:b w:val="1"/>
          <w:bCs w:val="1"/>
          <w:color w:val="auto"/>
        </w:rPr>
      </w:pPr>
      <w:r>
        <w:rPr>
          <w:rFonts w:ascii="Arial" w:cs="Arial" w:eastAsia="Arial" w:hAnsi="Arial"/>
          <w:sz w:val="20"/>
          <w:szCs w:val="20"/>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Minerva. Regardless of who you are, if you know something material about the value of a security that not everyone knows and you trade (or convince someone else to trade) in that security, you may be found guilty of insider trading.</w:t>
      </w:r>
    </w:p>
    <w:p>
      <w:pPr>
        <w:spacing w:after="0" w:line="174" w:lineRule="exact"/>
        <w:rPr>
          <w:rFonts w:ascii="Arial" w:cs="Arial" w:eastAsia="Arial" w:hAnsi="Arial"/>
          <w:sz w:val="20"/>
          <w:szCs w:val="20"/>
          <w:b w:val="1"/>
          <w:bCs w:val="1"/>
          <w:color w:val="auto"/>
        </w:rPr>
      </w:pPr>
    </w:p>
    <w:p>
      <w:pPr>
        <w:ind w:left="520" w:hanging="512"/>
        <w:spacing w:after="0"/>
        <w:tabs>
          <w:tab w:leader="none" w:pos="5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Does Minerva have an insider trading policy?</w:t>
      </w:r>
    </w:p>
    <w:p>
      <w:pPr>
        <w:spacing w:after="0" w:line="202" w:lineRule="exact"/>
        <w:rPr>
          <w:rFonts w:ascii="Arial" w:cs="Arial" w:eastAsia="Arial" w:hAnsi="Arial"/>
          <w:sz w:val="20"/>
          <w:szCs w:val="20"/>
          <w:b w:val="1"/>
          <w:bCs w:val="1"/>
          <w:color w:val="auto"/>
        </w:rPr>
      </w:pPr>
    </w:p>
    <w:p>
      <w:pPr>
        <w:ind w:left="1080" w:hanging="323"/>
        <w:spacing w:after="0"/>
        <w:tabs>
          <w:tab w:leader="none" w:pos="1080" w:val="left"/>
        </w:tabs>
        <w:numPr>
          <w:ilvl w:val="2"/>
          <w:numId w:val="48"/>
        </w:numPr>
        <w:rPr>
          <w:rFonts w:ascii="Arial" w:cs="Arial" w:eastAsia="Arial" w:hAnsi="Arial"/>
          <w:sz w:val="20"/>
          <w:szCs w:val="20"/>
          <w:b w:val="1"/>
          <w:bCs w:val="1"/>
          <w:color w:val="auto"/>
        </w:rPr>
      </w:pPr>
      <w:r>
        <w:rPr>
          <w:rFonts w:ascii="Arial" w:cs="Arial" w:eastAsia="Arial" w:hAnsi="Arial"/>
          <w:sz w:val="20"/>
          <w:szCs w:val="20"/>
          <w:color w:val="auto"/>
        </w:rPr>
        <w:t>Yes, the insider trading policy is attached to this FAQ.</w:t>
      </w:r>
    </w:p>
    <w:p>
      <w:pPr>
        <w:spacing w:after="0" w:line="202" w:lineRule="exact"/>
        <w:rPr>
          <w:rFonts w:ascii="Arial" w:cs="Arial" w:eastAsia="Arial" w:hAnsi="Arial"/>
          <w:sz w:val="20"/>
          <w:szCs w:val="20"/>
          <w:b w:val="1"/>
          <w:bCs w:val="1"/>
          <w:color w:val="auto"/>
        </w:rPr>
      </w:pPr>
    </w:p>
    <w:p>
      <w:pPr>
        <w:ind w:left="520" w:hanging="512"/>
        <w:spacing w:after="0"/>
        <w:tabs>
          <w:tab w:leader="none" w:pos="5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work in a foreign office?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5" w:name="page116"/>
    <w:bookmarkEnd w:id="115"/>
    <w:p>
      <w:pPr>
        <w:jc w:val="both"/>
        <w:ind w:firstLine="757"/>
        <w:spacing w:after="0" w:line="234" w:lineRule="auto"/>
        <w:tabs>
          <w:tab w:leader="none" w:pos="1094" w:val="left"/>
        </w:tabs>
        <w:numPr>
          <w:ilvl w:val="1"/>
          <w:numId w:val="49"/>
        </w:numPr>
        <w:rPr>
          <w:rFonts w:ascii="Arial" w:cs="Arial" w:eastAsia="Arial" w:hAnsi="Arial"/>
          <w:sz w:val="20"/>
          <w:szCs w:val="20"/>
          <w:b w:val="1"/>
          <w:bCs w:val="1"/>
          <w:color w:val="auto"/>
        </w:rPr>
      </w:pPr>
      <w:r>
        <w:rPr>
          <w:rFonts w:ascii="Arial" w:cs="Arial" w:eastAsia="Arial" w:hAnsi="Arial"/>
          <w:sz w:val="20"/>
          <w:szCs w:val="20"/>
          <w:color w:val="auto"/>
        </w:rPr>
        <w:t>The same rules apply to U.S. and foreign employees and consultants. The Securities and Exchange Commission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Minerva director, employee or consultant, our policies apply to you no matter where you work.</w:t>
      </w:r>
    </w:p>
    <w:p>
      <w:pPr>
        <w:spacing w:after="0" w:line="174" w:lineRule="exact"/>
        <w:rPr>
          <w:rFonts w:ascii="Arial" w:cs="Arial" w:eastAsia="Arial" w:hAnsi="Arial"/>
          <w:sz w:val="20"/>
          <w:szCs w:val="20"/>
          <w:b w:val="1"/>
          <w:bCs w:val="1"/>
          <w:color w:val="auto"/>
        </w:rPr>
      </w:pPr>
    </w:p>
    <w:p>
      <w:pPr>
        <w:ind w:left="520" w:hanging="512"/>
        <w:spacing w:after="0"/>
        <w:tabs>
          <w:tab w:leader="none" w:pos="52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don’t buy or sell anything, but I tell someone else material nonpublic information and they buy or sell?</w:t>
      </w:r>
    </w:p>
    <w:p>
      <w:pPr>
        <w:spacing w:after="0" w:line="202" w:lineRule="exact"/>
        <w:rPr>
          <w:rFonts w:ascii="Arial" w:cs="Arial" w:eastAsia="Arial" w:hAnsi="Arial"/>
          <w:sz w:val="20"/>
          <w:szCs w:val="20"/>
          <w:b w:val="1"/>
          <w:bCs w:val="1"/>
          <w:color w:val="auto"/>
        </w:rPr>
      </w:pPr>
    </w:p>
    <w:p>
      <w:pPr>
        <w:jc w:val="both"/>
        <w:ind w:firstLine="757"/>
        <w:spacing w:after="0" w:line="245" w:lineRule="auto"/>
        <w:tabs>
          <w:tab w:leader="none" w:pos="1094" w:val="left"/>
        </w:tabs>
        <w:numPr>
          <w:ilvl w:val="1"/>
          <w:numId w:val="50"/>
        </w:numPr>
        <w:rPr>
          <w:rFonts w:ascii="Arial" w:cs="Arial" w:eastAsia="Arial" w:hAnsi="Arial"/>
          <w:sz w:val="19"/>
          <w:szCs w:val="19"/>
          <w:b w:val="1"/>
          <w:bCs w:val="1"/>
          <w:color w:val="auto"/>
        </w:rPr>
      </w:pPr>
      <w:r>
        <w:rPr>
          <w:rFonts w:ascii="Arial" w:cs="Arial" w:eastAsia="Arial" w:hAnsi="Arial"/>
          <w:sz w:val="19"/>
          <w:szCs w:val="19"/>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Minerva, including spouses, family members, friends or business associates (unless the disclosure is made in accordance with Minerva’s policies regarding the protection or authorized external disclosure of information regarding Minerva). This includes anonymous discussions on the internet about Minerva or companies with which Minerva does business.</w:t>
      </w:r>
    </w:p>
    <w:p>
      <w:pPr>
        <w:spacing w:after="0" w:line="166" w:lineRule="exact"/>
        <w:rPr>
          <w:rFonts w:ascii="Arial" w:cs="Arial" w:eastAsia="Arial" w:hAnsi="Arial"/>
          <w:sz w:val="19"/>
          <w:szCs w:val="19"/>
          <w:b w:val="1"/>
          <w:bCs w:val="1"/>
          <w:color w:val="auto"/>
        </w:rPr>
      </w:pPr>
    </w:p>
    <w:p>
      <w:pPr>
        <w:ind w:left="520" w:hanging="512"/>
        <w:spacing w:after="0"/>
        <w:tabs>
          <w:tab w:leader="none" w:pos="52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don’t tell them the information itself; I just tell them whether they should buy or sell?</w:t>
      </w:r>
    </w:p>
    <w:p>
      <w:pPr>
        <w:spacing w:after="0" w:line="202" w:lineRule="exact"/>
        <w:rPr>
          <w:rFonts w:ascii="Arial" w:cs="Arial" w:eastAsia="Arial" w:hAnsi="Arial"/>
          <w:sz w:val="20"/>
          <w:szCs w:val="20"/>
          <w:b w:val="1"/>
          <w:bCs w:val="1"/>
          <w:color w:val="auto"/>
        </w:rPr>
      </w:pPr>
    </w:p>
    <w:p>
      <w:pPr>
        <w:jc w:val="both"/>
        <w:ind w:firstLine="757"/>
        <w:spacing w:after="0" w:line="241" w:lineRule="auto"/>
        <w:tabs>
          <w:tab w:leader="none" w:pos="1121" w:val="left"/>
        </w:tabs>
        <w:numPr>
          <w:ilvl w:val="1"/>
          <w:numId w:val="50"/>
        </w:numPr>
        <w:rPr>
          <w:rFonts w:ascii="Arial" w:cs="Arial" w:eastAsia="Arial" w:hAnsi="Arial"/>
          <w:sz w:val="20"/>
          <w:szCs w:val="20"/>
          <w:b w:val="1"/>
          <w:bCs w:val="1"/>
          <w:color w:val="auto"/>
        </w:rPr>
      </w:pPr>
      <w:r>
        <w:rPr>
          <w:rFonts w:ascii="Arial" w:cs="Arial" w:eastAsia="Arial" w:hAnsi="Arial"/>
          <w:sz w:val="20"/>
          <w:szCs w:val="20"/>
          <w:color w:val="auto"/>
        </w:rPr>
        <w:t>That is still tipping, and you can still be responsible for insider trading. You may never recommend to another person that they buy, hold or sell Minerva’s common stock or any derivative security related to Minerva’s common stock, since that could be a form of tipping.</w:t>
      </w:r>
    </w:p>
    <w:p>
      <w:pPr>
        <w:spacing w:after="0" w:line="171" w:lineRule="exact"/>
        <w:rPr>
          <w:rFonts w:ascii="Arial" w:cs="Arial" w:eastAsia="Arial" w:hAnsi="Arial"/>
          <w:sz w:val="20"/>
          <w:szCs w:val="20"/>
          <w:b w:val="1"/>
          <w:bCs w:val="1"/>
          <w:color w:val="auto"/>
        </w:rPr>
      </w:pPr>
    </w:p>
    <w:p>
      <w:pPr>
        <w:ind w:left="520" w:hanging="512"/>
        <w:spacing w:after="0"/>
        <w:tabs>
          <w:tab w:leader="none" w:pos="52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are the sanctions if I trade on material nonpublic information or tip off someone else?</w:t>
      </w:r>
    </w:p>
    <w:p>
      <w:pPr>
        <w:spacing w:after="0" w:line="202" w:lineRule="exact"/>
        <w:rPr>
          <w:rFonts w:ascii="Arial" w:cs="Arial" w:eastAsia="Arial" w:hAnsi="Arial"/>
          <w:sz w:val="20"/>
          <w:szCs w:val="20"/>
          <w:b w:val="1"/>
          <w:bCs w:val="1"/>
          <w:color w:val="auto"/>
        </w:rPr>
      </w:pPr>
    </w:p>
    <w:p>
      <w:pPr>
        <w:jc w:val="both"/>
        <w:ind w:firstLine="757"/>
        <w:spacing w:after="0" w:line="233" w:lineRule="auto"/>
        <w:tabs>
          <w:tab w:leader="none" w:pos="1081" w:val="left"/>
        </w:tabs>
        <w:numPr>
          <w:ilvl w:val="1"/>
          <w:numId w:val="50"/>
        </w:numPr>
        <w:rPr>
          <w:rFonts w:ascii="Arial" w:cs="Arial" w:eastAsia="Arial" w:hAnsi="Arial"/>
          <w:sz w:val="20"/>
          <w:szCs w:val="20"/>
          <w:b w:val="1"/>
          <w:bCs w:val="1"/>
          <w:color w:val="auto"/>
        </w:rPr>
      </w:pPr>
      <w:r>
        <w:rPr>
          <w:rFonts w:ascii="Arial" w:cs="Arial" w:eastAsia="Arial" w:hAnsi="Arial"/>
          <w:sz w:val="20"/>
          <w:szCs w:val="20"/>
          <w:color w:val="auto"/>
        </w:rPr>
        <w:t>In addition to disciplinary action by Minerva—which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72" w:lineRule="exact"/>
        <w:rPr>
          <w:rFonts w:ascii="Arial" w:cs="Arial" w:eastAsia="Arial" w:hAnsi="Arial"/>
          <w:sz w:val="20"/>
          <w:szCs w:val="20"/>
          <w:b w:val="1"/>
          <w:bCs w:val="1"/>
          <w:color w:val="auto"/>
        </w:rPr>
      </w:pPr>
    </w:p>
    <w:p>
      <w:pPr>
        <w:ind w:left="520" w:hanging="512"/>
        <w:spacing w:after="0"/>
        <w:tabs>
          <w:tab w:leader="none" w:pos="52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is “loss avoided”?</w:t>
      </w:r>
    </w:p>
    <w:p>
      <w:pPr>
        <w:spacing w:after="0" w:line="202" w:lineRule="exact"/>
        <w:rPr>
          <w:rFonts w:ascii="Arial" w:cs="Arial" w:eastAsia="Arial" w:hAnsi="Arial"/>
          <w:sz w:val="20"/>
          <w:szCs w:val="20"/>
          <w:b w:val="1"/>
          <w:bCs w:val="1"/>
          <w:color w:val="auto"/>
        </w:rPr>
      </w:pPr>
    </w:p>
    <w:p>
      <w:pPr>
        <w:ind w:firstLine="757"/>
        <w:spacing w:after="0" w:line="257" w:lineRule="auto"/>
        <w:tabs>
          <w:tab w:leader="none" w:pos="1067" w:val="left"/>
        </w:tabs>
        <w:numPr>
          <w:ilvl w:val="1"/>
          <w:numId w:val="50"/>
        </w:numPr>
        <w:rPr>
          <w:rFonts w:ascii="Arial" w:cs="Arial" w:eastAsia="Arial" w:hAnsi="Arial"/>
          <w:sz w:val="20"/>
          <w:szCs w:val="20"/>
          <w:b w:val="1"/>
          <w:bCs w:val="1"/>
          <w:color w:val="auto"/>
        </w:rPr>
      </w:pPr>
      <w:r>
        <w:rPr>
          <w:rFonts w:ascii="Arial" w:cs="Arial" w:eastAsia="Arial" w:hAnsi="Arial"/>
          <w:sz w:val="20"/>
          <w:szCs w:val="20"/>
          <w:color w:val="auto"/>
        </w:rPr>
        <w:t>If you sell common stock or a related derivative security before negative news is publicly announced, and as a result of the announcement the stock price declines, you have avoided the loss caused by the negative news.</w:t>
      </w:r>
    </w:p>
    <w:p>
      <w:pPr>
        <w:spacing w:after="0" w:line="155" w:lineRule="exact"/>
        <w:rPr>
          <w:rFonts w:ascii="Arial" w:cs="Arial" w:eastAsia="Arial" w:hAnsi="Arial"/>
          <w:sz w:val="20"/>
          <w:szCs w:val="20"/>
          <w:b w:val="1"/>
          <w:bCs w:val="1"/>
          <w:color w:val="auto"/>
        </w:rPr>
      </w:pPr>
    </w:p>
    <w:p>
      <w:pPr>
        <w:ind w:firstLine="8"/>
        <w:spacing w:after="0" w:line="268" w:lineRule="auto"/>
        <w:tabs>
          <w:tab w:leader="none" w:pos="509"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Am I restricted from trading securities of any companies other than Minerva, for example a partner or competitor of Minerva?</w:t>
      </w:r>
    </w:p>
    <w:p>
      <w:pPr>
        <w:spacing w:after="0" w:line="134" w:lineRule="exact"/>
        <w:rPr>
          <w:rFonts w:ascii="Arial" w:cs="Arial" w:eastAsia="Arial" w:hAnsi="Arial"/>
          <w:sz w:val="20"/>
          <w:szCs w:val="20"/>
          <w:b w:val="1"/>
          <w:bCs w:val="1"/>
          <w:color w:val="auto"/>
        </w:rPr>
      </w:pPr>
    </w:p>
    <w:p>
      <w:pPr>
        <w:ind w:firstLine="757"/>
        <w:spacing w:after="0" w:line="257" w:lineRule="auto"/>
        <w:tabs>
          <w:tab w:leader="none" w:pos="1108" w:val="left"/>
        </w:tabs>
        <w:numPr>
          <w:ilvl w:val="1"/>
          <w:numId w:val="50"/>
        </w:numPr>
        <w:rPr>
          <w:rFonts w:ascii="Arial" w:cs="Arial" w:eastAsia="Arial" w:hAnsi="Arial"/>
          <w:sz w:val="20"/>
          <w:szCs w:val="20"/>
          <w:b w:val="1"/>
          <w:bCs w:val="1"/>
          <w:color w:val="auto"/>
        </w:rPr>
      </w:pPr>
      <w:r>
        <w:rPr>
          <w:rFonts w:ascii="Arial" w:cs="Arial" w:eastAsia="Arial" w:hAnsi="Arial"/>
          <w:sz w:val="20"/>
          <w:szCs w:val="20"/>
          <w:color w:val="auto"/>
        </w:rPr>
        <w:t>Yes, you may be restricted from doing so due to your awareness of material nonpublic information. U.S. insider trading laws generally restrict everyone aware of material nonpublic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6" w:name="page117"/>
    <w:bookmarkEnd w:id="116"/>
    <w:p>
      <w:pPr>
        <w:jc w:val="both"/>
        <w:spacing w:after="0" w:line="234" w:lineRule="auto"/>
        <w:rPr>
          <w:sz w:val="20"/>
          <w:szCs w:val="20"/>
          <w:color w:val="auto"/>
        </w:rPr>
      </w:pPr>
      <w:r>
        <w:rPr>
          <w:rFonts w:ascii="Arial" w:cs="Arial" w:eastAsia="Arial" w:hAnsi="Arial"/>
          <w:sz w:val="20"/>
          <w:szCs w:val="20"/>
          <w:color w:val="auto"/>
        </w:rPr>
        <w:t>information about a company from trading in that company’s securities, regardless of whether the person is directly connected with that company, except in limited circumstances. You should be particularly conscious of this restriction if, through your position at Minerva, you sometimes obtain sensitive, material information about other companies and their business dealings with Minerva. Please also refer to Question 1 above and our insider trading policy with respect to restrictions on trading in the securities of other public companies.</w:t>
      </w:r>
    </w:p>
    <w:p>
      <w:pPr>
        <w:spacing w:after="0" w:line="175" w:lineRule="exact"/>
        <w:rPr>
          <w:sz w:val="20"/>
          <w:szCs w:val="20"/>
          <w:color w:val="auto"/>
        </w:rPr>
      </w:pPr>
    </w:p>
    <w:p>
      <w:pPr>
        <w:ind w:firstLine="8"/>
        <w:spacing w:after="0" w:line="268" w:lineRule="auto"/>
        <w:tabs>
          <w:tab w:leader="none" w:pos="509"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So if I do not trade Minerva securities when I have material nonpublic information, and I don’t “tip” other people, I am in the clear, right?</w:t>
      </w:r>
    </w:p>
    <w:p>
      <w:pPr>
        <w:spacing w:after="0" w:line="134" w:lineRule="exact"/>
        <w:rPr>
          <w:rFonts w:ascii="Arial" w:cs="Arial" w:eastAsia="Arial" w:hAnsi="Arial"/>
          <w:sz w:val="20"/>
          <w:szCs w:val="20"/>
          <w:b w:val="1"/>
          <w:bCs w:val="1"/>
          <w:color w:val="auto"/>
        </w:rPr>
      </w:pPr>
    </w:p>
    <w:p>
      <w:pPr>
        <w:jc w:val="both"/>
        <w:ind w:firstLine="757"/>
        <w:spacing w:after="0" w:line="252" w:lineRule="auto"/>
        <w:tabs>
          <w:tab w:leader="none" w:pos="1081" w:val="left"/>
        </w:tabs>
        <w:numPr>
          <w:ilvl w:val="1"/>
          <w:numId w:val="51"/>
        </w:numPr>
        <w:rPr>
          <w:rFonts w:ascii="Arial" w:cs="Arial" w:eastAsia="Arial" w:hAnsi="Arial"/>
          <w:sz w:val="19"/>
          <w:szCs w:val="19"/>
          <w:b w:val="1"/>
          <w:bCs w:val="1"/>
          <w:color w:val="auto"/>
        </w:rPr>
      </w:pPr>
      <w:r>
        <w:rPr>
          <w:rFonts w:ascii="Arial" w:cs="Arial" w:eastAsia="Arial" w:hAnsi="Arial"/>
          <w:sz w:val="19"/>
          <w:szCs w:val="19"/>
          <w:color w:val="auto"/>
        </w:rPr>
        <w:t>Not necessarily. Even if you do not violate U.S. law, you may still violate our policies. For example, employees and consultants may violate our policies by breaching their confidentiality obligations or by recommending Minerva stock as an investment, even if these actions do not violate securities laws. Our policies are stricter than the law requires so that we and our employees and consultants can avoid even the appearance of wrongdoing. Therefore, please review the entire policy carefully.</w:t>
      </w:r>
    </w:p>
    <w:p>
      <w:pPr>
        <w:spacing w:after="0" w:line="162" w:lineRule="exact"/>
        <w:rPr>
          <w:rFonts w:ascii="Arial" w:cs="Arial" w:eastAsia="Arial" w:hAnsi="Arial"/>
          <w:sz w:val="19"/>
          <w:szCs w:val="19"/>
          <w:b w:val="1"/>
          <w:bCs w:val="1"/>
          <w:color w:val="auto"/>
        </w:rPr>
      </w:pPr>
    </w:p>
    <w:p>
      <w:pPr>
        <w:ind w:left="520" w:hanging="512"/>
        <w:spacing w:after="0"/>
        <w:tabs>
          <w:tab w:leader="none" w:pos="52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So when can I buy or sell my Minerva securities?</w:t>
      </w:r>
    </w:p>
    <w:p>
      <w:pPr>
        <w:spacing w:after="0" w:line="202" w:lineRule="exact"/>
        <w:rPr>
          <w:rFonts w:ascii="Arial" w:cs="Arial" w:eastAsia="Arial" w:hAnsi="Arial"/>
          <w:sz w:val="20"/>
          <w:szCs w:val="20"/>
          <w:b w:val="1"/>
          <w:bCs w:val="1"/>
          <w:color w:val="auto"/>
        </w:rPr>
      </w:pPr>
    </w:p>
    <w:p>
      <w:pPr>
        <w:jc w:val="both"/>
        <w:ind w:firstLine="757"/>
        <w:spacing w:after="0" w:line="231" w:lineRule="auto"/>
        <w:tabs>
          <w:tab w:leader="none" w:pos="1081" w:val="left"/>
        </w:tabs>
        <w:numPr>
          <w:ilvl w:val="1"/>
          <w:numId w:val="51"/>
        </w:numPr>
        <w:rPr>
          <w:rFonts w:ascii="Arial" w:cs="Arial" w:eastAsia="Arial" w:hAnsi="Arial"/>
          <w:sz w:val="20"/>
          <w:szCs w:val="20"/>
          <w:b w:val="1"/>
          <w:bCs w:val="1"/>
          <w:color w:val="auto"/>
        </w:rPr>
      </w:pPr>
      <w:r>
        <w:rPr>
          <w:rFonts w:ascii="Arial" w:cs="Arial" w:eastAsia="Arial" w:hAnsi="Arial"/>
          <w:sz w:val="20"/>
          <w:szCs w:val="20"/>
          <w:color w:val="auto"/>
        </w:rPr>
        <w:t xml:space="preserve">If you are aware of material nonpublic information, you may not buy or sell our common stock until two full trading days have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w:t>
      </w:r>
      <w:r>
        <w:rPr>
          <w:rFonts w:ascii="Arial" w:cs="Arial" w:eastAsia="Arial" w:hAnsi="Arial"/>
          <w:sz w:val="20"/>
          <w:szCs w:val="20"/>
          <w:b w:val="1"/>
          <w:bCs w:val="1"/>
          <w:color w:val="auto"/>
        </w:rPr>
        <w:t>Even</w:t>
      </w:r>
      <w:r>
        <w:rPr>
          <w:rFonts w:ascii="Arial" w:cs="Arial" w:eastAsia="Arial" w:hAnsi="Arial"/>
          <w:sz w:val="20"/>
          <w:szCs w:val="20"/>
          <w:color w:val="auto"/>
        </w:rPr>
        <w:t xml:space="preserve"> </w:t>
      </w:r>
      <w:r>
        <w:rPr>
          <w:rFonts w:ascii="Arial" w:cs="Arial" w:eastAsia="Arial" w:hAnsi="Arial"/>
          <w:sz w:val="20"/>
          <w:szCs w:val="20"/>
          <w:b w:val="1"/>
          <w:bCs w:val="1"/>
          <w:color w:val="auto"/>
        </w:rPr>
        <w:t>if you are not aware of any material nonpublic information, you may not trade our common stock during any trading “blackout” period</w:t>
      </w:r>
      <w:r>
        <w:rPr>
          <w:rFonts w:ascii="Arial" w:cs="Arial" w:eastAsia="Arial" w:hAnsi="Arial"/>
          <w:sz w:val="20"/>
          <w:szCs w:val="20"/>
          <w:color w:val="auto"/>
        </w:rPr>
        <w:t>. Our insider trading policy describes the quarterly trading blackout period, and additional event-driven trading</w:t>
      </w:r>
      <w:r>
        <w:rPr>
          <w:rFonts w:ascii="Arial" w:cs="Arial" w:eastAsia="Arial" w:hAnsi="Arial"/>
          <w:sz w:val="20"/>
          <w:szCs w:val="20"/>
          <w:b w:val="1"/>
          <w:bCs w:val="1"/>
          <w:color w:val="auto"/>
        </w:rPr>
        <w:t xml:space="preserve"> </w:t>
      </w:r>
      <w:r>
        <w:rPr>
          <w:rFonts w:ascii="Arial" w:cs="Arial" w:eastAsia="Arial" w:hAnsi="Arial"/>
          <w:sz w:val="20"/>
          <w:szCs w:val="20"/>
          <w:color w:val="auto"/>
        </w:rPr>
        <w:t>blackout periods may be announced by email.</w:t>
      </w:r>
    </w:p>
    <w:p>
      <w:pPr>
        <w:spacing w:after="0" w:line="173" w:lineRule="exact"/>
        <w:rPr>
          <w:rFonts w:ascii="Arial" w:cs="Arial" w:eastAsia="Arial" w:hAnsi="Arial"/>
          <w:sz w:val="20"/>
          <w:szCs w:val="20"/>
          <w:b w:val="1"/>
          <w:bCs w:val="1"/>
          <w:color w:val="auto"/>
        </w:rPr>
      </w:pPr>
    </w:p>
    <w:p>
      <w:pPr>
        <w:ind w:firstLine="8"/>
        <w:spacing w:after="0" w:line="268" w:lineRule="auto"/>
        <w:tabs>
          <w:tab w:leader="none" w:pos="509"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If I have an open order to buy or sell Minerva securities on the date a blackout period commences, can I leave it to my broker to cancel the open order and avoid executing the trade?</w:t>
      </w:r>
    </w:p>
    <w:p>
      <w:pPr>
        <w:spacing w:after="0" w:line="134" w:lineRule="exact"/>
        <w:rPr>
          <w:rFonts w:ascii="Arial" w:cs="Arial" w:eastAsia="Arial" w:hAnsi="Arial"/>
          <w:sz w:val="20"/>
          <w:szCs w:val="20"/>
          <w:b w:val="1"/>
          <w:bCs w:val="1"/>
          <w:color w:val="auto"/>
        </w:rPr>
      </w:pPr>
    </w:p>
    <w:p>
      <w:pPr>
        <w:jc w:val="both"/>
        <w:ind w:firstLine="757"/>
        <w:spacing w:after="0" w:line="237" w:lineRule="auto"/>
        <w:tabs>
          <w:tab w:leader="none" w:pos="1067" w:val="left"/>
        </w:tabs>
        <w:numPr>
          <w:ilvl w:val="1"/>
          <w:numId w:val="51"/>
        </w:numPr>
        <w:rPr>
          <w:rFonts w:ascii="Arial" w:cs="Arial" w:eastAsia="Arial" w:hAnsi="Arial"/>
          <w:sz w:val="20"/>
          <w:szCs w:val="20"/>
          <w:b w:val="1"/>
          <w:bCs w:val="1"/>
          <w:color w:val="auto"/>
        </w:rPr>
      </w:pPr>
      <w:r>
        <w:rPr>
          <w:rFonts w:ascii="Arial" w:cs="Arial" w:eastAsia="Arial" w:hAnsi="Arial"/>
          <w:sz w:val="20"/>
          <w:szCs w:val="20"/>
          <w:color w:val="auto"/>
        </w:rPr>
        <w:t>No, unless it is in connection with a 10b5-1 trading plan (see Question 27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w:t>
      </w:r>
    </w:p>
    <w:p>
      <w:pPr>
        <w:spacing w:after="0" w:line="171" w:lineRule="exact"/>
        <w:rPr>
          <w:rFonts w:ascii="Arial" w:cs="Arial" w:eastAsia="Arial" w:hAnsi="Arial"/>
          <w:sz w:val="20"/>
          <w:szCs w:val="20"/>
          <w:b w:val="1"/>
          <w:bCs w:val="1"/>
          <w:color w:val="auto"/>
        </w:rPr>
      </w:pPr>
    </w:p>
    <w:p>
      <w:pPr>
        <w:ind w:left="520" w:hanging="512"/>
        <w:spacing w:after="0"/>
        <w:tabs>
          <w:tab w:leader="none" w:pos="52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Am I allowed to trade derivative securities of Minerva’s common stock?</w:t>
      </w:r>
    </w:p>
    <w:p>
      <w:pPr>
        <w:spacing w:after="0" w:line="202" w:lineRule="exact"/>
        <w:rPr>
          <w:rFonts w:ascii="Arial" w:cs="Arial" w:eastAsia="Arial" w:hAnsi="Arial"/>
          <w:sz w:val="20"/>
          <w:szCs w:val="20"/>
          <w:b w:val="1"/>
          <w:bCs w:val="1"/>
          <w:color w:val="auto"/>
        </w:rPr>
      </w:pPr>
    </w:p>
    <w:p>
      <w:pPr>
        <w:jc w:val="both"/>
        <w:ind w:firstLine="757"/>
        <w:spacing w:after="0" w:line="241" w:lineRule="auto"/>
        <w:tabs>
          <w:tab w:leader="none" w:pos="1135" w:val="left"/>
        </w:tabs>
        <w:numPr>
          <w:ilvl w:val="1"/>
          <w:numId w:val="51"/>
        </w:numPr>
        <w:rPr>
          <w:rFonts w:ascii="Arial" w:cs="Arial" w:eastAsia="Arial" w:hAnsi="Arial"/>
          <w:sz w:val="20"/>
          <w:szCs w:val="20"/>
          <w:b w:val="1"/>
          <w:bCs w:val="1"/>
          <w:color w:val="auto"/>
        </w:rPr>
      </w:pPr>
      <w:r>
        <w:rPr>
          <w:rFonts w:ascii="Arial" w:cs="Arial" w:eastAsia="Arial" w:hAnsi="Arial"/>
          <w:sz w:val="20"/>
          <w:szCs w:val="20"/>
          <w:color w:val="auto"/>
        </w:rPr>
        <w:t>No. Under our policies, you may not trade in derivative securities related to our common stock, which include publicly traded call and put options. In addition, under our policies, you may not engage in short selling of our common stock at any time.</w:t>
      </w:r>
    </w:p>
    <w:p>
      <w:pPr>
        <w:spacing w:after="0" w:line="17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7" w:name="page118"/>
    <w:bookmarkEnd w:id="117"/>
    <w:p>
      <w:pPr>
        <w:jc w:val="both"/>
        <w:ind w:right="20"/>
        <w:spacing w:after="0" w:line="257" w:lineRule="auto"/>
        <w:rPr>
          <w:sz w:val="20"/>
          <w:szCs w:val="20"/>
          <w:color w:val="auto"/>
        </w:rPr>
      </w:pPr>
      <w:r>
        <w:rPr>
          <w:rFonts w:ascii="Arial" w:cs="Arial" w:eastAsia="Arial" w:hAnsi="Arial"/>
          <w:sz w:val="20"/>
          <w:szCs w:val="20"/>
          <w:color w:val="auto"/>
        </w:rPr>
        <w:t>different from employee options and other equity awards granted under our equity compensation plans, which are not derivative securities for purposes of our policy.</w:t>
      </w:r>
    </w:p>
    <w:p>
      <w:pPr>
        <w:spacing w:after="0" w:line="155" w:lineRule="exact"/>
        <w:rPr>
          <w:sz w:val="20"/>
          <w:szCs w:val="20"/>
          <w:color w:val="auto"/>
        </w:rPr>
      </w:pPr>
    </w:p>
    <w:p>
      <w:pPr>
        <w:jc w:val="both"/>
        <w:ind w:right="20" w:firstLine="749"/>
        <w:spacing w:after="0" w:line="241" w:lineRule="auto"/>
        <w:rPr>
          <w:sz w:val="20"/>
          <w:szCs w:val="20"/>
          <w:color w:val="auto"/>
        </w:rPr>
      </w:pPr>
      <w:r>
        <w:rPr>
          <w:rFonts w:ascii="Arial" w:cs="Arial" w:eastAsia="Arial" w:hAnsi="Arial"/>
          <w:sz w:val="20"/>
          <w:szCs w:val="20"/>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71"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Why does Minerva prohibit trading in derivative securities and short selling?</w:t>
      </w:r>
    </w:p>
    <w:p>
      <w:pPr>
        <w:spacing w:after="0" w:line="202" w:lineRule="exact"/>
        <w:rPr>
          <w:rFonts w:ascii="Arial" w:cs="Arial" w:eastAsia="Arial" w:hAnsi="Arial"/>
          <w:sz w:val="20"/>
          <w:szCs w:val="20"/>
          <w:b w:val="1"/>
          <w:bCs w:val="1"/>
          <w:color w:val="auto"/>
        </w:rPr>
      </w:pPr>
    </w:p>
    <w:p>
      <w:pPr>
        <w:jc w:val="both"/>
        <w:ind w:firstLine="757"/>
        <w:spacing w:after="0" w:line="237" w:lineRule="auto"/>
        <w:tabs>
          <w:tab w:leader="none" w:pos="1081" w:val="left"/>
        </w:tabs>
        <w:numPr>
          <w:ilvl w:val="1"/>
          <w:numId w:val="52"/>
        </w:numPr>
        <w:rPr>
          <w:rFonts w:ascii="Arial" w:cs="Arial" w:eastAsia="Arial" w:hAnsi="Arial"/>
          <w:sz w:val="20"/>
          <w:szCs w:val="20"/>
          <w:b w:val="1"/>
          <w:bCs w:val="1"/>
          <w:color w:val="auto"/>
        </w:rPr>
      </w:pPr>
      <w:r>
        <w:rPr>
          <w:rFonts w:ascii="Arial" w:cs="Arial" w:eastAsia="Arial" w:hAnsi="Arial"/>
          <w:sz w:val="20"/>
          <w:szCs w:val="20"/>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spacing w:after="0" w:line="171" w:lineRule="exact"/>
        <w:rPr>
          <w:rFonts w:ascii="Arial" w:cs="Arial" w:eastAsia="Arial" w:hAnsi="Arial"/>
          <w:sz w:val="20"/>
          <w:szCs w:val="20"/>
          <w:b w:val="1"/>
          <w:bCs w:val="1"/>
          <w:color w:val="auto"/>
        </w:rPr>
      </w:pPr>
    </w:p>
    <w:p>
      <w:pPr>
        <w:ind w:left="520" w:hanging="512"/>
        <w:spacing w:after="0"/>
        <w:tabs>
          <w:tab w:leader="none" w:pos="52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purchase Minerva securities on margin or hold them in a margin account?</w:t>
      </w:r>
    </w:p>
    <w:p>
      <w:pPr>
        <w:spacing w:after="0" w:line="202" w:lineRule="exact"/>
        <w:rPr>
          <w:rFonts w:ascii="Arial" w:cs="Arial" w:eastAsia="Arial" w:hAnsi="Arial"/>
          <w:sz w:val="20"/>
          <w:szCs w:val="20"/>
          <w:b w:val="1"/>
          <w:bCs w:val="1"/>
          <w:color w:val="auto"/>
        </w:rPr>
      </w:pPr>
    </w:p>
    <w:p>
      <w:pPr>
        <w:ind w:left="1080" w:hanging="323"/>
        <w:spacing w:after="0"/>
        <w:tabs>
          <w:tab w:leader="none" w:pos="1080" w:val="left"/>
        </w:tabs>
        <w:numPr>
          <w:ilvl w:val="1"/>
          <w:numId w:val="52"/>
        </w:numPr>
        <w:rPr>
          <w:rFonts w:ascii="Arial" w:cs="Arial" w:eastAsia="Arial" w:hAnsi="Arial"/>
          <w:sz w:val="20"/>
          <w:szCs w:val="20"/>
          <w:b w:val="1"/>
          <w:bCs w:val="1"/>
          <w:color w:val="auto"/>
        </w:rPr>
      </w:pPr>
      <w:r>
        <w:rPr>
          <w:rFonts w:ascii="Arial" w:cs="Arial" w:eastAsia="Arial" w:hAnsi="Arial"/>
          <w:sz w:val="20"/>
          <w:szCs w:val="20"/>
          <w:color w:val="auto"/>
        </w:rPr>
        <w:t>Under our policies, you may not purchase our common stock on margin or hold it in a margin account at any time.</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71" w:lineRule="exact"/>
        <w:rPr>
          <w:sz w:val="20"/>
          <w:szCs w:val="20"/>
          <w:color w:val="auto"/>
        </w:rPr>
      </w:pPr>
    </w:p>
    <w:p>
      <w:pPr>
        <w:ind w:firstLine="8"/>
        <w:spacing w:after="0" w:line="268" w:lineRule="auto"/>
        <w:tabs>
          <w:tab w:leader="none" w:pos="509"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Why does Minerva prohibit me from purchasing Minerva securities on margin or holding them in a margin account?</w:t>
      </w:r>
    </w:p>
    <w:p>
      <w:pPr>
        <w:spacing w:after="0" w:line="134" w:lineRule="exact"/>
        <w:rPr>
          <w:rFonts w:ascii="Arial" w:cs="Arial" w:eastAsia="Arial" w:hAnsi="Arial"/>
          <w:sz w:val="20"/>
          <w:szCs w:val="20"/>
          <w:b w:val="1"/>
          <w:bCs w:val="1"/>
          <w:color w:val="auto"/>
        </w:rPr>
      </w:pPr>
    </w:p>
    <w:p>
      <w:pPr>
        <w:jc w:val="both"/>
        <w:ind w:firstLine="757"/>
        <w:spacing w:after="0" w:line="233" w:lineRule="auto"/>
        <w:tabs>
          <w:tab w:leader="none" w:pos="1081" w:val="left"/>
        </w:tabs>
        <w:numPr>
          <w:ilvl w:val="2"/>
          <w:numId w:val="53"/>
        </w:numPr>
        <w:rPr>
          <w:rFonts w:ascii="Arial" w:cs="Arial" w:eastAsia="Arial" w:hAnsi="Arial"/>
          <w:sz w:val="20"/>
          <w:szCs w:val="20"/>
          <w:b w:val="1"/>
          <w:bCs w:val="1"/>
          <w:color w:val="auto"/>
        </w:rPr>
      </w:pPr>
      <w:r>
        <w:rPr>
          <w:rFonts w:ascii="Arial" w:cs="Arial" w:eastAsia="Arial" w:hAnsi="Arial"/>
          <w:sz w:val="20"/>
          <w:szCs w:val="20"/>
          <w:color w:val="auto"/>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spacing w:after="0" w:line="172" w:lineRule="exact"/>
        <w:rPr>
          <w:rFonts w:ascii="Arial" w:cs="Arial" w:eastAsia="Arial" w:hAnsi="Arial"/>
          <w:sz w:val="20"/>
          <w:szCs w:val="20"/>
          <w:b w:val="1"/>
          <w:bCs w:val="1"/>
          <w:color w:val="auto"/>
        </w:rPr>
      </w:pPr>
    </w:p>
    <w:p>
      <w:pPr>
        <w:ind w:left="520" w:hanging="512"/>
        <w:spacing w:after="0"/>
        <w:tabs>
          <w:tab w:leader="none" w:pos="52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pledge my Minerva shares as collateral for a personal loan?</w:t>
      </w:r>
    </w:p>
    <w:p>
      <w:pPr>
        <w:spacing w:after="0" w:line="202" w:lineRule="exact"/>
        <w:rPr>
          <w:rFonts w:ascii="Arial" w:cs="Arial" w:eastAsia="Arial" w:hAnsi="Arial"/>
          <w:sz w:val="20"/>
          <w:szCs w:val="20"/>
          <w:b w:val="1"/>
          <w:bCs w:val="1"/>
          <w:color w:val="auto"/>
        </w:rPr>
      </w:pPr>
    </w:p>
    <w:p>
      <w:pPr>
        <w:jc w:val="both"/>
        <w:ind w:right="20" w:firstLine="461"/>
        <w:spacing w:after="0" w:line="241" w:lineRule="auto"/>
        <w:tabs>
          <w:tab w:leader="none" w:pos="740" w:val="left"/>
        </w:tabs>
        <w:numPr>
          <w:ilvl w:val="1"/>
          <w:numId w:val="53"/>
        </w:numPr>
        <w:rPr>
          <w:rFonts w:ascii="Arial" w:cs="Arial" w:eastAsia="Arial" w:hAnsi="Arial"/>
          <w:sz w:val="20"/>
          <w:szCs w:val="20"/>
          <w:b w:val="1"/>
          <w:bCs w:val="1"/>
          <w:color w:val="auto"/>
        </w:rPr>
      </w:pPr>
      <w:r>
        <w:rPr>
          <w:rFonts w:ascii="Arial" w:cs="Arial" w:eastAsia="Arial" w:hAnsi="Arial"/>
          <w:sz w:val="20"/>
          <w:szCs w:val="20"/>
          <w:color w:val="auto"/>
        </w:rPr>
        <w:t>No. Pledging your shares as collateral for a personal loan could cause the pledgee to transfer your shares during a trading blackout period or when you are otherwise aware of material nonpublic information. As a result, you may not pledge your shares as collateral for a loan.</w:t>
      </w:r>
    </w:p>
    <w:p>
      <w:pPr>
        <w:spacing w:after="0" w:line="171" w:lineRule="exact"/>
        <w:rPr>
          <w:rFonts w:ascii="Arial" w:cs="Arial" w:eastAsia="Arial" w:hAnsi="Arial"/>
          <w:sz w:val="20"/>
          <w:szCs w:val="20"/>
          <w:b w:val="1"/>
          <w:bCs w:val="1"/>
          <w:color w:val="auto"/>
        </w:rPr>
      </w:pPr>
    </w:p>
    <w:p>
      <w:pPr>
        <w:ind w:left="760" w:hanging="752"/>
        <w:spacing w:after="0"/>
        <w:tabs>
          <w:tab w:leader="none" w:pos="76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hedge my ownership position in Minerva?</w:t>
      </w:r>
    </w:p>
    <w:p>
      <w:pPr>
        <w:spacing w:after="0" w:line="202" w:lineRule="exact"/>
        <w:rPr>
          <w:rFonts w:ascii="Arial" w:cs="Arial" w:eastAsia="Arial" w:hAnsi="Arial"/>
          <w:sz w:val="20"/>
          <w:szCs w:val="20"/>
          <w:b w:val="1"/>
          <w:bCs w:val="1"/>
          <w:color w:val="auto"/>
        </w:rPr>
      </w:pPr>
    </w:p>
    <w:p>
      <w:pPr>
        <w:jc w:val="both"/>
        <w:ind w:firstLine="757"/>
        <w:spacing w:after="0" w:line="237" w:lineRule="auto"/>
        <w:tabs>
          <w:tab w:leader="none" w:pos="1105" w:val="left"/>
        </w:tabs>
        <w:numPr>
          <w:ilvl w:val="2"/>
          <w:numId w:val="53"/>
        </w:numPr>
        <w:rPr>
          <w:rFonts w:ascii="Arial" w:cs="Arial" w:eastAsia="Arial" w:hAnsi="Arial"/>
          <w:sz w:val="20"/>
          <w:szCs w:val="20"/>
          <w:b w:val="1"/>
          <w:bCs w:val="1"/>
          <w:color w:val="auto"/>
        </w:rPr>
      </w:pPr>
      <w:r>
        <w:rPr>
          <w:rFonts w:ascii="Arial" w:cs="Arial" w:eastAsia="Arial" w:hAnsi="Arial"/>
          <w:sz w:val="20"/>
          <w:szCs w:val="20"/>
          <w:color w:val="auto"/>
        </w:rPr>
        <w:t>Hedging or monetization transactions, including through the use of financial instruments such as prepaid variable forwards, equity swaps, collars and exchange funds are prohibited by our insider trading policy. Since such hedging transactions allow you to continue to own Minerva’s securities obtained through employee benefit plans or otherwise, but without the full risks and rewards of ownership, you may no longer have the same objectives as Minerva’s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other shareholders. Therefore, our insider trading policy prohibits you from engaging in any such transactions.</w:t>
      </w:r>
    </w:p>
    <w:p>
      <w:pPr>
        <w:spacing w:after="0" w:line="202" w:lineRule="exact"/>
        <w:rPr>
          <w:sz w:val="20"/>
          <w:szCs w:val="20"/>
          <w:color w:val="auto"/>
        </w:rPr>
      </w:pPr>
    </w:p>
    <w:p>
      <w:pPr>
        <w:ind w:firstLine="8"/>
        <w:spacing w:after="0" w:line="268" w:lineRule="auto"/>
        <w:tabs>
          <w:tab w:leader="none" w:pos="509"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exercise options granted to me under Minerva’s equity compensation plans during a trading blackout period or when I possess material nonpublic information?</w:t>
      </w:r>
    </w:p>
    <w:p>
      <w:pPr>
        <w:spacing w:after="0" w:line="134" w:lineRule="exact"/>
        <w:rPr>
          <w:rFonts w:ascii="Arial" w:cs="Arial" w:eastAsia="Arial" w:hAnsi="Arial"/>
          <w:sz w:val="20"/>
          <w:szCs w:val="20"/>
          <w:b w:val="1"/>
          <w:bCs w:val="1"/>
          <w:color w:val="auto"/>
        </w:rPr>
      </w:pPr>
    </w:p>
    <w:p>
      <w:pPr>
        <w:jc w:val="both"/>
        <w:ind w:firstLine="757"/>
        <w:spacing w:after="0" w:line="234" w:lineRule="auto"/>
        <w:tabs>
          <w:tab w:leader="none" w:pos="1081" w:val="left"/>
        </w:tabs>
        <w:numPr>
          <w:ilvl w:val="1"/>
          <w:numId w:val="54"/>
        </w:numPr>
        <w:rPr>
          <w:rFonts w:ascii="Arial" w:cs="Arial" w:eastAsia="Arial" w:hAnsi="Arial"/>
          <w:sz w:val="20"/>
          <w:szCs w:val="20"/>
          <w:b w:val="1"/>
          <w:bCs w:val="1"/>
          <w:color w:val="auto"/>
        </w:rPr>
      </w:pPr>
      <w:r>
        <w:rPr>
          <w:rFonts w:ascii="Arial" w:cs="Arial" w:eastAsia="Arial" w:hAnsi="Arial"/>
          <w:sz w:val="20"/>
          <w:szCs w:val="20"/>
          <w:color w:val="auto"/>
        </w:rPr>
        <w:t xml:space="preserve">Yes. You may exercise the options for cash (or via net exercise transaction with the company) and receive shares, but you may not sell the shares (even to pay the exercise price or any taxes due) during a trading blackout period or any time that you are aware of material nonpublic information. To be clear, you may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effect a broker-assisted cashless exercise (these cashless exercise transactions include a market sale) during a trading blackout period or any time that you are aware of material nonpublic information</w:t>
      </w:r>
    </w:p>
    <w:p>
      <w:pPr>
        <w:spacing w:after="0" w:line="174" w:lineRule="exact"/>
        <w:rPr>
          <w:rFonts w:ascii="Arial" w:cs="Arial" w:eastAsia="Arial" w:hAnsi="Arial"/>
          <w:sz w:val="20"/>
          <w:szCs w:val="20"/>
          <w:b w:val="1"/>
          <w:bCs w:val="1"/>
          <w:color w:val="auto"/>
        </w:rPr>
      </w:pPr>
    </w:p>
    <w:p>
      <w:pPr>
        <w:ind w:left="520" w:hanging="512"/>
        <w:spacing w:after="0"/>
        <w:tabs>
          <w:tab w:leader="none" w:pos="52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Am I subject to trading blackout periods if I am no longer an employee or consultant of Minerva?</w:t>
      </w:r>
    </w:p>
    <w:p>
      <w:pPr>
        <w:spacing w:after="0" w:line="202" w:lineRule="exact"/>
        <w:rPr>
          <w:rFonts w:ascii="Arial" w:cs="Arial" w:eastAsia="Arial" w:hAnsi="Arial"/>
          <w:sz w:val="20"/>
          <w:szCs w:val="20"/>
          <w:b w:val="1"/>
          <w:bCs w:val="1"/>
          <w:color w:val="auto"/>
        </w:rPr>
      </w:pPr>
    </w:p>
    <w:p>
      <w:pPr>
        <w:jc w:val="both"/>
        <w:ind w:firstLine="757"/>
        <w:spacing w:after="0" w:line="233" w:lineRule="auto"/>
        <w:tabs>
          <w:tab w:leader="none" w:pos="1135" w:val="left"/>
        </w:tabs>
        <w:numPr>
          <w:ilvl w:val="1"/>
          <w:numId w:val="54"/>
        </w:numPr>
        <w:rPr>
          <w:rFonts w:ascii="Arial" w:cs="Arial" w:eastAsia="Arial" w:hAnsi="Arial"/>
          <w:sz w:val="20"/>
          <w:szCs w:val="20"/>
          <w:b w:val="1"/>
          <w:bCs w:val="1"/>
          <w:color w:val="auto"/>
        </w:rPr>
      </w:pPr>
      <w:r>
        <w:rPr>
          <w:rFonts w:ascii="Arial" w:cs="Arial" w:eastAsia="Arial" w:hAnsi="Arial"/>
          <w:sz w:val="20"/>
          <w:szCs w:val="20"/>
          <w:color w:val="auto"/>
        </w:rPr>
        <w:t>It depends. If your employment with Minerva ends during a trading blackout period, you will be subject to the remainder of that trading blackout period. If your employment with Minerva ends on a day that the trading window is open, you will not be subject to the next trading blackout period. However, even if you are not subject to our trading blackout period after you leave Minerva, you should not trade in Minerva securities if you are aware of material nonpublic information. That restriction stays with you as long as the information you possess is material and not publicly disseminated within the meaning of our insider trading policy.</w:t>
      </w:r>
    </w:p>
    <w:p>
      <w:pPr>
        <w:spacing w:after="0" w:line="172" w:lineRule="exact"/>
        <w:rPr>
          <w:rFonts w:ascii="Arial" w:cs="Arial" w:eastAsia="Arial" w:hAnsi="Arial"/>
          <w:sz w:val="20"/>
          <w:szCs w:val="20"/>
          <w:b w:val="1"/>
          <w:bCs w:val="1"/>
          <w:color w:val="auto"/>
        </w:rPr>
      </w:pPr>
    </w:p>
    <w:p>
      <w:pPr>
        <w:ind w:left="520" w:hanging="512"/>
        <w:spacing w:after="0"/>
        <w:tabs>
          <w:tab w:leader="none" w:pos="52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gift stock while I possess material nonpublic information or during a trading blackout period?</w:t>
      </w:r>
    </w:p>
    <w:p>
      <w:pPr>
        <w:spacing w:after="0" w:line="202" w:lineRule="exact"/>
        <w:rPr>
          <w:rFonts w:ascii="Arial" w:cs="Arial" w:eastAsia="Arial" w:hAnsi="Arial"/>
          <w:sz w:val="20"/>
          <w:szCs w:val="20"/>
          <w:b w:val="1"/>
          <w:bCs w:val="1"/>
          <w:color w:val="auto"/>
        </w:rPr>
      </w:pPr>
    </w:p>
    <w:p>
      <w:pPr>
        <w:ind w:firstLine="757"/>
        <w:spacing w:after="0" w:line="257" w:lineRule="auto"/>
        <w:tabs>
          <w:tab w:leader="none" w:pos="994" w:val="left"/>
        </w:tabs>
        <w:numPr>
          <w:ilvl w:val="1"/>
          <w:numId w:val="54"/>
        </w:numPr>
        <w:rPr>
          <w:rFonts w:ascii="Arial" w:cs="Arial" w:eastAsia="Arial" w:hAnsi="Arial"/>
          <w:sz w:val="20"/>
          <w:szCs w:val="20"/>
          <w:color w:val="auto"/>
        </w:rPr>
      </w:pPr>
      <w:r>
        <w:rPr>
          <w:rFonts w:ascii="Arial" w:cs="Arial" w:eastAsia="Arial" w:hAnsi="Arial"/>
          <w:sz w:val="20"/>
          <w:szCs w:val="20"/>
          <w:color w:val="auto"/>
        </w:rPr>
        <w:t>Because of the potential for the appearance of impropriety, you may not make gifts, whether to charities, to a trust or otherwise, of Minerva’s common stock when you possess material nonpublic information or during a trading blackout period.</w:t>
      </w:r>
    </w:p>
    <w:p>
      <w:pPr>
        <w:spacing w:after="0" w:line="155" w:lineRule="exact"/>
        <w:rPr>
          <w:rFonts w:ascii="Arial" w:cs="Arial" w:eastAsia="Arial" w:hAnsi="Arial"/>
          <w:sz w:val="20"/>
          <w:szCs w:val="20"/>
          <w:color w:val="auto"/>
        </w:rPr>
      </w:pPr>
    </w:p>
    <w:p>
      <w:pPr>
        <w:ind w:firstLine="8"/>
        <w:spacing w:after="0" w:line="268" w:lineRule="auto"/>
        <w:tabs>
          <w:tab w:leader="none" w:pos="509"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purchased publicly traded options or other derivative securities before I became a Minerva employee or consultant?</w:t>
      </w:r>
    </w:p>
    <w:p>
      <w:pPr>
        <w:spacing w:after="0" w:line="134" w:lineRule="exact"/>
        <w:rPr>
          <w:rFonts w:ascii="Arial" w:cs="Arial" w:eastAsia="Arial" w:hAnsi="Arial"/>
          <w:sz w:val="20"/>
          <w:szCs w:val="20"/>
          <w:b w:val="1"/>
          <w:bCs w:val="1"/>
          <w:color w:val="auto"/>
        </w:rPr>
      </w:pPr>
    </w:p>
    <w:p>
      <w:pPr>
        <w:jc w:val="both"/>
        <w:ind w:firstLine="757"/>
        <w:spacing w:after="0" w:line="241" w:lineRule="auto"/>
        <w:tabs>
          <w:tab w:leader="none" w:pos="1081" w:val="left"/>
        </w:tabs>
        <w:numPr>
          <w:ilvl w:val="1"/>
          <w:numId w:val="54"/>
        </w:numPr>
        <w:rPr>
          <w:rFonts w:ascii="Arial" w:cs="Arial" w:eastAsia="Arial" w:hAnsi="Arial"/>
          <w:sz w:val="20"/>
          <w:szCs w:val="20"/>
          <w:b w:val="1"/>
          <w:bCs w:val="1"/>
          <w:color w:val="auto"/>
        </w:rPr>
      </w:pPr>
      <w:r>
        <w:rPr>
          <w:rFonts w:ascii="Arial" w:cs="Arial" w:eastAsia="Arial" w:hAnsi="Arial"/>
          <w:sz w:val="20"/>
          <w:szCs w:val="20"/>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71" w:lineRule="exact"/>
        <w:rPr>
          <w:rFonts w:ascii="Arial" w:cs="Arial" w:eastAsia="Arial" w:hAnsi="Arial"/>
          <w:sz w:val="20"/>
          <w:szCs w:val="20"/>
          <w:b w:val="1"/>
          <w:bCs w:val="1"/>
          <w:color w:val="auto"/>
        </w:rPr>
      </w:pPr>
    </w:p>
    <w:p>
      <w:pPr>
        <w:ind w:left="520" w:hanging="512"/>
        <w:spacing w:after="0"/>
        <w:tabs>
          <w:tab w:leader="none" w:pos="52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May I own shares of a mutual fund that invests in Minerva?</w:t>
      </w:r>
    </w:p>
    <w:p>
      <w:pPr>
        <w:spacing w:after="0" w:line="202" w:lineRule="exact"/>
        <w:rPr>
          <w:rFonts w:ascii="Arial" w:cs="Arial" w:eastAsia="Arial" w:hAnsi="Arial"/>
          <w:sz w:val="20"/>
          <w:szCs w:val="20"/>
          <w:b w:val="1"/>
          <w:bCs w:val="1"/>
          <w:color w:val="auto"/>
        </w:rPr>
      </w:pPr>
    </w:p>
    <w:p>
      <w:pPr>
        <w:ind w:left="1080" w:hanging="323"/>
        <w:spacing w:after="0"/>
        <w:tabs>
          <w:tab w:leader="none" w:pos="1080" w:val="left"/>
        </w:tabs>
        <w:numPr>
          <w:ilvl w:val="1"/>
          <w:numId w:val="54"/>
        </w:numPr>
        <w:rPr>
          <w:rFonts w:ascii="Arial" w:cs="Arial" w:eastAsia="Arial" w:hAnsi="Arial"/>
          <w:sz w:val="20"/>
          <w:szCs w:val="20"/>
          <w:b w:val="1"/>
          <w:bCs w:val="1"/>
          <w:color w:val="auto"/>
        </w:rPr>
      </w:pPr>
      <w:r>
        <w:rPr>
          <w:rFonts w:ascii="Arial" w:cs="Arial" w:eastAsia="Arial" w:hAnsi="Arial"/>
          <w:sz w:val="20"/>
          <w:szCs w:val="20"/>
          <w:color w:val="auto"/>
        </w:rPr>
        <w:t>Yes.</w:t>
      </w:r>
    </w:p>
    <w:p>
      <w:pPr>
        <w:spacing w:after="0" w:line="202" w:lineRule="exact"/>
        <w:rPr>
          <w:rFonts w:ascii="Arial" w:cs="Arial" w:eastAsia="Arial" w:hAnsi="Arial"/>
          <w:sz w:val="20"/>
          <w:szCs w:val="20"/>
          <w:b w:val="1"/>
          <w:bCs w:val="1"/>
          <w:color w:val="auto"/>
        </w:rPr>
      </w:pPr>
    </w:p>
    <w:p>
      <w:pPr>
        <w:ind w:left="520" w:hanging="512"/>
        <w:spacing w:after="0"/>
        <w:tabs>
          <w:tab w:leader="none" w:pos="52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Are mutual fund shares holding Minerva common stock subject to the trading blackout periods?</w:t>
      </w:r>
    </w:p>
    <w:p>
      <w:pPr>
        <w:spacing w:after="0" w:line="202" w:lineRule="exact"/>
        <w:rPr>
          <w:rFonts w:ascii="Arial" w:cs="Arial" w:eastAsia="Arial" w:hAnsi="Arial"/>
          <w:sz w:val="20"/>
          <w:szCs w:val="20"/>
          <w:b w:val="1"/>
          <w:bCs w:val="1"/>
          <w:color w:val="auto"/>
        </w:rPr>
      </w:pPr>
    </w:p>
    <w:p>
      <w:pPr>
        <w:ind w:left="1080" w:hanging="323"/>
        <w:spacing w:after="0"/>
        <w:tabs>
          <w:tab w:leader="none" w:pos="1080" w:val="left"/>
        </w:tabs>
        <w:numPr>
          <w:ilvl w:val="1"/>
          <w:numId w:val="54"/>
        </w:numPr>
        <w:rPr>
          <w:rFonts w:ascii="Arial" w:cs="Arial" w:eastAsia="Arial" w:hAnsi="Arial"/>
          <w:sz w:val="20"/>
          <w:szCs w:val="20"/>
          <w:b w:val="1"/>
          <w:bCs w:val="1"/>
          <w:color w:val="auto"/>
        </w:rPr>
      </w:pPr>
      <w:r>
        <w:rPr>
          <w:rFonts w:ascii="Arial" w:cs="Arial" w:eastAsia="Arial" w:hAnsi="Arial"/>
          <w:sz w:val="20"/>
          <w:szCs w:val="20"/>
          <w:color w:val="auto"/>
        </w:rPr>
        <w:t>No. You may trade in mutual funds holding Minerva common stock at any time.</w:t>
      </w:r>
    </w:p>
    <w:p>
      <w:pPr>
        <w:spacing w:after="0" w:line="202" w:lineRule="exact"/>
        <w:rPr>
          <w:rFonts w:ascii="Arial" w:cs="Arial" w:eastAsia="Arial" w:hAnsi="Arial"/>
          <w:sz w:val="20"/>
          <w:szCs w:val="20"/>
          <w:b w:val="1"/>
          <w:bCs w:val="1"/>
          <w:color w:val="auto"/>
        </w:rPr>
      </w:pPr>
    </w:p>
    <w:p>
      <w:pPr>
        <w:ind w:left="520" w:hanging="512"/>
        <w:spacing w:after="0"/>
        <w:tabs>
          <w:tab w:leader="none" w:pos="52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May I use a “routine trading program” or “10b5-1 plan”?</w:t>
      </w:r>
    </w:p>
    <w:p>
      <w:pPr>
        <w:spacing w:after="0" w:line="202" w:lineRule="exact"/>
        <w:rPr>
          <w:rFonts w:ascii="Arial" w:cs="Arial" w:eastAsia="Arial" w:hAnsi="Arial"/>
          <w:sz w:val="20"/>
          <w:szCs w:val="20"/>
          <w:b w:val="1"/>
          <w:bCs w:val="1"/>
          <w:color w:val="auto"/>
        </w:rPr>
      </w:pPr>
    </w:p>
    <w:p>
      <w:pPr>
        <w:ind w:firstLine="757"/>
        <w:spacing w:after="0" w:line="257" w:lineRule="auto"/>
        <w:tabs>
          <w:tab w:leader="none" w:pos="1081" w:val="left"/>
        </w:tabs>
        <w:numPr>
          <w:ilvl w:val="1"/>
          <w:numId w:val="54"/>
        </w:numPr>
        <w:rPr>
          <w:rFonts w:ascii="Arial" w:cs="Arial" w:eastAsia="Arial" w:hAnsi="Arial"/>
          <w:sz w:val="20"/>
          <w:szCs w:val="20"/>
          <w:b w:val="1"/>
          <w:bCs w:val="1"/>
          <w:color w:val="auto"/>
        </w:rPr>
      </w:pPr>
      <w:r>
        <w:rPr>
          <w:rFonts w:ascii="Arial" w:cs="Arial" w:eastAsia="Arial" w:hAnsi="Arial"/>
          <w:sz w:val="20"/>
          <w:szCs w:val="20"/>
          <w:color w:val="auto"/>
        </w:rPr>
        <w:t>Subject to the requirements discussed in our insider trading policy and any 10b5-1 trading plan guidelines, eligible persons may use a routine trading program. A routine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9" w:name="page120"/>
    <w:bookmarkEnd w:id="119"/>
    <w:p>
      <w:pPr>
        <w:jc w:val="both"/>
        <w:spacing w:after="0" w:line="241" w:lineRule="auto"/>
        <w:rPr>
          <w:sz w:val="20"/>
          <w:szCs w:val="20"/>
          <w:color w:val="auto"/>
        </w:rPr>
      </w:pPr>
      <w:r>
        <w:rPr>
          <w:rFonts w:ascii="Arial" w:cs="Arial" w:eastAsia="Arial" w:hAnsi="Arial"/>
          <w:sz w:val="20"/>
          <w:szCs w:val="20"/>
          <w:color w:val="auto"/>
        </w:rPr>
        <w:t>program, also known as a 10b5-1 plan, allows you to set up a highly structured program with your stock broker where you specify ahead of time the date, price, and amount of securities to be traded. If you wish to create a 10b5-1 plan, please contact the Clearing Officer to confirm you are an eligible person and to obtain approval.</w:t>
      </w:r>
    </w:p>
    <w:p>
      <w:pPr>
        <w:spacing w:after="0" w:line="171" w:lineRule="exact"/>
        <w:rPr>
          <w:sz w:val="20"/>
          <w:szCs w:val="20"/>
          <w:color w:val="auto"/>
        </w:rPr>
      </w:pPr>
    </w:p>
    <w:p>
      <w:pPr>
        <w:ind w:left="520" w:hanging="512"/>
        <w:spacing w:after="0"/>
        <w:tabs>
          <w:tab w:leader="none" w:pos="52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happens if I violate our insider trading policy?</w:t>
      </w:r>
    </w:p>
    <w:p>
      <w:pPr>
        <w:spacing w:after="0" w:line="202" w:lineRule="exact"/>
        <w:rPr>
          <w:rFonts w:ascii="Arial" w:cs="Arial" w:eastAsia="Arial" w:hAnsi="Arial"/>
          <w:sz w:val="20"/>
          <w:szCs w:val="20"/>
          <w:b w:val="1"/>
          <w:bCs w:val="1"/>
          <w:color w:val="auto"/>
        </w:rPr>
      </w:pPr>
    </w:p>
    <w:p>
      <w:pPr>
        <w:ind w:right="20" w:firstLine="757"/>
        <w:spacing w:after="0" w:line="257" w:lineRule="auto"/>
        <w:tabs>
          <w:tab w:leader="none" w:pos="1094" w:val="left"/>
        </w:tabs>
        <w:numPr>
          <w:ilvl w:val="1"/>
          <w:numId w:val="55"/>
        </w:numPr>
        <w:rPr>
          <w:rFonts w:ascii="Arial" w:cs="Arial" w:eastAsia="Arial" w:hAnsi="Arial"/>
          <w:sz w:val="20"/>
          <w:szCs w:val="20"/>
          <w:b w:val="1"/>
          <w:bCs w:val="1"/>
          <w:color w:val="auto"/>
        </w:rPr>
      </w:pPr>
      <w:r>
        <w:rPr>
          <w:rFonts w:ascii="Arial" w:cs="Arial" w:eastAsia="Arial" w:hAnsi="Arial"/>
          <w:sz w:val="20"/>
          <w:szCs w:val="20"/>
          <w:color w:val="auto"/>
        </w:rPr>
        <w:t>Violating our policies may result in disciplinary action, which may include termination of your employment or other relationship with Minerva. In addition, you may be subject to criminal and civil sanctions.</w:t>
      </w:r>
    </w:p>
    <w:p>
      <w:pPr>
        <w:spacing w:after="0" w:line="155" w:lineRule="exact"/>
        <w:rPr>
          <w:rFonts w:ascii="Arial" w:cs="Arial" w:eastAsia="Arial" w:hAnsi="Arial"/>
          <w:sz w:val="20"/>
          <w:szCs w:val="20"/>
          <w:b w:val="1"/>
          <w:bCs w:val="1"/>
          <w:color w:val="auto"/>
        </w:rPr>
      </w:pPr>
    </w:p>
    <w:p>
      <w:pPr>
        <w:ind w:left="520" w:hanging="512"/>
        <w:spacing w:after="0"/>
        <w:tabs>
          <w:tab w:leader="none" w:pos="52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Who should I contact if I have questions about our insider trading policy or specific trades?</w:t>
      </w:r>
    </w:p>
    <w:p>
      <w:pPr>
        <w:spacing w:after="0" w:line="202" w:lineRule="exact"/>
        <w:rPr>
          <w:rFonts w:ascii="Arial" w:cs="Arial" w:eastAsia="Arial" w:hAnsi="Arial"/>
          <w:sz w:val="20"/>
          <w:szCs w:val="20"/>
          <w:b w:val="1"/>
          <w:bCs w:val="1"/>
          <w:color w:val="auto"/>
        </w:rPr>
      </w:pPr>
    </w:p>
    <w:p>
      <w:pPr>
        <w:ind w:left="1080" w:hanging="323"/>
        <w:spacing w:after="0"/>
        <w:tabs>
          <w:tab w:leader="none" w:pos="1080" w:val="left"/>
        </w:tabs>
        <w:numPr>
          <w:ilvl w:val="1"/>
          <w:numId w:val="55"/>
        </w:numPr>
        <w:rPr>
          <w:rFonts w:ascii="Arial" w:cs="Arial" w:eastAsia="Arial" w:hAnsi="Arial"/>
          <w:sz w:val="20"/>
          <w:szCs w:val="20"/>
          <w:b w:val="1"/>
          <w:bCs w:val="1"/>
          <w:color w:val="auto"/>
        </w:rPr>
      </w:pPr>
      <w:r>
        <w:rPr>
          <w:rFonts w:ascii="Arial" w:cs="Arial" w:eastAsia="Arial" w:hAnsi="Arial"/>
          <w:sz w:val="20"/>
          <w:szCs w:val="20"/>
          <w:color w:val="auto"/>
        </w:rPr>
        <w:t>You should contact the Clearing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333-267424 and 333-273686 on Form S-3 and Nos. 333-242460, 333-225672, 333-223593, 333-222368, 333-216637, 333-210147, 333-203738, and 333-198753 on Form S-8 of our report dated February 25, 2025, relating to the financial statements of Minerva Neurosciences, Inc. appearing in this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5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23"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5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3" w:name="page124"/>
    <w:bookmarkEnd w:id="123"/>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CERTIFICATIONS PURSUANT TO 18 U.S.C. SECTION 1350 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Chief Executive Officer of Minerva Neurosciences, Inc. (the “Company”), and Frederick Ahlholm, Chief Financial Officer of the Company, each hereby certifies that, to the best of his knowledge:</w:t>
      </w:r>
    </w:p>
    <w:p>
      <w:pPr>
        <w:spacing w:after="0" w:line="68" w:lineRule="exact"/>
        <w:rPr>
          <w:sz w:val="20"/>
          <w:szCs w:val="20"/>
          <w:color w:val="auto"/>
        </w:rPr>
      </w:pPr>
    </w:p>
    <w:p>
      <w:pPr>
        <w:ind w:left="520" w:hanging="512"/>
        <w:spacing w:after="0" w:line="282" w:lineRule="auto"/>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period ended December 31, 2024, to which this Certification is attached as Exhibit 32.1 (the “Annual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520" w:right="20" w:hanging="512"/>
        <w:spacing w:after="0" w:line="282" w:lineRule="auto"/>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59"/>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Remy Luthringer, Ph.D.</w:t>
            </w:r>
          </w:p>
        </w:tc>
        <w:tc>
          <w:tcPr>
            <w:tcW w:w="11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Frederick Ahlholm</w:t>
            </w:r>
          </w:p>
        </w:tc>
      </w:tr>
      <w:tr>
        <w:trPr>
          <w:trHeight w:val="191"/>
        </w:trPr>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Remy Luthringer, Ph.D.</w:t>
            </w:r>
          </w:p>
        </w:tc>
        <w:tc>
          <w:tcPr>
            <w:tcW w:w="1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Frederick Ahlholm</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Chairman and</w:t>
            </w:r>
          </w:p>
        </w:tc>
        <w:tc>
          <w:tcPr>
            <w:tcW w:w="1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234"/>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decimal"/>
      <w:start w:val="2"/>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lowerLetter"/>
      <w:start w:val="1"/>
    </w:lvl>
    <w:lvl w:ilvl="1">
      <w:lvlJc w:val="left"/>
      <w:lvlText w:val="(%2)"/>
      <w:numFmt w:val="decimal"/>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48">
    <w:nsid w:val="520EEDD1"/>
    <w:multiLevelType w:val="hybridMultilevel"/>
    <w:lvl w:ilvl="0">
      <w:lvlJc w:val="left"/>
      <w:lvlText w:val="%1"/>
      <w:numFmt w:val="decimal"/>
      <w:start w:val="1"/>
    </w:lvl>
    <w:lvl w:ilvl="1">
      <w:lvlJc w:val="left"/>
      <w:lvlText w:val="%2:"/>
      <w:numFmt w:val="upperLetter"/>
      <w:start w:val="1"/>
    </w:lvl>
  </w:abstractNum>
  <w:abstractNum w:abstractNumId="49">
    <w:nsid w:val="374A3FE6"/>
    <w:multiLevelType w:val="hybridMultilevel"/>
    <w:lvl w:ilvl="0">
      <w:lvlJc w:val="left"/>
      <w:lvlText w:val="%1."/>
      <w:numFmt w:val="decimal"/>
      <w:start w:val="7"/>
    </w:lvl>
    <w:lvl w:ilvl="1">
      <w:lvlJc w:val="left"/>
      <w:lvlText w:val="%2:"/>
      <w:numFmt w:val="upperLetter"/>
      <w:start w:val="1"/>
    </w:lvl>
  </w:abstractNum>
  <w:abstractNum w:abstractNumId="50">
    <w:nsid w:val="4F4EF005"/>
    <w:multiLevelType w:val="hybridMultilevel"/>
    <w:lvl w:ilvl="0">
      <w:lvlJc w:val="left"/>
      <w:lvlText w:val="%1."/>
      <w:numFmt w:val="decimal"/>
      <w:start w:val="12"/>
    </w:lvl>
    <w:lvl w:ilvl="1">
      <w:lvlJc w:val="left"/>
      <w:lvlText w:val="%2:"/>
      <w:numFmt w:val="upperLetter"/>
      <w:start w:val="1"/>
    </w:lvl>
  </w:abstractNum>
  <w:abstractNum w:abstractNumId="51">
    <w:nsid w:val="23F9C13C"/>
    <w:multiLevelType w:val="hybridMultilevel"/>
    <w:lvl w:ilvl="0">
      <w:lvlJc w:val="left"/>
      <w:lvlText w:val="%1."/>
      <w:numFmt w:val="decimal"/>
      <w:start w:val="16"/>
    </w:lvl>
    <w:lvl w:ilvl="1">
      <w:lvlJc w:val="left"/>
      <w:lvlText w:val="%2:"/>
      <w:numFmt w:val="upperLetter"/>
      <w:start w:val="1"/>
    </w:lvl>
  </w:abstractNum>
  <w:abstractNum w:abstractNumId="52">
    <w:nsid w:val="649BB77C"/>
    <w:multiLevelType w:val="hybridMultilevel"/>
    <w:lvl w:ilvl="0">
      <w:lvlJc w:val="left"/>
      <w:lvlText w:val="%1."/>
      <w:numFmt w:val="decimal"/>
      <w:start w:val="18"/>
    </w:lvl>
    <w:lvl w:ilvl="1">
      <w:lvlJc w:val="left"/>
      <w:lvlText w:val="%2:"/>
      <w:numFmt w:val="upperLetter"/>
      <w:start w:val="1"/>
    </w:lvl>
    <w:lvl w:ilvl="2">
      <w:lvlJc w:val="left"/>
      <w:lvlText w:val="%3:"/>
      <w:numFmt w:val="upperLetter"/>
      <w:start w:val="1"/>
    </w:lvl>
  </w:abstractNum>
  <w:abstractNum w:abstractNumId="53">
    <w:nsid w:val="275AC794"/>
    <w:multiLevelType w:val="hybridMultilevel"/>
    <w:lvl w:ilvl="0">
      <w:lvlJc w:val="left"/>
      <w:lvlText w:val="%1."/>
      <w:numFmt w:val="decimal"/>
      <w:start w:val="21"/>
    </w:lvl>
    <w:lvl w:ilvl="1">
      <w:lvlJc w:val="left"/>
      <w:lvlText w:val="%2:"/>
      <w:numFmt w:val="upperLetter"/>
      <w:start w:val="1"/>
    </w:lvl>
  </w:abstractNum>
  <w:abstractNum w:abstractNumId="54">
    <w:nsid w:val="39386575"/>
    <w:multiLevelType w:val="hybridMultilevel"/>
    <w:lvl w:ilvl="0">
      <w:lvlJc w:val="left"/>
      <w:lvlText w:val="%1."/>
      <w:numFmt w:val="decimal"/>
      <w:start w:val="28"/>
    </w:lvl>
    <w:lvl w:ilvl="1">
      <w:lvlJc w:val="left"/>
      <w:lvlText w:val="%2:"/>
      <w:numFmt w:val="upp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65" Type="http://schemas.openxmlformats.org/officeDocument/2006/relationships/image" Target="media/image223.png"/><Relationship Id="rId266"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28" Type="http://schemas.openxmlformats.org/officeDocument/2006/relationships/hyperlink" Target="https://www.sec.gov/Archives/edgar/data/0001598646/000104746914005459/a2219972zex-3_1.htm" TargetMode="External"/><Relationship Id="rId229" Type="http://schemas.openxmlformats.org/officeDocument/2006/relationships/hyperlink" Target="https://www.sec.gov/Archives/edgar/data/1598646/000119312522176540/d314076dex31.htm" TargetMode="External"/><Relationship Id="rId230" Type="http://schemas.openxmlformats.org/officeDocument/2006/relationships/hyperlink" Target="https://www.sec.gov/Archives/edgar/data/0001598646/000156459019039496/nerv-ex32_112.htm" TargetMode="External"/><Relationship Id="rId231" Type="http://schemas.openxmlformats.org/officeDocument/2006/relationships/hyperlink" Target="https://www.sec.gov/Archives/edgar/data/0001598646/000104746914005459/a2219972zex-4_1.htm" TargetMode="External"/><Relationship Id="rId232" Type="http://schemas.openxmlformats.org/officeDocument/2006/relationships/hyperlink" Target="https://www.sec.gov/Archives/edgar/data/1598646/000095017023006577/nerv-ex4_2.htm" TargetMode="External"/><Relationship Id="rId233" Type="http://schemas.openxmlformats.org/officeDocument/2006/relationships/hyperlink" Target="https://www.sec.gov/Archives/edgar/data/0001598646/000104746914003612/a2219290zex-10_13.htm" TargetMode="External"/><Relationship Id="rId234" Type="http://schemas.openxmlformats.org/officeDocument/2006/relationships/hyperlink" Target="https://www.sec.gov/Archives/edgar/data/0001598646/000104746914005459/a2219972zex-10_1.htm" TargetMode="External"/><Relationship Id="rId235" Type="http://schemas.openxmlformats.org/officeDocument/2006/relationships/hyperlink" Target="https://www.sec.gov/Archives/edgar/data/0001598646/000104746914005459/a2219972zex-10_2.htm" TargetMode="External"/><Relationship Id="rId236" Type="http://schemas.openxmlformats.org/officeDocument/2006/relationships/hyperlink" Target="https://www.sec.gov/Archives/edgar/data/0001598646/000104746914005459/a2219972zex-10_3.htm" TargetMode="External"/><Relationship Id="rId237" Type="http://schemas.openxmlformats.org/officeDocument/2006/relationships/hyperlink" Target="https://www.sec.gov/Archives/edgar/data/0001598646/000104746914005459/a2219972zex-10_4.htm" TargetMode="External"/><Relationship Id="rId238" Type="http://schemas.openxmlformats.org/officeDocument/2006/relationships/hyperlink" Target="https://www.sec.gov/Archives/edgar/data/0001598646/000104746914005459/a2219972zex-10_5.htm" TargetMode="External"/><Relationship Id="rId239" Type="http://schemas.openxmlformats.org/officeDocument/2006/relationships/hyperlink" Target="https://www.sec.gov/Archives/edgar/data/0001598646/000104746914005459/a2219972zex-10_6.htm" TargetMode="External"/><Relationship Id="rId240" Type="http://schemas.openxmlformats.org/officeDocument/2006/relationships/hyperlink" Target="https://www.sec.gov/Archives/edgar/data/0001598646/000104746914005459/a2219972zex-10_7.htm" TargetMode="External"/><Relationship Id="rId241" Type="http://schemas.openxmlformats.org/officeDocument/2006/relationships/hyperlink" Target="https://www.sec.gov/Archives/edgar/data/0001598646/000119312515096955/d890084dex101.htm" TargetMode="External"/><Relationship Id="rId242" Type="http://schemas.openxmlformats.org/officeDocument/2006/relationships/hyperlink" Target="https://www.sec.gov/Archives/edgar/data/0001598646/000119312515096955/d890084dex103.htm" TargetMode="External"/><Relationship Id="rId243" Type="http://schemas.openxmlformats.org/officeDocument/2006/relationships/hyperlink" Target="https://www.sec.gov/Archives/edgar/data/0001598646/000156459015003491/nerv-ex105_20150331184.htm" TargetMode="External"/><Relationship Id="rId244" Type="http://schemas.openxmlformats.org/officeDocument/2006/relationships/hyperlink" Target="https://www.sec.gov/Archives/edgar/data/1598646/000095017023059747/nerv-ex10_1.htm" TargetMode="External"/><Relationship Id="rId245" Type="http://schemas.openxmlformats.org/officeDocument/2006/relationships/hyperlink" Target="https://www.sec.gov/Archives/edgar/data/0001598646/000119312516509484/d137820dex101.htm" TargetMode="External"/><Relationship Id="rId248" Type="http://schemas.openxmlformats.org/officeDocument/2006/relationships/hyperlink" Target="https://www.sec.gov/Archives/edgar/data/0001598646/000156459016022499/nerv-ex101_183.htm" TargetMode="External"/><Relationship Id="rId249" Type="http://schemas.openxmlformats.org/officeDocument/2006/relationships/hyperlink" Target="https://www.sec.gov/Archives/edgar/data/0001598646/000156459016022499/nerv-ex102_182.htm" TargetMode="External"/><Relationship Id="rId250" Type="http://schemas.openxmlformats.org/officeDocument/2006/relationships/hyperlink" Target="https://www.sec.gov/Archives/edgar/data/0001598646/000156459016022499/nerv-ex103_181.htm" TargetMode="External"/><Relationship Id="rId251" Type="http://schemas.openxmlformats.org/officeDocument/2006/relationships/hyperlink" Target="https://www.sec.gov/Archives/edgar/data/0001598646/000119312516795845/d306566dex1001.htm" TargetMode="External"/><Relationship Id="rId252" Type="http://schemas.openxmlformats.org/officeDocument/2006/relationships/hyperlink" Target="https://www.sec.gov/Archives/edgar/data/0001598646/000156459017004048/nerv-ex1036_286.htm" TargetMode="External"/><Relationship Id="rId253" Type="http://schemas.openxmlformats.org/officeDocument/2006/relationships/hyperlink" Target="https://www.sec.gov/Archives/edgar/data/1598646/000119312517203538/d413527dex101.htm" TargetMode="External"/><Relationship Id="rId254" Type="http://schemas.openxmlformats.org/officeDocument/2006/relationships/hyperlink" Target="https://www.sec.gov/Archives/edgar/data/0001598646/000156459019039496/nerv-ex101_58.htm" TargetMode="External"/><Relationship Id="rId255" Type="http://schemas.openxmlformats.org/officeDocument/2006/relationships/hyperlink" Target="https://www.sec.gov/Archives/edgar/data/1598646/000119312522244838/d352192dex12.htm" TargetMode="External"/><Relationship Id="rId256" Type="http://schemas.openxmlformats.org/officeDocument/2006/relationships/hyperlink" Target="https://www.sec.gov/Archives/edgar/data/1598646/000156459020035289/nerv-ex102_120.htm" TargetMode="External"/><Relationship Id="rId257" Type="http://schemas.openxmlformats.org/officeDocument/2006/relationships/hyperlink" Target="https://www.sec.gov/Archives/edgar/data/1598646/000095017023059747/nerv-ex10_2.htm" TargetMode="External"/><Relationship Id="rId258" Type="http://schemas.openxmlformats.org/officeDocument/2006/relationships/hyperlink" Target="https://www.sec.gov/Archives/edgar/data/1598646/000156459021011340/nerv-ex1048_189.htm" TargetMode="External"/><Relationship Id="rId259" Type="http://schemas.openxmlformats.org/officeDocument/2006/relationships/hyperlink" Target="https://www.sec.gov/Archives/edgar/data/1598646/000156459021026731/nerv-ex101_185.htm" TargetMode="External"/><Relationship Id="rId260" Type="http://schemas.openxmlformats.org/officeDocument/2006/relationships/hyperlink" Target="https://www.sec.gov/Archives/edgar/data/1598646/000119312521296143/d236669dex101.htm" TargetMode="External"/><Relationship Id="rId261" Type="http://schemas.openxmlformats.org/officeDocument/2006/relationships/hyperlink" Target="https://www.sec.gov/Archives/edgar/data/1598646/000119312521296143/d236669dex102.htm" TargetMode="External"/><Relationship Id="rId262" Type="http://schemas.openxmlformats.org/officeDocument/2006/relationships/hyperlink" Target="https://www.sec.gov/Archives/edgar/data/1598646/000119312522307381/d438557dex101.htm" TargetMode="External"/><Relationship Id="rId263" Type="http://schemas.openxmlformats.org/officeDocument/2006/relationships/hyperlink" Target="https://www.sec.gov/Archives/edgar/data/1598646/000095017023006577/nerv-ex10_30.htm" TargetMode="External"/><Relationship Id="rId264" Type="http://schemas.openxmlformats.org/officeDocument/2006/relationships/hyperlink" Target="https://www.sec.gov/Archives/edgar/data/1598646/000119312523176877/d527050dex101.htm" TargetMode="External"/><Relationship Id="rId267" Type="http://schemas.openxmlformats.org/officeDocument/2006/relationships/hyperlink" Target="https://www.sec.gov/Archives/edgar/data/1598646/000156459022007853/nerv-ex211_9.htm" TargetMode="External"/><Relationship Id="rId268" Type="http://schemas.openxmlformats.org/officeDocument/2006/relationships/hyperlink" Target="https://www.sec.gov/Archives/edgar/data/1598646/000095017024018392/nerv-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2025-02-25T05:37:34Z</dcterms:created>
  <dcterms:modified xsi:type="dcterms:W3CDTF">2025-02-25T05:37:34Z</dcterms:modified>
</cp:coreProperties>
</file>