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9"/>
        </w:trPr>
        <w:tc>
          <w:tcPr>
            <w:tcW w:w="444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1601 Trapelo Road, Suite 284</w:t>
            </w:r>
          </w:p>
        </w:tc>
        <w:tc>
          <w:tcPr>
            <w:tcW w:w="3120" w:type="dxa"/>
            <w:vAlign w:val="bottom"/>
          </w:tcPr>
          <w:p>
            <w:pPr>
              <w:spacing w:after="0"/>
              <w:rPr>
                <w:sz w:val="24"/>
                <w:szCs w:val="24"/>
                <w:color w:val="auto"/>
              </w:rPr>
            </w:pPr>
          </w:p>
        </w:tc>
      </w:t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Waltham, 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 600-7373</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100330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6"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482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336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Registrant’s Common Stock, $0.0001 par value per share, outstanding as of October 31, 2017 was 38,700,693.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405130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60" w:type="dxa"/>
            <w:vAlign w:val="bottom"/>
            <w:gridSpan w:val="12"/>
            <w:vMerge w:val="restart"/>
          </w:tcPr>
          <w:p>
            <w:pPr>
              <w:jc w:val="center"/>
              <w:ind w:right="3600"/>
              <w:spacing w:after="0"/>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 Financial Information</w:t>
              </w:r>
            </w:hyperlink>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60" w:type="dxa"/>
            <w:vAlign w:val="bottom"/>
            <w:gridSpan w:val="1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106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sz w:val="24"/>
                <w:szCs w:val="24"/>
                <w:color w:val="auto"/>
              </w:rPr>
            </w:pPr>
          </w:p>
        </w:tc>
        <w:tc>
          <w:tcPr>
            <w:tcW w:w="36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2017 and December 31, 2016</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nine months ended September 30, 2017 and 2016</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 of Changes in Stockholders’ Equity for the nine months ended September 30, 2017 and 2016</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September 30, 2017 and 2016</w:t>
              </w:r>
            </w:hyperlink>
          </w:p>
        </w:tc>
        <w:tc>
          <w:tcPr>
            <w:tcW w:w="3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8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8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64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17"/>
                <w:szCs w:val="17"/>
                <w:color w:val="auto"/>
              </w:rPr>
            </w:pPr>
          </w:p>
        </w:tc>
        <w:tc>
          <w:tcPr>
            <w:tcW w:w="320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64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11"/>
          </w:tcPr>
          <w:p>
            <w:pPr>
              <w:jc w:val="center"/>
              <w:ind w:right="3700"/>
              <w:spacing w:after="0"/>
              <w:rPr>
                <w:rFonts w:ascii="Arial" w:cs="Arial" w:eastAsia="Arial" w:hAnsi="Arial"/>
                <w:sz w:val="18"/>
                <w:szCs w:val="18"/>
                <w:b w:val="1"/>
                <w:bCs w:val="1"/>
                <w:color w:val="0000EE"/>
                <w:w w:val="96"/>
              </w:rPr>
            </w:pPr>
            <w:hyperlink w:anchor="page31">
              <w:r>
                <w:rPr>
                  <w:rFonts w:ascii="Arial" w:cs="Arial" w:eastAsia="Arial" w:hAnsi="Arial"/>
                  <w:sz w:val="18"/>
                  <w:szCs w:val="18"/>
                  <w:b w:val="1"/>
                  <w:bCs w:val="1"/>
                  <w:color w:val="0000EE"/>
                  <w:w w:val="96"/>
                </w:rPr>
                <w:t>PART II —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2360" w:type="dxa"/>
            <w:vAlign w:val="bottom"/>
            <w:tcBorders>
              <w:top w:val="single" w:sz="8" w:color="0000EE"/>
            </w:tcBorders>
            <w:gridSpan w:val="4"/>
          </w:tcPr>
          <w:p>
            <w:pPr>
              <w:spacing w:after="0"/>
              <w:rPr>
                <w:sz w:val="24"/>
                <w:szCs w:val="24"/>
                <w:color w:val="auto"/>
              </w:rPr>
            </w:pPr>
          </w:p>
        </w:tc>
        <w:tc>
          <w:tcPr>
            <w:tcW w:w="370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32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Unregistered Sales of Equity Securities and Use of Proceeds</w:t>
              </w:r>
            </w:hyperlink>
          </w:p>
        </w:tc>
        <w:tc>
          <w:tcPr>
            <w:tcW w:w="530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Defaults Upon Senior Securities</w:t>
              </w:r>
            </w:hyperlink>
          </w:p>
        </w:tc>
        <w:tc>
          <w:tcPr>
            <w:tcW w:w="732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Mine Safety Disclosures</w:t>
              </w:r>
            </w:hyperlink>
          </w:p>
        </w:tc>
        <w:tc>
          <w:tcPr>
            <w:tcW w:w="788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64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834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6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2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right="2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tcBorders>
              <w:bottom w:val="single" w:sz="8" w:color="CFF0FC"/>
            </w:tcBorders>
          </w:tcPr>
          <w:p>
            <w:pPr>
              <w:spacing w:after="0"/>
              <w:rPr>
                <w:sz w:val="16"/>
                <w:szCs w:val="16"/>
                <w:color w:val="auto"/>
              </w:rPr>
            </w:pPr>
          </w:p>
        </w:tc>
        <w:tc>
          <w:tcPr>
            <w:tcW w:w="7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ind w:left="3640"/>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36,254,748</w:t>
            </w:r>
          </w:p>
        </w:tc>
        <w:tc>
          <w:tcPr>
            <w:tcW w:w="3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82,980,609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96,675,088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1,072,559</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134,082,395</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83,863,850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 noncurrent</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10,355,092</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Equipment, net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34,200,000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14,869,399</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14,869,399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193,507,216</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132,942,889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Notes payable - current portion</w:t>
            </w:r>
          </w:p>
        </w:tc>
        <w:tc>
          <w:tcPr>
            <w:tcW w:w="1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5,194,337</w:t>
            </w:r>
          </w:p>
        </w:tc>
        <w:tc>
          <w:tcPr>
            <w:tcW w:w="3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4,853,753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1,503,412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1,468,341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2,022,405</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collaborative expenses - related party</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2,547,952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9,685,859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Notes payable - noncurrent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3,841,062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13,433,760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13,433,760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Deferred revenue</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41,175,600</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63,329,514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26,960,681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$0.0001 par value; 100,000,000 shares authorized; none issued</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or outstanding as of September 30, 2017 and December 31, 2016, respectively</w:t>
            </w: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Common stock; $0.0001 par value; 125,000,000 shares authorized; 38,700,693 and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35,024,002 shares issued and outstanding as of September 30, 2017 and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December 31, 2016, respectively</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3,870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Additional paid-in capital</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294,717,361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238,836,940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(164,543,529)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(132,858,234)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stockholders’ equity</w:t>
            </w:r>
          </w:p>
        </w:tc>
        <w:tc>
          <w:tcPr>
            <w:tcW w:w="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130,177,702</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105,982,208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7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193,507,216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132,942,889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8,956,468</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5,852,121</w:t>
            </w:r>
          </w:p>
        </w:tc>
        <w:tc>
          <w:tcPr>
            <w:tcW w:w="16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23,714,932</w:t>
            </w:r>
          </w:p>
        </w:tc>
        <w:tc>
          <w:tcPr>
            <w:tcW w:w="16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13,941,283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2,450,588</w:t>
            </w:r>
          </w:p>
        </w:tc>
        <w:tc>
          <w:tcPr>
            <w:tcW w:w="24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2,379,809</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7,922,738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7,012,057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expenses</w:t>
            </w:r>
          </w:p>
        </w:tc>
        <w:tc>
          <w:tcPr>
            <w:tcW w:w="9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11,407,056</w:t>
            </w:r>
          </w:p>
        </w:tc>
        <w:tc>
          <w:tcPr>
            <w:tcW w:w="24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8,231,930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31,637,670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20,953,340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7"/>
              </w:rPr>
              <w:t>(11,407,056)</w:t>
            </w:r>
          </w:p>
        </w:tc>
        <w:tc>
          <w:tcPr>
            <w:tcW w:w="3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(8,231,930)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(31,637,670)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(20,953,340)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w:t>
            </w: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(9,417)</w:t>
            </w:r>
          </w:p>
        </w:tc>
        <w:tc>
          <w:tcPr>
            <w:tcW w:w="3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(2,578)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(46,215)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Investment income</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293,797</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69,983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508,116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136,960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(137,899)</w:t>
            </w:r>
          </w:p>
        </w:tc>
        <w:tc>
          <w:tcPr>
            <w:tcW w:w="3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(258,764)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(509,526)</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(797,376)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480"/>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(11,260,575)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(8,423,289)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(31,685,295)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(21,641,308)</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40,880,359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34,806,263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37,676,686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30,393,293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54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20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Paid-In Capital</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2016</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24,721,143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2,472</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$ 157,129,947</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(101,812,862)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55,319,557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040" w:type="dxa"/>
            <w:vAlign w:val="bottom"/>
          </w:tcPr>
          <w:p>
            <w:pPr>
              <w:jc w:val="right"/>
              <w:spacing w:after="0"/>
              <w:rPr>
                <w:sz w:val="20"/>
                <w:szCs w:val="20"/>
                <w:color w:val="auto"/>
              </w:rPr>
            </w:pPr>
            <w:r>
              <w:rPr>
                <w:rFonts w:ascii="Arial" w:cs="Arial" w:eastAsia="Arial" w:hAnsi="Arial"/>
                <w:sz w:val="18"/>
                <w:szCs w:val="18"/>
                <w:color w:val="auto"/>
              </w:rPr>
              <w:t>3,850,051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22,222,109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22,222,494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Issuance of common stock in a public offering, net of</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issuance costs of $3,832,004</w:t>
            </w:r>
          </w:p>
        </w:tc>
        <w:tc>
          <w:tcPr>
            <w:tcW w:w="1040" w:type="dxa"/>
            <w:vAlign w:val="bottom"/>
          </w:tcPr>
          <w:p>
            <w:pPr>
              <w:jc w:val="right"/>
              <w:spacing w:after="0"/>
              <w:rPr>
                <w:sz w:val="20"/>
                <w:szCs w:val="20"/>
                <w:color w:val="auto"/>
              </w:rPr>
            </w:pPr>
            <w:r>
              <w:rPr>
                <w:rFonts w:ascii="Arial" w:cs="Arial" w:eastAsia="Arial" w:hAnsi="Arial"/>
                <w:sz w:val="18"/>
                <w:szCs w:val="18"/>
                <w:color w:val="auto"/>
              </w:rPr>
              <w:t>6,052,631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53,667,385</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53,667,991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pursuant to a private</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placement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181,488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999,981</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999,999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2,558,456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2,558,456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(21,641,308)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7"/>
              </w:rPr>
              <w:t>(21,641,308)</w:t>
            </w:r>
          </w:p>
        </w:tc>
        <w:tc>
          <w:tcPr>
            <w:tcW w:w="0" w:type="dxa"/>
            <w:vAlign w:val="bottom"/>
          </w:tcPr>
          <w:p>
            <w:pPr>
              <w:spacing w:after="0"/>
              <w:rPr>
                <w:sz w:val="1"/>
                <w:szCs w:val="1"/>
                <w:color w:val="auto"/>
              </w:rPr>
            </w:pPr>
          </w:p>
        </w:tc>
      </w:tr>
      <w:tr>
        <w:trPr>
          <w:trHeight w:val="26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Balances at September 30, 2016</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34,807,213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3,481</w:t>
            </w:r>
          </w:p>
        </w:tc>
        <w:tc>
          <w:tcPr>
            <w:tcW w:w="2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$ 236,587,739</w:t>
            </w:r>
          </w:p>
        </w:tc>
        <w:tc>
          <w:tcPr>
            <w:tcW w:w="2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(123,454,170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113,137,050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06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Balances at January 1, 2017</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35,024,002</w:t>
            </w:r>
          </w:p>
        </w:tc>
        <w:tc>
          <w:tcPr>
            <w:tcW w:w="16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3,502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8"/>
              </w:rPr>
              <w:t>$ 238,836,940</w:t>
            </w: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 (132,858,234)</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1"/>
              </w:rPr>
              <w:t>105,982,208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warrants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1,621,073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9,356,671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9,356,833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197,874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1,130,524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1,130,544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in a public offering, net of</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issuance costs of $2,944,168</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41,617,757</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41,618,332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(3,892,256)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3,775,469</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3,775,469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(31,685,295)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(31,685,295)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September 30, 2017</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38,700,693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$ 294,717,361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 (164,543,529</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130,177,702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(31,685,295)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(21,641,308)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9,310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discount recorded as interest expense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170,822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(Accretion) amortization of marketable securities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(83,268)</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3,775,469</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2,558,456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(51,840)</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35,071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(527,340)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1,206,592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(1,543,783)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Accrued collaborative expenses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(2,547,952)</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3,533,788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12,004,509</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(16,760,115)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27,390,000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17,818,000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(134,554,390)</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(107,164,390)</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17,818,000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Proceeds from sale of common stock in public offering</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44,562,500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57,499,995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Costs paid in connection with public offering</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(2,944,168)</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(3,832,004)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common stock warrants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9,356,833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22,222,494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1,130,544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Repayments of notes payable</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(3,671,300)</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(389,203)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sale of common stock in private placement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999,999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48,434,020</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76,511,142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8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(46,725,861)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77,569,027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82,980,609</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14,284,054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2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36,254,748</w:t>
            </w:r>
          </w:p>
        </w:tc>
        <w:tc>
          <w:tcPr>
            <w:tcW w:w="28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91,853,081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360,272</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528,750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September 30, 2017 and for the Nine Months Ended September 30, 2017 and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Minerva Neurosciences, Inc. (“Minerva” or the “Company”) is a clinical-stage biopharmaceutical company focused on the development and commercialization of a portfolio of product candidates to treat patients suffering from central nervous system (“CNS”) diseases. The Company has acquired or in-licensed four development-stage proprietary compounds that it believes have innovative mechanisms of action and therapeutic profiles that may potentially address the unmet needs of patients with these diseases. The Company’s lead product candidate is MIN-101, a compound the Company is developing for the treatment of schizophrenia. In addition, the Company’s portfolio includes seltorexant (MIN-202, also known as JNJ-42847922), a compound the Company is co-developing with Janssen Pharmaceutica NV (“Janssen”), for the treatment of insomnia disorder and major depressive disorder (“MDD”); MIN-117, a compound the Company is developing for the treatment of MDD; and MIN-301, a compound the Company is developing for the treatment of Parkinson’s disease.</w:t>
      </w:r>
    </w:p>
    <w:p>
      <w:pPr>
        <w:spacing w:after="0" w:line="19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MIN-101 and MIN-117 from Mitsubishi Tanabe Pharma Corporation (“MTPC”) with the rights to develop, sell and import MIN-101 and MIN-117 globally, excluding most of Asia. With the acquisition of Mind-NRG, the Company obtained exclusive rights to develop and commercialize MIN-301. The Company has also entered into a co-development and license agreement with Janssen, for the exclusive right to commercialize, and the co-exclusive right (with Janssen and its affiliates) to use and develop, seltorexant in the European Union, Switzerland, Liechtenstein, Iceland and Norway (the “Minerva Territory”), subject to certain royalty payments to Janssen, and royalty rights for any sales outside the Minerva Territory.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September 30, 2017, the Company has an accumulated deficit of approximately $164.5 million and net cash provided by operating activities was approximately $12.0 million during the nine months ended September 30, 2017. Management expects to incur operating losses and negative cash flows from operations in the future. The Company has financed its operations to date from proceeds from the sale of common stock, warrants, loans and convertible promissory notes.</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believes that its existing cash, cash equivalents and marketable securities (current and non-current) will be sufficient to meet its cash commitments for at least the next 12 months after the date that the interim condensed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and the level of financial resources available. The Company has the ability to adjust its operating plan spending levels based on the timing of future clinical trials which will be predicated upon adequate funding to complete the trials.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10-01.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September 30, 2017, the results of operations for the three and nine months ended September 30, 2017 and 2016 and cash flows for the nine months ended September 30, 2017 and 2016. The results of operations for the three and nine months ended September 30, 2017, are not necessarily indicative of the results to be expected for the full year. When preparing financial statements in conformity with GAAP, management must make estimates and assumptions that affect the reported amounts of assets and liabilities, disclosure of contingent assets and liabilities at the date of the financial statements and the reported amounts of expenses during the reporting period. Actual results could differ from those estimates. The consolidated balance sheet as of December 31, 2016 was derived from the audited annual financial statements. The accompanying unaudited condensed consolidated financial statements and notes thereto should be read in conjunction with the audited consolidated financial statements for the year ended December 31, 2016 included in the Company’s Annual Report on Form 10-K filed with the SEC on March 13, 2017.</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however, these deposits may be redeemed upon demand and, therefore, bear minimal risk.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$80,000 at September 30, 2017 and December 31, 2016.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Marketable securities consists of corporate debt securities maturing in sixteen months or less. Based on the Company’s intentions regarding its marketable securities, all marketable securities are classified as held-to-maturity and are carried under the amortized cost approach. The Company’s investments in marketable securities are classified as Level 2 within the fair value hierarchy. As of September 30, 2017, remaining final maturities of marketable securities ranged from January 2018 to February 2019, with a weighted average remaining maturity of approximately 8 months. The following table provides the amortized cost basis, aggregate fair value, net unrealized (gains)/losses and the net carrying value of investments in held-to-maturity securities as of September 30, 2017:</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September 30, 2017</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17"/>
              <w:spacing w:after="0" w:line="147"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19"/>
              <w:spacing w:after="0" w:line="147" w:lineRule="exact"/>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2"/>
                <w:szCs w:val="12"/>
                <w:color w:val="auto"/>
              </w:rPr>
            </w:pPr>
          </w:p>
        </w:tc>
        <w:tc>
          <w:tcPr>
            <w:tcW w:w="940" w:type="dxa"/>
            <w:vAlign w:val="bottom"/>
            <w:gridSpan w:val="3"/>
          </w:tcPr>
          <w:p>
            <w:pPr>
              <w:jc w:val="right"/>
              <w:ind w:right="200"/>
              <w:spacing w:after="0" w:line="147"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2"/>
                <w:szCs w:val="12"/>
                <w:color w:val="auto"/>
              </w:rPr>
            </w:pPr>
          </w:p>
        </w:tc>
        <w:tc>
          <w:tcPr>
            <w:tcW w:w="10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ind w:right="37"/>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97"/>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20" w:type="dxa"/>
            <w:vAlign w:val="bottom"/>
          </w:tcPr>
          <w:p>
            <w:pPr>
              <w:spacing w:after="0"/>
              <w:rPr>
                <w:sz w:val="19"/>
                <w:szCs w:val="19"/>
                <w:color w:val="auto"/>
              </w:rPr>
            </w:pPr>
          </w:p>
        </w:tc>
        <w:tc>
          <w:tcPr>
            <w:tcW w:w="3100" w:type="dxa"/>
            <w:vAlign w:val="bottom"/>
            <w:tcBorders>
              <w:top w:val="single" w:sz="8" w:color="CFF0FC"/>
            </w:tcBorders>
            <w:shd w:val="clear" w:color="auto" w:fill="CFF0FC"/>
          </w:tcPr>
          <w:p>
            <w:pPr>
              <w:jc w:val="right"/>
              <w:ind w:right="1430"/>
              <w:spacing w:after="0"/>
              <w:rPr>
                <w:sz w:val="20"/>
                <w:szCs w:val="20"/>
                <w:color w:val="auto"/>
              </w:rPr>
            </w:pPr>
            <w:r>
              <w:rPr>
                <w:rFonts w:ascii="Arial" w:cs="Arial" w:eastAsia="Arial" w:hAnsi="Arial"/>
                <w:sz w:val="18"/>
                <w:szCs w:val="18"/>
                <w:color w:val="auto"/>
                <w:w w:val="89"/>
              </w:rPr>
              <w:t>Marketable securities:</w:t>
            </w:r>
          </w:p>
        </w:tc>
        <w:tc>
          <w:tcPr>
            <w:tcW w:w="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480"/>
              <w:spacing w:after="0"/>
              <w:rPr>
                <w:sz w:val="20"/>
                <w:szCs w:val="20"/>
                <w:color w:val="auto"/>
              </w:rPr>
            </w:pPr>
            <w:r>
              <w:rPr>
                <w:rFonts w:ascii="Arial" w:cs="Arial" w:eastAsia="Arial" w:hAnsi="Arial"/>
                <w:sz w:val="18"/>
                <w:szCs w:val="18"/>
                <w:color w:val="auto"/>
              </w:rPr>
              <w:t>Corporate bonds - current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96,675,088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96,654,738</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21,075</w:t>
            </w:r>
          </w:p>
        </w:tc>
        <w:tc>
          <w:tcPr>
            <w:tcW w:w="18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96,675,088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Corporate bonds - noncurrent</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10,355,092</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10,337,216</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10,355,092</w:t>
            </w:r>
          </w:p>
        </w:tc>
        <w:tc>
          <w:tcPr>
            <w:tcW w:w="80" w:type="dxa"/>
            <w:vAlign w:val="bottom"/>
            <w:shd w:val="clear" w:color="auto" w:fill="CFF0FC"/>
          </w:tcPr>
          <w:p>
            <w:pPr>
              <w:spacing w:after="0"/>
              <w:rPr>
                <w:sz w:val="19"/>
                <w:szCs w:val="19"/>
                <w:color w:val="auto"/>
              </w:rPr>
            </w:pPr>
          </w:p>
        </w:tc>
      </w:tr>
      <w:tr>
        <w:trPr>
          <w:trHeight w:val="223"/>
        </w:trPr>
        <w:tc>
          <w:tcPr>
            <w:tcW w:w="3120" w:type="dxa"/>
            <w:vAlign w:val="bottom"/>
            <w:gridSpan w:val="2"/>
          </w:tcPr>
          <w:p>
            <w:pPr>
              <w:jc w:val="right"/>
              <w:ind w:right="1430"/>
              <w:spacing w:after="0"/>
              <w:rPr>
                <w:sz w:val="20"/>
                <w:szCs w:val="20"/>
                <w:color w:val="auto"/>
              </w:rPr>
            </w:pPr>
            <w:r>
              <w:rPr>
                <w:rFonts w:ascii="Arial" w:cs="Arial" w:eastAsia="Arial" w:hAnsi="Arial"/>
                <w:sz w:val="18"/>
                <w:szCs w:val="18"/>
                <w:color w:val="auto"/>
                <w:w w:val="90"/>
              </w:rPr>
              <w:t>Marketable securities:</w:t>
            </w: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107,030,180</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106,991,954</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107,030,180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expected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February 2014, the Company entered into a Co-Development and License Agreement. The Company accounts for the Co-Development and License Agreement as a joint risk-sharing collaboration in accordance with ASC 808, </w:t>
      </w:r>
      <w:r>
        <w:rPr>
          <w:rFonts w:ascii="Arial" w:cs="Arial" w:eastAsia="Arial" w:hAnsi="Arial"/>
          <w:sz w:val="17"/>
          <w:szCs w:val="17"/>
          <w:i w:val="1"/>
          <w:iCs w:val="1"/>
          <w:color w:val="auto"/>
        </w:rPr>
        <w:t>Collaboration Arrangements</w:t>
      </w:r>
      <w:r>
        <w:rPr>
          <w:rFonts w:ascii="Arial" w:cs="Arial" w:eastAsia="Arial" w:hAnsi="Arial"/>
          <w:sz w:val="17"/>
          <w:szCs w:val="17"/>
          <w:color w:val="auto"/>
        </w:rPr>
        <w:t>. Costs between the Company and the licensor with respect to each party’s share of development costs that have been incurred pursuant to the joint development plan are recorded within research and development expenses or general and administrative expenses, as applicable, in the accompanying consolidated financial statements due to the joint risk-sharing nature of the activities. During the three months ended September 30, 2017 and 2016, the Company recorded an expense of $4.5 million and $3.5 million, respectively, for certain development activities in accordance with the terms of the Co-Development and License Agreement. During the nine months ended September 30, 2017 and 2016, the Company recorded an expense of $11.2 million and $3.5 million, respectively, for certain development activities in accordance with the terms of the co-development agreement.</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June 2017, the Company entered into an agreement with Janssen to amend its Co-Development and License Agreement for seltorexant (the “Amendment”). The effectiveness of this agreement was contingent upon approval of its terms by the European Commission and the closing of the acquisition of Actelion by affiliates of Janssen. These conditions were subsequently met, and the Amendment became effective on August 29, 2017. Janssen made an upfront payment to the Company of $30 million upon the effectiveness of the Amendment and agreed to make a $20 million payment at the start of a Phase 3 insomnia trial for seltorexant and a $20 million payment when 50% of the patients are enrolled in this trial. Janssen further agreed to waive the remaining payments due from the Company until completion of the Phase 2 development of seltorexant. The $30 million payment and $11.2 million in previously accrued collaborative expenses, which were forgiven upon the effective date of the agreement, will be earned and recognized as revenue as the services are performed from the commencement of Phase 3 development to the completion of the development activities using the proportional performance method. The $41.2 million was recorded as deferred revenue as of September 30, 2017.</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research projects are recorded as intangible assets on the balance sheet, rather than expensed, regardless of whether these assets have an alternative future use.</w:t>
      </w:r>
    </w:p>
    <w:p>
      <w:pPr>
        <w:spacing w:after="0" w:line="26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 lived intangible asset with the asset’s carrying amount. There was no impairment of IPR&amp;D for the three and nine months ended September 30, 2017 or 2016.</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expected forfeiture rate and expected life of the options. The fair value of restricted stock units (“RSUs”) is equal to the closing price of the Company’s common stock on the date of grant.</w:t>
      </w:r>
    </w:p>
    <w:p>
      <w:pPr>
        <w:spacing w:after="0" w:line="17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 and the fair value of each unvested award is adjusted at the end of each period for any change in fair value from the previous valuation until the award vests.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Basic loss per share excludes dilution and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Company had a net loss in all periods presented, thus the inclusion of stock options and warrants would be anti-dilutive to net loss per share.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Financial instruments that potentially subject the Company to concentrations of credit risk are primarily cash, cash equivalents and marketable securities (current and non-current).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September 30, 2017 and 2016.</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tests its goodwill for impairment as of November 30. There was no impairment of goodwill for the nine months ended September 30, 2017 and 2016.</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Company applies the revenue recognition guidance in accordance with Financial Accounting Standards Board (FASB) Accounting Standards Codification (ASC) Subtopic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June 2017, the Company entered into the Amendment. The effectiveness of the Amendment was contingent upon approval of its terms by the European Commission and the closing of the acquisition of Actelion by affiliates of Janssen. These conditions were subsequently met, and the agreement became effective on August 29, 2017. Janssen made an upfront payment to the Company of $30 million upon the effectiveness of the Amendment and agreed to make a $20 million payment at the start of a Phase 3 insomnia trial for seltorexant and a $20 million payment when 50% of the patients are enrolled in this trial. Janssen further agreed to waive the remaining payments due from the Company until completion of the Phase 2 development of seltorexant. The $30 million payment and $11.2 million in previously accrued collaborative expenses, which were forgiven upon the effective date of the agreement, will be earned and recognized as revenue as the services are performed from the commencement of Phase 3 development to the completion of the development activities using the proportional performance method. The $41.2 million was recorded as deferred revenue as of September 30, 2017.</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applies the revenue recognition guidance in accordance with Financial Accounting Standards Board (FASB) Accounting Standards Codification (ASC) Subtopic 605, Revenue Recognition. Using FASB ASC Subtopic 605, Revenue that is unearned is deferred. Deferred revenue expected to be recognized as revenue more than one year subsequent to the balance sheet date is classified as long-term deferred revenue.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and are adopted by the Company as of the specified effective date.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 xml:space="preserve">In March 2016, the FASB issued Accounting Standards Update (“ASU”) No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The new standard simplifies several aspects of the accounting for employee share-based payment transactions, including the accounting for income taxes, forfeitures, and statutory tax withholding requirements, as well as classification in the statement of cash flows. Under this guidance, a company recognizes all excess tax benefits and tax deficiencies as income tax expense or benefit in the statement of operations. This change eliminates the notion of the additional paid-in capital pool and reduces the complexity in accounting for excess tax benefits and tax deficiencies. The new standard is effective for public companies for annual reporting periods beginning after December 15, 2016, including interim periods within those annual reporting periods; however, early adoption is allowed. The Company adopted the new standard on January 1, 2017. The adoption of this standard did not have a material impact on the Company’s consolidated financial statements.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Subsequently, the FASB also issued ASU 2015-14,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 which adjusted the effective date of ASU 2014-09; ASU No. 2016-08,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(Topic 606): Principal versus Agent Considerations (Reporting Revenue Gross versus Net) </w:t>
      </w:r>
      <w:r>
        <w:rPr>
          <w:rFonts w:ascii="Arial" w:cs="Arial" w:eastAsia="Arial" w:hAnsi="Arial"/>
          <w:sz w:val="18"/>
          <w:szCs w:val="18"/>
          <w:color w:val="auto"/>
        </w:rPr>
        <w:t xml:space="preserve">, which amends the principal-versus-agent implementation guidance and illustrations in ASU 2014-09; ASU No. 2016-10,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Identifying Performance Obligations and Licensing </w:t>
      </w:r>
      <w:r>
        <w:rPr>
          <w:rFonts w:ascii="Arial" w:cs="Arial" w:eastAsia="Arial" w:hAnsi="Arial"/>
          <w:sz w:val="18"/>
          <w:szCs w:val="18"/>
          <w:color w:val="auto"/>
        </w:rPr>
        <w:t>, which clarifies identifying performance obligation and licensing implementation guidance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illustrations in ASU 2014-09; and ASU No. 2016-12, </w:t>
      </w:r>
      <w:r>
        <w:rPr>
          <w:rFonts w:ascii="Arial" w:cs="Arial" w:eastAsia="Arial" w:hAnsi="Arial"/>
          <w:sz w:val="18"/>
          <w:szCs w:val="18"/>
          <w:i w:val="1"/>
          <w:iCs w:val="1"/>
          <w:color w:val="auto"/>
        </w:rPr>
        <w:t>Revenue from Contracts with Customers (Topic 606): Narrow-Scope Improvements and Practical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Expedients </w:t>
      </w:r>
      <w:r>
        <w:rPr>
          <w:rFonts w:ascii="Arial" w:cs="Arial" w:eastAsia="Arial" w:hAnsi="Arial"/>
          <w:sz w:val="18"/>
          <w:szCs w:val="18"/>
          <w:color w:val="auto"/>
        </w:rPr>
        <w:t>, which addresses implementation issues and is intended to reduce the cost and complexity of applying the new revenue standard in ASU 2014-09</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“Revenue ASUs”).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Revenue ASUs provide an accounting standard for a single comprehensive model for use in accounting for revenue arising from contracts with customers and supersedes most current revenue recognition guidance. The accounting standard is effective for interim and annual periods beginning after December 15, 2017, with an option to early adopt for interim and annual periods beginning after December 15, 2016.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is currently evaluating the impact of the pending adoption of the new standard on the Company’s consolidated financial statements.</w:t>
      </w:r>
    </w:p>
    <w:p>
      <w:pPr>
        <w:spacing w:after="0" w:line="17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Refer to Note 9, Commitments and Contingencies, for the Company's current lease commitments. The Company is currently evaluating the impact of the pending adoption of the new standard on the Company’s consolidated financial statements.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 Classification of Certain Cash Receipts and Cash Payments (Topic 230).</w:t>
      </w:r>
      <w:r>
        <w:rPr>
          <w:rFonts w:ascii="Arial" w:cs="Arial" w:eastAsia="Arial" w:hAnsi="Arial"/>
          <w:sz w:val="18"/>
          <w:szCs w:val="18"/>
          <w:color w:val="auto"/>
        </w:rPr>
        <w:t xml:space="preserve"> The new standard clarifies the treatment of several cash flow categories. In addition, ASU 2016-15 clarifies that when cash receipts and cash payments have aspects of more than one class of cash flows and cannot be separated, classification will depend on the predominant source or use. This update is effective for annual periods beginning after December 15, 2017,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January 2017, the FASB issued ASU No 2017-4,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This update is effective for annual periods beginning after December 15, 2019,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right="200"/>
        <w:spacing w:after="0" w:line="257" w:lineRule="auto"/>
        <w:rPr>
          <w:sz w:val="20"/>
          <w:szCs w:val="20"/>
          <w:color w:val="auto"/>
        </w:rPr>
      </w:pPr>
      <w:r>
        <w:rPr>
          <w:rFonts w:ascii="Arial" w:cs="Arial" w:eastAsia="Arial" w:hAnsi="Arial"/>
          <w:sz w:val="18"/>
          <w:szCs w:val="18"/>
          <w:color w:val="auto"/>
        </w:rPr>
        <w:t xml:space="preserve">In March 2017, the FASB issued ASU No 2017-8,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The new standard is intended to enhance the accounting for the amortization of premiums for purchased callable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This update is effective for annual periods beginning after December 15, 2018,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 and other accrued expenses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859,901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574,290</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Accrued bonus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761,971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192,000</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Vacation payable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27,954</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49,523</w:t>
            </w:r>
          </w:p>
        </w:tc>
        <w:tc>
          <w:tcPr>
            <w:tcW w:w="6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2,022,405</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815,813</w:t>
            </w:r>
          </w:p>
        </w:tc>
        <w:tc>
          <w:tcPr>
            <w:tcW w:w="6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LOSS PER SHARE OF COMMON STOCK</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Diluted loss per share is the same as basic loss per share for all periods presented as the effects of potentially dilutive issuances were anti-dilutive given the Company’s net loss. Basic loss per share is computed by dividing net loss by the weighted-average number of common shares outstanding. The following table sets forth the computation of basic and diluted loss per share for common stockholders: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34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(11,260,575)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(8,423,289)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(31,685,295)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(21,641,308)</w:t>
            </w:r>
          </w:p>
        </w:tc>
        <w:tc>
          <w:tcPr>
            <w:tcW w:w="80" w:type="dxa"/>
            <w:vAlign w:val="bottom"/>
            <w:shd w:val="clear" w:color="auto" w:fill="CFF0FC"/>
          </w:tcPr>
          <w:p>
            <w:pPr>
              <w:spacing w:after="0"/>
              <w:rPr>
                <w:sz w:val="19"/>
                <w:szCs w:val="19"/>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Weighted average shares of</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common stock outstanding</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40,880,359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34,806,263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37,676,686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30,393,293</w:t>
            </w:r>
          </w:p>
        </w:tc>
        <w:tc>
          <w:tcPr>
            <w:tcW w:w="80" w:type="dxa"/>
            <w:vAlign w:val="bottom"/>
          </w:tcPr>
          <w:p>
            <w:pPr>
              <w:spacing w:after="0"/>
              <w:rPr>
                <w:sz w:val="20"/>
                <w:szCs w:val="20"/>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 basic and diluted</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(0.24)</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(0.71)</w:t>
            </w:r>
          </w:p>
        </w:tc>
      </w:tr>
    </w:tbl>
    <w:p>
      <w:pPr>
        <w:spacing w:after="0" w:line="24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securities outstanding at September 30, 2017 and 2016 have been excluded from the calculation of weighted average shares outstanding as their effect on the calculation of loss per share is antidilutive:</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6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8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3,997,650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3,569,298</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194,600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2,472,400</w:t>
            </w:r>
          </w:p>
        </w:tc>
        <w:tc>
          <w:tcPr>
            <w:tcW w:w="80" w:type="dxa"/>
            <w:vAlign w:val="bottom"/>
            <w:shd w:val="clear" w:color="auto" w:fill="CFF0FC"/>
          </w:tcPr>
          <w:p>
            <w:pPr>
              <w:spacing w:after="0"/>
              <w:rPr>
                <w:sz w:val="19"/>
                <w:szCs w:val="19"/>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January 16, 2015, the Company entered into a Loan and Security Agreement (as amended, the “Loan Agreement”) with Oxford Finance LLC (“Oxford”) and Silicon Valley Bank (“SVB” and, together with Oxford, the “Lenders”), providing for term loans to the Company in an aggregate principal amount of up to $15 million, in two tranches (the “Term Loans”).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drew down the initial Term Loans in the aggregate principal amount of $10 million (the “Term A Loans”), on January 16, 2015. The Term A Loans bear interest at a fixed rate of 7.05% per annum. The Company believes that the Company's debt obligations accrue interest at rates which approximate prevailing market rates for instruments with similar characteristics and, accordingly, the carrying values for these instruments approximate fair value.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4" w:name="page15"/>
    <w:bookmarkEnd w:id="14"/>
    <w:p>
      <w:pPr>
        <w:ind w:right="40"/>
        <w:spacing w:after="0" w:line="273" w:lineRule="auto"/>
        <w:rPr>
          <w:sz w:val="20"/>
          <w:szCs w:val="20"/>
          <w:color w:val="auto"/>
        </w:rPr>
      </w:pPr>
      <w:r>
        <w:rPr>
          <w:rFonts w:ascii="Arial" w:cs="Arial" w:eastAsia="Arial" w:hAnsi="Arial"/>
          <w:sz w:val="17"/>
          <w:szCs w:val="17"/>
          <w:color w:val="auto"/>
        </w:rPr>
        <w:t>In August 2015, the Lenders and the Company entered into a First Amendment to the Loan Agreement, amending certain milestones related to the six month extension of the interest-only repayment period of the Term A Loans. By raising at least $30.0 million in gross capital (including at least $20.0 million from the sale of equity securities) and completing the first dosing of its Phase 1/2 clinical trial for MIN-117 prior to December 31, 2015, the Company achieved the interest-only milestones under the Loan Agreement and elected to extend the interest-only period an additional six months and reduce the repayment term by six months. Through August 1, 2016, the Company was obligated only to make monthly interest payments on the outstanding principal balance on the Term A Loans, followed by 24 months of equal principal and interest payments.</w:t>
      </w:r>
    </w:p>
    <w:p>
      <w:pPr>
        <w:spacing w:after="0" w:line="17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On or prior to March 31, 2016, the Company was permitted to borrow additional term loans in the aggregate principal amount up to $5 million, subject to the satisfaction of certain borrowing conditions, including the Company’s achievement of primary endpoints on its Phase 2a trials for MIN-117 and seltrorexant programs. In June 2016, the Company irrevocably elected not to borrow the additional $5 million available under the Term Loans.</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paid a facility fee at the time of borrowing of $75,000 for access to the Term Loans and will be required to pay a final payment of 5.1% of the total amount borrowed, which has been included as a component of the debt discount and is amortized to interest expense over the term of the loans. The outstanding Term A Loans and debt discount are as follows:</w:t>
      </w:r>
    </w:p>
    <w:p>
      <w:pPr>
        <w:spacing w:after="0" w:line="17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September 30,</w:t>
            </w:r>
          </w:p>
        </w:tc>
      </w:tr>
      <w:tr>
        <w:trPr>
          <w:trHeight w:val="171"/>
        </w:trPr>
        <w:tc>
          <w:tcPr>
            <w:tcW w:w="55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Term A Loans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4,758,116</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Less: debt discount and financing costs</w:t>
            </w:r>
          </w:p>
        </w:tc>
        <w:tc>
          <w:tcPr>
            <w:tcW w:w="1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(30,235)</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(5,194,337)</w:t>
            </w: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portion of final payment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466,456</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portion</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For the three months ended September 30, 2017 and 2016, the Company recognized interest expense of $0.1 million and $0.3 million respectively, including $0.1 million in both periods, related to the debt discount. For the nine months ended September 30, 2017 and 2016, the Company recognized interest expense of $0.5 million and $0.8 million respectively, including $0.2 million and $0.3 million, respectively, related to the debt discount.</w:t>
      </w:r>
    </w:p>
    <w:p>
      <w:pPr>
        <w:spacing w:after="0" w:line="166"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The Term Loans mature on August 1, 2018. The Company may prepay all, but not less than all, of the loaned amount upon 30 days’ advance notice to the Lenders, provided that the Company will be obligated to pay a prepayment fee equal to (i) 3% of the outstanding balance, if the loan is prepaid within</w:t>
      </w:r>
    </w:p>
    <w:p>
      <w:pPr>
        <w:ind w:right="400"/>
        <w:spacing w:after="0" w:line="255" w:lineRule="auto"/>
        <w:rPr>
          <w:sz w:val="20"/>
          <w:szCs w:val="20"/>
          <w:color w:val="auto"/>
        </w:rPr>
      </w:pPr>
      <w:r>
        <w:rPr>
          <w:rFonts w:ascii="Arial" w:cs="Arial" w:eastAsia="Arial" w:hAnsi="Arial"/>
          <w:sz w:val="18"/>
          <w:szCs w:val="18"/>
          <w:color w:val="auto"/>
        </w:rPr>
        <w:t>24 months of the funding date, (ii) 2% of the outstanding balance, if the loan is prepaid between 24 and 36 months of the funding date and (iii) 1% of the outstanding balance, if the loan is prepaid thereafter (each, a “Prepayment Fee”). The expected remaining repayment of the $10.0 million Term A loan principal is as follows:</w:t>
      </w:r>
    </w:p>
    <w:p>
      <w:pPr>
        <w:spacing w:after="0" w:line="20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1,267,412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3,490,704</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Term A Loans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4,758,116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obligations under the Loan Agreement are secured by a first priority security interest in substantially all of its assets, other than its intellectual property. The Company has also agreed not to pledge or otherwise encumber its intellectual property assets, except that it may grant certain exclusive and non-exclusive licenses of its intellectual property as set forth in the Loan Agreement. In addition, the Company pledged all of its equity interests in Minerva Neurosciences Securities Corporation and 65% of its equity interests in Mind-NRG, Sarl as security for its obligations under the Loan Agreement.</w:t>
      </w:r>
    </w:p>
    <w:p>
      <w:pPr>
        <w:spacing w:after="0" w:line="15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Upon the occurrence of certain events, including but not limited to the Company’s failure to satisfy its payment obligations under the Loan Agreement, the breach of certain of its other covenants under the Loan Agreement, or the occurrence of a material adverse change, the Lenders will have the right, among other remedies, to declare all principal and interest immediately due and payable, to take control of the Company’s cash in its SVB deposit account, and will have the right to receive the final payment fee and, if the payment of principal and interest is due prior to maturity, the applicable Prepayment Fee. As of September 30, 2017, the Company was in compliance with all covenants set forth in the Loan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CO-DEVELOPMENT AND LICENSE AGREEMENT</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February 13, 2014, the Company signed a co-development and license agreement (“the agreement”) with Janssen, which became effective upon completion of the Company’s initial public offering and the payment of a $22.0 million license fee. Under the agreement, Janssen, the licensor, granted the Company an exclusive license, with the right to sublicense, in the Minerva Territory,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right="60"/>
        <w:spacing w:after="0" w:line="273" w:lineRule="auto"/>
        <w:rPr>
          <w:sz w:val="20"/>
          <w:szCs w:val="20"/>
          <w:color w:val="auto"/>
        </w:rPr>
      </w:pPr>
      <w:r>
        <w:rPr>
          <w:rFonts w:ascii="Arial" w:cs="Arial" w:eastAsia="Arial" w:hAnsi="Arial"/>
          <w:sz w:val="17"/>
          <w:szCs w:val="17"/>
          <w:color w:val="auto"/>
        </w:rPr>
        <w:t>under (i) certain patent and patent applications to sell products containing any orexin 2 compound, controlled by the licensor and claimed in a licensor patent right as an active ingredient and (ii) seltrorexant for any use in humans. In addition, upon regulatory approval in the Minerva Territory (and earlier if certain default events occur), the Company will have rights to manufacture seltrorexant, also known as JNJ-42847922. The Company has granted to the licensor an exclusive license, with the right to sublicense, under all patent rights and know-how controlled by the Company related to seltrorexant to sell seltrorexant outside the Minerva Territory. In consideration of the licenses granted on July 7, 2014, the Company made a license fee payment of $22.0 million, which was included as a component of research and development expense in 2014.</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original agreement contains certain provisions, which include the Company’s ability to opt-out of the agreement upon completion of certain milestones. If the Company elects to participate in the development program through to the potential commercial approval of seltorexant, the Company will pay a quarterly royalty percentage to the licensor in the high single digits on aggregate net sales for seltrorexant products sold by the Company, its affiliates and sublicensees in the Minerva Territory. The licensor will pay a quarterly royalty percentage to the Company in the high single digits on aggregate net sales for seltrorexant products sold by the licensor outside the Minerva Territory. In accordance with the development agreement, the Company will pay 40% of seltrorexant development costs related to the joint development of any seltrorexant products.</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share of aggregate development costs shall not exceed (i) $5.0 million for the period beginning from the effective date of the license and ending following the completion of certain Phase 1b clinical trials and animal toxicology studies, and (ii) $24.0 million for the period beginning from the effective date of the license and ending following the completion of certain Phase 2 clinical trials. Janssen has a right to opt out at the end of certain development milestones, after which, Janssen will not have to fund further development of seltrorexant and the Minerva Territory will be expanded to also include all of North America. The Company would then owe Janssen a reduced royalty in the mid-single digits for all sales in the Minerva Territory. Janssen may also terminate the agreement for the Company’s material breach or certain insolvency events, including if the Company is unable to fund its portion of the development costs.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Company accounts for the co-development and license agreement as a joint risk-sharing collaboration in accordance with ASC 808, </w:t>
      </w:r>
      <w:r>
        <w:rPr>
          <w:rFonts w:ascii="Arial" w:cs="Arial" w:eastAsia="Arial" w:hAnsi="Arial"/>
          <w:sz w:val="16"/>
          <w:szCs w:val="16"/>
          <w:i w:val="1"/>
          <w:iCs w:val="1"/>
          <w:color w:val="auto"/>
        </w:rPr>
        <w:t>Collaboration</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w:t>
      </w:r>
      <w:r>
        <w:rPr>
          <w:rFonts w:ascii="Arial" w:cs="Arial" w:eastAsia="Arial" w:hAnsi="Arial"/>
          <w:sz w:val="16"/>
          <w:szCs w:val="16"/>
          <w:color w:val="auto"/>
        </w:rPr>
        <w:t>. Payments between the Company and the licensor with respect to each party’s share of seltrorexant development costs that have been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joint development plan are recorded within research and development expenses or general and administrative expenses, as applicable, in the accompanying consolidated statements of operations due to the joint risk-sharing nature of the activities. The Company has included zero million and $2.5 million in accrued collaborative expenses, as of September 30, 2017 and December 31, 2016, respectively, related to this agreement. In the nine months ended September 30, 2017 and 2016, the Company paid $2.5 million and zero, respectively, related to development activities under this agreement.</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July 6, 2016, the Company and Janssen agreed that “Decision Point 2” had been reached as defined under the co-development agreement. As neither party has exercised their right to withdraw from the agreement, the Company has paid Janssen $3.5 million and have incurred direct expenses of $0.3 million related to development activities under the current phase of development. During the three months ended September 30, 2017 and 2016, the Company recorded an expense of $4.5 million and $3.5 million, respectively, for certain development activities in accordance with the terms of the co-development agreement. During the nine months ended September 30, 2017 and 2016, the Company recorded an expense of $11.2 million and $3.5 million, respectively, for certain development activities in accordance with the terms of the co-development agreement. The company has included zero and $2.5 million in accrued collaborative expenses as of September 30, 2017 and December 31, 2016, respectively, related to this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spacing w:after="0" w:line="286" w:lineRule="auto"/>
        <w:rPr>
          <w:sz w:val="20"/>
          <w:szCs w:val="20"/>
          <w:color w:val="auto"/>
        </w:rPr>
      </w:pPr>
      <w:r>
        <w:rPr>
          <w:rFonts w:ascii="Arial" w:cs="Arial" w:eastAsia="Arial" w:hAnsi="Arial"/>
          <w:sz w:val="16"/>
          <w:szCs w:val="16"/>
          <w:color w:val="auto"/>
        </w:rPr>
        <w:t>In June 2017, the Company entered into the Amendment. The effectiveness of the Amendment was contingent upon approval of its terms by the European Commission and the closing of the acquisition of Actelion by affiliates of Janssen. These conditions were subsequently met, and the agreement became effective on August 29, 2017. Under the amended agreement, Janssen has waived its right to royalties on seltorexant insomnia sales in the European Union, Switzerland, Liechtenstein, Iceland and Norway (the “Minerva Territory”). The Company retains all of its rights to seltorexant, including commercialization of the molecule for the treatment of insomnia and as an as adjunctive therapy for MDD, which include an exclusive license in the Minerva Territory, with royalties payable by the Company to Janssen on seltorexant MDD sales. Royalties on sales outside of the Minerva Territory are payable by Janssen to the Company. Janssen made an upfront payment to the Company of $30 million upon the effectiveness of the Amendment and agreed to make a $20 million payment at the start of a Phase 3 insomnia trial for seltorexant and a $20 million payment when 50% of the patients are enrolled in this trial. Janssen further agreed to waive the remaining payments due from the Company until completion of the Phase 2 development of seltorexant. The $30 million payment and $11.2 million in previously accrued collaborative expenses, which were forgiven upon the effective date of the agreement, will be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the Company’s balance sheet at September 30, 2017. In connection with the Amendment, the Company repurchased all of the approximately 3.9 million shares of its common stock previously owned by Johnson &amp; Johnson Innovation-JJDC Inc. at a per share price of $0.0001, for an aggregate purchase price of approximately $389.</w:t>
      </w:r>
    </w:p>
    <w:p>
      <w:pPr>
        <w:spacing w:after="0" w:line="3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Amendment, the Company assumed strategic control for the clinical development of seltorexant in insomnia under the Phase 2 development program, but has no further financial obligations until the Phase 2b development milestone is complete, which is expected to occur in the second half of 2019. Upon completion of this development milestone, referred to as “Decision Point 4”, Minerva has the right to opt-out of the agreement and collect a royalty on worldwide sales of seltorexant in the single digits with no further obligations to Janssen. If the Company elects to continue to Phase 3, the Company would be obligated to fund the clinical trials related to insomnia, and receive $40 million in milestone payments from Janssen, and would also be responsible for 40% of Janssen’s development costs in their Phase 3 MDD program.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February, June and December 2016 and in March 2017, certain investors in the Company’s March 2015 private placement exercised their warrants at an exercise price of $5.772 per share and received an aggregate of 5,673,758 shares of the Company’s common stock. The Company received gross proceeds of approximately $32.7 million from the exercise of these warrants. As of September 30, 2017, there are no remaining warrants outstanding under the Company’s March 2015 private placement.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July 5, 2017, the Company closed a public offering of its common stock, in which the Company issued and sold 5,750,000 shares of its common stock, including 750,000 shares sold pursuant to the underwriters’ full exercise of their option to purchase additional shares, at a public offering price of $7.75, for aggregate gross proceeds to the Company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The Company incurred $3.0 million in underwriting discounts and commissions and transaction costs, which will be included as a component of additional paid-in capital, resulting in net proceeds of approximately $41.6 million.</w:t>
      </w:r>
    </w:p>
    <w:p>
      <w:pPr>
        <w:spacing w:after="0" w:line="178"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On June 17, 2016, the Company closed a public offering of common stock, in which the Company issued and sold 6,052,631 shares of common stock at a public offering price of $9.50, for aggregate gross proceeds to the Company of $57.5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The Company incurred $3.8 million in underwriting discounts and commissions and transaction costs, which have been included as a component of additional paid-in capital, resulting in net proceeds of $53.7 million.</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June 2017, the Company entered into an agreement with Janssen to amend its Co-Development and License Agreement for seltorexant. The effectiveness of this agreement was contingent upon approval of its terms by the European Commission and the closing of the acquisition of Actelion by affiliates of Janssen. These conditions were subsequently met, and the agreement became effective on August 29, 2017. In connection with the Amendment, the Company repurchased all of the approximately 3.9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ind w:right="60"/>
        <w:spacing w:after="0" w:line="277" w:lineRule="auto"/>
        <w:rPr>
          <w:sz w:val="20"/>
          <w:szCs w:val="20"/>
          <w:color w:val="auto"/>
        </w:rPr>
      </w:pPr>
      <w:r>
        <w:rPr>
          <w:rFonts w:ascii="Arial" w:cs="Arial" w:eastAsia="Arial" w:hAnsi="Arial"/>
          <w:sz w:val="18"/>
          <w:szCs w:val="18"/>
          <w:color w:val="auto"/>
        </w:rPr>
        <w:t>shares of its common stock previously owned by Johnson &amp; Johnson Innovation-JJDC Inc. at a per share price of $0.0001, for an aggregate purchase price of approximately $389.</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Private Placement of Common Stock</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March 17, 2016, the Company entered into a common stock purchase agreement with a member of the Board of Directors, pursuant to which the Company, in a private placement, sold to the director an aggregate of 181,488 shares of the Company’s common stock, at a price per share of $5.51, for gross proceeds of approximately $1.0 million.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connection with the Loan Agreement, the Company issued the Lenders warrants to purchase shares of its common stock upon its draw of each tranche of the Term Loans. The aggregate number of shares of common stock issuable upon exercise of the warrants is equal to 2.25% of the amount drawn of such tranche, divided by the average closing price per share of the Company’s common stock reported on the NASDAQ Global Market for the 10 consecutive trading days prior to the applicable draw. Upon the draw of the Term A Loans,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 1.83%, (iii) an expected life of 10 years and (iv) no dividend payments. The fair value of the warrants was included as a discount to the Term A Loans and also as a component of additional paid-in capital and will be amortized to interest expense over the term of the loan. All such warrants were outstanding as of September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OPTION PLAN AND STOCK-BASED COMPENSATION</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December 2013, the Company adopted the 2013 Equity Incentive Plan (the “Plan”), which provides for the issuance of options, stock appreciation rights, stock awards and stock units. On January 1, 2017, in accordance with the terms of the Plan</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total shares authorized for issuance under the plan increased by 750,000 to 5,781,333. This increase represents the lesser of 750,000 shares or 4% of the total shares outstanding calculated as of the end of the most recent fiscal year. The exercise price per share shall not be less than the fair value of the Company’s underlying common stock on the grant date and no option may have a term in excess of ten years. Stock option activity under the Plan is as follows:</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Shares Issuable</w:t>
            </w: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3,974,143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(197,874)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(213,619)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80" w:type="dxa"/>
            <w:vAlign w:val="bottom"/>
            <w:gridSpan w:val="2"/>
          </w:tcPr>
          <w:p>
            <w:pPr>
              <w:spacing w:after="0"/>
              <w:rPr>
                <w:sz w:val="20"/>
                <w:szCs w:val="20"/>
                <w:color w:val="auto"/>
              </w:rPr>
            </w:pPr>
            <w:r>
              <w:rPr>
                <w:rFonts w:ascii="Arial" w:cs="Arial" w:eastAsia="Arial" w:hAnsi="Arial"/>
                <w:sz w:val="18"/>
                <w:szCs w:val="18"/>
                <w:color w:val="auto"/>
              </w:rPr>
              <w:t>Outstanding September 30, 2017</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3,997,650</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September 30, 2017</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2,301,624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1,375,154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weighted average grant-date fair value of stock options outstanding on September 30, 2017 was $5.20 per share. Total unrecognized compensation costs related to non-vested stock options at September 30, 2017 was approximately $8.0 million and is expected to be recognized within future operating results over a weighted-average period of 2.6 years. At September 30, 2017, the weighted average contractual term of the options outstanding is approximately 7.8 years. The intrinsic value of outstanding stock options at September 30, 2017 was $6.6 million.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The Company uses the Black Scholes model to estimate the fair value of stock options granted. For stock options granted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the Company utilized the following assumptions: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5"/>
          </w:tcPr>
          <w:p>
            <w:pPr>
              <w:ind w:left="78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20" w:type="dxa"/>
            <w:vAlign w:val="bottom"/>
          </w:tcPr>
          <w:p>
            <w:pPr>
              <w:spacing w:after="0"/>
              <w:rPr>
                <w:sz w:val="13"/>
                <w:szCs w:val="13"/>
                <w:color w:val="auto"/>
              </w:rPr>
            </w:pPr>
          </w:p>
        </w:tc>
        <w:tc>
          <w:tcPr>
            <w:tcW w:w="496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93"/>
              <w:spacing w:after="0" w:line="15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5"/>
              <w:spacing w:after="0"/>
              <w:rPr>
                <w:sz w:val="20"/>
                <w:szCs w:val="20"/>
                <w:color w:val="auto"/>
              </w:rPr>
            </w:pPr>
            <w:r>
              <w:rPr>
                <w:rFonts w:ascii="Arial" w:cs="Arial" w:eastAsia="Arial" w:hAnsi="Arial"/>
                <w:sz w:val="18"/>
                <w:szCs w:val="18"/>
                <w:color w:val="auto"/>
                <w:w w:val="90"/>
              </w:rPr>
              <w:t>5.5-6.25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3"/>
              <w:spacing w:after="0"/>
              <w:rPr>
                <w:sz w:val="20"/>
                <w:szCs w:val="20"/>
                <w:color w:val="auto"/>
              </w:rPr>
            </w:pPr>
            <w:r>
              <w:rPr>
                <w:rFonts w:ascii="Arial" w:cs="Arial" w:eastAsia="Arial" w:hAnsi="Arial"/>
                <w:sz w:val="18"/>
                <w:szCs w:val="18"/>
                <w:color w:val="auto"/>
                <w:w w:val="90"/>
              </w:rPr>
              <w:t>5.5-6.25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Arial" w:cs="Arial" w:eastAsia="Arial" w:hAnsi="Arial"/>
                <w:sz w:val="18"/>
                <w:szCs w:val="18"/>
                <w:color w:val="auto"/>
                <w:w w:val="91"/>
              </w:rPr>
              <w:t>1.83-2.02%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3"/>
              <w:spacing w:after="0"/>
              <w:rPr>
                <w:sz w:val="20"/>
                <w:szCs w:val="20"/>
                <w:color w:val="auto"/>
              </w:rPr>
            </w:pPr>
            <w:r>
              <w:rPr>
                <w:rFonts w:ascii="Arial" w:cs="Arial" w:eastAsia="Arial" w:hAnsi="Arial"/>
                <w:sz w:val="18"/>
                <w:szCs w:val="18"/>
                <w:color w:val="auto"/>
                <w:w w:val="91"/>
              </w:rPr>
              <w:t>1.17-1.52%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5"/>
              <w:spacing w:after="0"/>
              <w:rPr>
                <w:sz w:val="20"/>
                <w:szCs w:val="20"/>
                <w:color w:val="auto"/>
              </w:rPr>
            </w:pPr>
            <w:r>
              <w:rPr>
                <w:rFonts w:ascii="Arial" w:cs="Arial" w:eastAsia="Arial" w:hAnsi="Arial"/>
                <w:sz w:val="18"/>
                <w:szCs w:val="18"/>
                <w:color w:val="auto"/>
                <w:w w:val="90"/>
              </w:rPr>
              <w:t>79-84%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Dividend yield</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395"/>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0%</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w:t>
            </w: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75"/>
              <w:spacing w:after="0"/>
              <w:rPr>
                <w:sz w:val="20"/>
                <w:szCs w:val="20"/>
                <w:color w:val="auto"/>
              </w:rPr>
            </w:pPr>
            <w:r>
              <w:rPr>
                <w:rFonts w:ascii="Arial" w:cs="Arial" w:eastAsia="Arial" w:hAnsi="Arial"/>
                <w:sz w:val="18"/>
                <w:szCs w:val="18"/>
                <w:color w:val="auto"/>
              </w:rPr>
              <w:t>5.08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5.53</w:t>
            </w:r>
          </w:p>
        </w:tc>
        <w:tc>
          <w:tcPr>
            <w:tcW w:w="80" w:type="dxa"/>
            <w:vAlign w:val="bottom"/>
            <w:shd w:val="clear" w:color="auto" w:fill="CFF0FC"/>
          </w:tcPr>
          <w:p>
            <w:pPr>
              <w:spacing w:after="0"/>
              <w:rPr>
                <w:sz w:val="20"/>
                <w:szCs w:val="20"/>
                <w:color w:val="auto"/>
              </w:rPr>
            </w:pPr>
          </w:p>
        </w:tc>
      </w:tr>
    </w:tbl>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Stock-Based Awards Granted to Non-employees-</w:t>
      </w:r>
      <w:r>
        <w:rPr>
          <w:rFonts w:ascii="Arial" w:cs="Arial" w:eastAsia="Arial" w:hAnsi="Arial"/>
          <w:sz w:val="18"/>
          <w:szCs w:val="18"/>
          <w:color w:val="333333"/>
        </w:rPr>
        <w:t>The Company from time to time grants options to purchase common stock to non-employees for services</w:t>
      </w:r>
      <w:r>
        <w:rPr>
          <w:rFonts w:ascii="Arial" w:cs="Arial" w:eastAsia="Arial" w:hAnsi="Arial"/>
          <w:sz w:val="18"/>
          <w:szCs w:val="18"/>
          <w:color w:val="auto"/>
        </w:rPr>
        <w:t xml:space="preserve"> </w:t>
      </w:r>
      <w:r>
        <w:rPr>
          <w:rFonts w:ascii="Arial" w:cs="Arial" w:eastAsia="Arial" w:hAnsi="Arial"/>
          <w:sz w:val="18"/>
          <w:szCs w:val="18"/>
          <w:color w:val="333333"/>
        </w:rPr>
        <w:t>rendered and records expense ratably over the vesting period of each award. The Company estimates the fair value of the stock options using the Black-Scholes valuation model at each reporting date. The Company granted 155,000 stock options to non-employees during the nine months ended September 30, 2017. The Company recorded stock-based compensation expense for stock options granted to non-employees of $0.2 million and $15,000 during the nine months ended September 30, 2017 and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stock options granted to non-employees, the Company utilized the following assumptions: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6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5"/>
              <w:spacing w:after="0"/>
              <w:rPr>
                <w:sz w:val="20"/>
                <w:szCs w:val="20"/>
                <w:color w:val="auto"/>
              </w:rPr>
            </w:pPr>
            <w:r>
              <w:rPr>
                <w:rFonts w:ascii="Arial" w:cs="Arial" w:eastAsia="Arial" w:hAnsi="Arial"/>
                <w:sz w:val="18"/>
                <w:szCs w:val="18"/>
                <w:color w:val="auto"/>
                <w:w w:val="92"/>
              </w:rPr>
              <w:t>8.9-9.5</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Arial" w:cs="Arial" w:eastAsia="Arial" w:hAnsi="Arial"/>
                <w:sz w:val="18"/>
                <w:szCs w:val="18"/>
                <w:color w:val="auto"/>
                <w:w w:val="91"/>
              </w:rPr>
              <w:t>2.27-2.31%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center"/>
              <w:ind w:right="233"/>
              <w:spacing w:after="0"/>
              <w:rPr>
                <w:sz w:val="20"/>
                <w:szCs w:val="20"/>
                <w:color w:val="auto"/>
              </w:rPr>
            </w:pPr>
            <w:r>
              <w:rPr>
                <w:rFonts w:ascii="Arial" w:cs="Arial" w:eastAsia="Arial" w:hAnsi="Arial"/>
                <w:sz w:val="18"/>
                <w:szCs w:val="18"/>
                <w:color w:val="auto"/>
                <w:w w:val="90"/>
              </w:rPr>
              <w:t>1.60%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5"/>
              <w:spacing w:after="0"/>
              <w:rPr>
                <w:sz w:val="20"/>
                <w:szCs w:val="20"/>
                <w:color w:val="auto"/>
              </w:rPr>
            </w:pPr>
            <w:r>
              <w:rPr>
                <w:rFonts w:ascii="Arial" w:cs="Arial" w:eastAsia="Arial" w:hAnsi="Arial"/>
                <w:sz w:val="18"/>
                <w:szCs w:val="18"/>
                <w:color w:val="auto"/>
                <w:w w:val="87"/>
              </w:rPr>
              <w:t>111-112%</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center"/>
              <w:ind w:right="233"/>
              <w:spacing w:after="0"/>
              <w:rPr>
                <w:sz w:val="20"/>
                <w:szCs w:val="20"/>
                <w:color w:val="auto"/>
              </w:rPr>
            </w:pPr>
            <w:r>
              <w:rPr>
                <w:rFonts w:ascii="Arial" w:cs="Arial" w:eastAsia="Arial" w:hAnsi="Arial"/>
                <w:sz w:val="18"/>
                <w:szCs w:val="18"/>
                <w:color w:val="auto"/>
                <w:w w:val="91"/>
              </w:rPr>
              <w:t>101%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Dividend yield</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395"/>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center"/>
              <w:ind w:right="233"/>
              <w:spacing w:after="0"/>
              <w:rPr>
                <w:sz w:val="20"/>
                <w:szCs w:val="20"/>
                <w:color w:val="auto"/>
              </w:rPr>
            </w:pPr>
            <w:r>
              <w:rPr>
                <w:rFonts w:ascii="Arial" w:cs="Arial" w:eastAsia="Arial" w:hAnsi="Arial"/>
                <w:sz w:val="18"/>
                <w:szCs w:val="18"/>
                <w:color w:val="auto"/>
                <w:w w:val="84"/>
              </w:rPr>
              <w:t>0%</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w:t>
            </w: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75"/>
              <w:spacing w:after="0"/>
              <w:rPr>
                <w:sz w:val="20"/>
                <w:szCs w:val="20"/>
                <w:color w:val="auto"/>
              </w:rPr>
            </w:pPr>
            <w:r>
              <w:rPr>
                <w:rFonts w:ascii="Arial" w:cs="Arial" w:eastAsia="Arial" w:hAnsi="Arial"/>
                <w:sz w:val="18"/>
                <w:szCs w:val="18"/>
                <w:color w:val="auto"/>
              </w:rPr>
              <w:t>6.85</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center"/>
              <w:ind w:right="233"/>
              <w:spacing w:after="0"/>
              <w:rPr>
                <w:sz w:val="20"/>
                <w:szCs w:val="20"/>
                <w:color w:val="auto"/>
              </w:rPr>
            </w:pPr>
            <w:r>
              <w:rPr>
                <w:rFonts w:ascii="Arial" w:cs="Arial" w:eastAsia="Arial" w:hAnsi="Arial"/>
                <w:sz w:val="18"/>
                <w:szCs w:val="18"/>
                <w:color w:val="auto"/>
                <w:w w:val="93"/>
              </w:rPr>
              <w:t>12.76</w:t>
            </w:r>
          </w:p>
        </w:tc>
        <w:tc>
          <w:tcPr>
            <w:tcW w:w="8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Securities and Exchange Commission’s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whose term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RSU activity under the Plan for the nine months ended September 30, 2017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548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RSUs</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September 30, 2017</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September 30, 2017 was approximately $2.1 million and is expected to be recognized within future operating results over a period of 3.2 years.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recognized stock-based compensation expense for the nine months ended September 30, 2017 and 2016 of $3.8 million and $2.6 million, respectively.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September 2014, the Company entered into a lease agreement for 4,043 square feet of office space in Waltham, MA. The term of the lease was approximately two years, and the Company was required to make monthly rental payments commencing December 2014. Estimated annual rent payable under this operating lease was approximately $0.1 million per year in each of the two years.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April 2016, the Company entered into an agreement to extend the term of the lease through March 31, 2018. Estimated annual rent payable under this agreement is approximately $0.1 million per year.</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January 2016, the Company entered into a services agreement with V-Watch SA (“V-Watch”), for approximately $105,000 for the use of V-Watch’s SomnoArt device for monitoring sleep in the MIN-101 Phase 2b and MIN-117 Phase 2a trials. The Company’s Chief Executive Officer is the chairman of the board of directors of V-Watch. Funds affiliated with Index Ventures, a stockholder of the Company, hold greater than 10% of the outstanding capital stock of V-Watch. During the nine months ended September 30, 2017 and 2016, the Company recorded an expense of zero and $0.1 million, respectively, related to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Also refer to Note 6 – Co-Development and License agreement and Note 7 – Stockholder’s Equity for additional related party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Sublease</w:t>
      </w:r>
    </w:p>
    <w:p>
      <w:pPr>
        <w:spacing w:after="0" w:line="225"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On October 2, 2017, the Company entered into an office sublease agreement (the “Sublease”) with Profitect, Inc. (the “Sublandlord”) to sublease approximately 5,923 rentable square feet of office space located at 1601 Trapelo Road, Waltham, MA 02451 (the “Premises”).</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term of the Sublease is scheduled to begin on November 1, 2017 and will expire on July 30, 2021, with a monthly rental rate starting at $14,807.50 and escalating to a maximum monthly rental rate of $16,288.25 in the final 12 months of the term. The Sublandlord has agreed to provide the Premises to the Company free of charge for the first two months of the term.</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94"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2016 as filed with the Securities and Exchange Commission on March 13,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Overview</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or CNS, diseases. Leveraging our scientific insights and clinical experience, we have acquired or in-licensed four development-stage proprietary compounds that we believe have innovative mechanisms of action and therapeutic profiles that potentially address the unmet needs of patients with these diseases.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product portfolio and potential indications include: MIN-101 for the treatment of schizophrenia, specifically including negative symptoms; seltorexant, or MIN-202 (also known as JNJ-42847922), which we are co-developing with Janssen Pharmaceutica NV, or Janssen, for the treatment of insomnia disorder and major depressive disorder, or MDD; MIN-117 for the treatment of MDD, including anxiety symptoms present in depressed patients; and MIN-301 for the treatment of Parkinson’s disease, and more broadly neurodegenerative disorders. We believe our product candidates have significant potential to improve the lives of a large number of affected patients and their families who are currently not well-served by available therapies.</w:t>
      </w:r>
    </w:p>
    <w:p>
      <w:pPr>
        <w:spacing w:after="0" w:line="158"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In November 2013, Cyrenaic Pharmaceuticals, Inc., or Cyrenaic, and Sonkei Pharmaceuticals, Inc., or Sonkei, merged, and the combined company was renamed Minerva Neurosciences, Inc. Cyrenaic had been incorporated in 2007 and had exclusively licensed MIN-101 from Mitsubishi Tanabe Pharma Corporation, or MTPC. Sonkei had been incorporated in 2008 and had exclusively licensed MIN-117 from MTPC. We executed the merger as we saw an opportunity to better serve an underserved patient population through combining a portfolio of promising product candidates targeting CNS diseases. As a result of the merger, we have the rights to develop and commercialize MIN-101 and MIN-117 globally, excluding most of Asia.</w:t>
      </w:r>
    </w:p>
    <w:p>
      <w:pPr>
        <w:spacing w:after="0" w:line="17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further expanded our product candidate portfolio in February 2014 by acquiring the shares of Mind-NRG SA, or Mind-NRG, which had exclusive rights to develop and commercialize MIN-301. In addition, in February 2014 we entered into a co-development and license agreement with Janssen, one of the Janssen Pharmaceutical Companies of Johnson &amp; Johnson, for the co-development of seltorexant. We entered into an amendment to this agreement in June 2017 that took effect on August 29, 2017. Under the amended agreement, we gained global strategic control of the development of seltorexant to treat insomnia, and Janssen waived its right to royalties on seltorexant insomnia sales in the Minerva territory, which includes the European Union, Switzerland, Liechtenstein, Iceland and Norway (the “Minerva Territory”). We retain our rights to seltorexant as adjunctive therapy for MDD, which include an exclusive license in the Minerva Territory with royalties payable by us to Janssen, and royalties on sales payable by Janssen to Minerva elsewhere worldwide. (See Seltorexant – Amendment to Co-Development and License Agreement below.)</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Chemistry, Manufacturing and Controls (CMC) program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CMC scale-up program for MIN-101 is ongoing to ensure consistency between the drug batches to be used during pivotal, Phase 3 testing and those that will be available for potential marketing and commercialization pending the completion of our Phase 3 trial and subsequent regulatory submission and review of a New Drug Application (NDA) for MIN-101. The CMC program requires validation of all aspects of the manufacturing processes required to result in a drug product that consistently meets approved quality standards.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Improved Formulation</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June 22, 2017, we announced the completion of a bridging trial to select an improved, gastro-resistant, or GR formulation of MIN-101 that we plan to use in the Phase 3 clinical trial with MIN-101 and to include in the potential future submission of an NDA.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spacing w:after="0" w:line="297" w:lineRule="auto"/>
        <w:rPr>
          <w:sz w:val="20"/>
          <w:szCs w:val="20"/>
          <w:color w:val="auto"/>
        </w:rPr>
      </w:pPr>
      <w:r>
        <w:rPr>
          <w:rFonts w:ascii="Arial" w:cs="Arial" w:eastAsia="Arial" w:hAnsi="Arial"/>
          <w:sz w:val="16"/>
          <w:szCs w:val="16"/>
          <w:color w:val="auto"/>
        </w:rPr>
        <w:t>Data from the bridging trial of the selected new formulation demonstrated: bioequivalent exposure of MIN-101 based on area under the curve (AUC) as compared to the formulation used in the Phase 2b study; reduction of the maximum concentration of BFB-520, a metabolite of MIN-101, by approximately 30% in the improved formulation, thereby reducing the potential for transient QTc increases observed in the Phase 2b study at the higher dose, 64 mg, but not the lower dose, 32 mg; no observations of QTc prolongations throughout the bridging trial; no observable food effect, thus allowing administration of the drug with or without food without changing its pharmacokinetic properties; and confirmation of the overall safety and tolerability profile of MIN-101.</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exposures of MIN-101 in the Phase 2b study and the GR formulation to be used in the Phase 3 trial are comparable, and as the two tested doses are the same for both the Phase 2b and 3 studies, we believe data from both of these studies could collectively form the basis of evaluating efficacy. We have also filed a patent application for the GR formulation, which is in addition to an already granted patent in the U.S. that provides protection until 2035. If granted, the additional patent could potentially extend exclusivity beyond 2035.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End-of-Phase 2 Meeting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May 2017, we announced the outcome of an “end-of-Phase 2” meeting with the FDA and announced our plans to initiate Phase 3 development of MIN-</w:t>
      </w:r>
    </w:p>
    <w:p>
      <w:pPr>
        <w:spacing w:after="0" w:line="46" w:lineRule="exact"/>
        <w:rPr>
          <w:sz w:val="20"/>
          <w:szCs w:val="20"/>
          <w:color w:val="auto"/>
        </w:rPr>
      </w:pPr>
    </w:p>
    <w:p>
      <w:pPr>
        <w:ind w:right="180" w:firstLine="8"/>
        <w:spacing w:after="0" w:line="261"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that a pivotal Phase 3 trial with MIN-101 will be initiated before the end of 2017. Top-line results from the three-month double-blind phase of this trial are expected in the first half of 2019.</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final protocol for the Phase 3 trial has been submitted to the Investigational New Drug application (IND), and the first Institutional Review Board (IRB) approval has been received for the study in the U.S. The Phase 3 trial design will be a 12-week, double-blind, randomized, placebo-controlled, monotherapy study testing two doses of MIN-101 in patients with negative symptoms and a diagnosis of schizophrenia. To be eligible for the study, patients will be required to have stable negative and positive symptoms over several months prior to enrollment, with a specified minimum threshold baseline score on the negative sub-scale of the Positive and Negative Syndrome Scale, or PANSS. After the double-blind phase, patients may enter a 40-week open label extension phase in which all patients will receive active treatment. This multi-center, international trial is expected to enroll approximately 500 patients at approximately 60 clinical sites across the U.S. and Europe, with 30 percent of patients coming from the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Breakthrough Therapy Designation</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April 2017, we applied for Breakthrough Therapy designation for MIN-101 for the treatment of negative symptoms of schizophrenia. In subsequent correspondence, although denying our request, the FDA confirmed that treatment of negative symptoms of schizophrenia meets the criteria for a serious or life threatening disease. Our development priority is the initiation and conduct of the Phase 3 trial on a timely basis, based on input provided by the FDA earlier this year. We are on schedule to initiate this trial in the fourth quarter of 2017. Our ongoing interactions with the FDA may include discussion of future regulatory strategies.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May 2016, we announced top line results from a prospective Phase 2b, 12-week, randomized, double-blind, placebo-controlled parallel clinical trial evaluating the efficacy, safety and tolerability of MIN-101 as monotherapy in patients with negative symptoms of schizophrenia using the pentagonal structure model, or PSM, of PANSS. These negative symptoms, for which no approved treatment is currently available, affect the majority of schizophrenic patients and can persist over their lifetimes. A total of 244 patients were randomized in equal groups to receive daily doses of MIN-101 32 mg, MIN-101 64 mg or placebo at 32 clinical sites in Russia and five European countries. To participate in the trial, patients were required to have stable positive and negative symptoms for three months prior to entering the study, a PANSS negative sub-score greater than or equal to 20, and scores &lt; 4 on the following PANSS items: excitement, hyperactivity, hostility, suspiciousness, uncooperativeness and poor impulse control. All three cohorts were balanced with respect to demographic and baseline disease characteristics.</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study met its primary endpoint, as we observed a statistically significant benefit of MIN-101 over placebo in improving negative symptoms as measured by the PSM of PANSS. The effect was observed for both doses tested: 32 mg: p ≤ 0.024 with an effect size of 0.45, and 64 mg: p ≤ 0.004 with effect size of 0.57.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also observed a statistically significant benefit of MIN-101 over placebo on the PANSS three factors negative symptoms subscale for both doses tested: 32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mg: p ≤ 0.006, with an effect size of 0.54, and 64 mg: p ≤ 0.001 with an effect size of 0.70.</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Furthermore, we observed the statistically significant benefit of MIN-101 over placebo on the PANSS total score (not significant for the 32 mg dose; p ≤ 0.003 for the 64 mg dose), with effect sizes of 0.34 and 0.57,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ind w:right="120"/>
        <w:spacing w:after="0" w:line="255" w:lineRule="auto"/>
        <w:rPr>
          <w:sz w:val="20"/>
          <w:szCs w:val="20"/>
          <w:color w:val="auto"/>
        </w:rPr>
      </w:pPr>
      <w:r>
        <w:rPr>
          <w:rFonts w:ascii="Arial" w:cs="Arial" w:eastAsia="Arial" w:hAnsi="Arial"/>
          <w:sz w:val="18"/>
          <w:szCs w:val="18"/>
          <w:color w:val="auto"/>
        </w:rPr>
        <w:t>The consistency and robustness of the effect was also supported by the observed statistically significant benefit of MIN-101 over placebo in multiple other secondary endpoints as measured by the following: the PANSS general psychopathology subscale, Brief Negative Symptoms Scale total score, Clinical Global Impression of Severity, Clinical Global Impression of Improvement, Personal and Social Performance and Brief Assessment of Cognition in Schizophrenia (BACS). Positive symptoms were observed to remain stable, and the absence of extra-pyramidal symptoms (EPS) throughout the three month trial is consistent with the hypothesis that MIN-101 has a direct and specific effect on negative symptoms rather than an indirect effect mediated by improvements of positive symptoms.</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Discontinuation criteria based on QTcF prolongation were incorporated in the protocol. Two patients out of 162 who received MIN-101 were discontinued based upon these criteria; both of these patients received the higher dose (64 mg).</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Patients who completed the 12-week double-blind core phase of this study were provided the opportunity to enter into a 24-week, open-label extension phase. The extension phase was completed during the third quarter of 2016, and we announced data from the extension phase in October 2016. Data generated during the extension period were intended to provide long-term supportive evidence of safety and efficacy and to complement the statistically significant results obtained during the core phase.</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extension phase, all patients received either 32 mg or 64 mg of MIN-101. Patients who received placebo in the core phase were randomized to one of these two doses at the beginning of the extension phase. One hundred forty-two patients from the treatment and placebo groups in the core phase entered the extension phase, with 88 patients completing the extension. Seventy patients received 32 mg and 72 patients received 64 mg during the extension.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Negative symptoms, assessed based on the PANSS PSM, were observed to continue to improve during the extension phase, as shown by a reduction from the study start for the 32 and 64 mg-treated groups of 5.5 points and 4.9 points, respectively.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Positive symptoms were observed to remain stable throughout the study, as measured by PANSS positive symptom scores. The absence of modification of positive symptoms and the favorable safety and tolerability profile are consistent with the hypothesis that MIN-101 has a direct and specific effect on negative symptoms. General psychopathology was observed to improve during the extension phase for the 32 and 64 mg groups, as shown by reductions in the PANSS general psychopathology subscale score.</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MIN-101 was generally reported to be well tolerated through the entire 24-week extension phase and no patient was discontinued for QTc increases. In the extension phase, we also observed that MIN-101 at the doses tested did not have an effect on EPS, prolactin or weight gain and thus confirmed over a longer period of treatment that we did not observe those common side effects.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Additional data analyses from the Phase 2b trial were presented at the 55</w:t>
      </w:r>
      <w:r>
        <w:rPr>
          <w:rFonts w:ascii="Arial" w:cs="Arial" w:eastAsia="Arial" w:hAnsi="Arial"/>
          <w:sz w:val="14"/>
          <w:szCs w:val="14"/>
          <w:color w:val="auto"/>
        </w:rPr>
        <w:t>th</w:t>
      </w:r>
      <w:r>
        <w:rPr>
          <w:rFonts w:ascii="Arial" w:cs="Arial" w:eastAsia="Arial" w:hAnsi="Arial"/>
          <w:sz w:val="17"/>
          <w:szCs w:val="17"/>
          <w:color w:val="auto"/>
        </w:rPr>
        <w:t xml:space="preserve"> Annual Meeting of the American College of Neuropsychopharmacology, or ACNP in December 2016. These analyses concluded that MIN-101 has a direct effect on negative symptoms (rather than an indirect or pseudo effect secondary to improvements in other symptoms) as supported by the stability observed in positive symptoms, the absence of EPS and the persistence of this direct effect even after controlling for improvements in depressive symptoms. Researchers noted that since phenomena similar to negative symptoms are manifest in many neuro-psychiatric disorders and in brain degenerative disorders such as Alzheimer’s disease and Parkinson’s disease, future trials with MIN-101 could be designed to explore its potential benefit in these patient populations.</w:t>
      </w:r>
    </w:p>
    <w:p>
      <w:pPr>
        <w:spacing w:after="0" w:line="1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post-hoc analysis presented at ACNP, improvement in negative symptoms was shown to be greatest among younger patients. This finding supports the potential therapeutic benefit of MIN-101 in patients with schizophrenia who are beginning to manifest these symptoms. It is also consistent with research showing that chronic pharmacotherapeutic intervention in schizophrenia, which includes atypical antipsychotics to treat acute positive symptoms, becomes less effective as patients age and suffer long-term consequences of the disease and side effects of current treatment options, particularly the blockade of dopamine neurotransmitter pathways in the brain.</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Additional results presented at ACNP suggest a benefit of treatment with MIN-101 in improving cognitive function in schizophrenia patients with predominant negative symptoms. Cognitive function was evaluated using the BACS scale. Cognitive impairment, a core feature of schizophrenia, affects up to 75% of patients and is believed to be a good predictor of functional outcome.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(MIN-202)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In June 2017, we entered into an agreement with Janssen to amend our Co-Development and License Agreement for seltorexant (the “Amendment”). The effectiveness of the Amendment was contingent upon approval of its terms by the European Commission and the closing of the acquisition of Actelion by affiliates of Janssen. These conditions were subsequently met, and the agreement became effective on August 29, 2017.</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jc w:val="both"/>
        <w:ind w:right="340"/>
        <w:spacing w:after="0" w:line="288" w:lineRule="auto"/>
        <w:rPr>
          <w:sz w:val="20"/>
          <w:szCs w:val="20"/>
          <w:color w:val="auto"/>
        </w:rPr>
      </w:pPr>
      <w:r>
        <w:rPr>
          <w:rFonts w:ascii="Arial" w:cs="Arial" w:eastAsia="Arial" w:hAnsi="Arial"/>
          <w:sz w:val="16"/>
          <w:szCs w:val="16"/>
          <w:color w:val="auto"/>
        </w:rPr>
        <w:t>Under the amended agreement, Janssen has waived its right to royalties on seltorexant insomnia sales in the European Union, Switzerland, Liechtenstein, Iceland and Norway (the “Minerva Territory”). We retain all of our rights to seltorexant, including commercialization of the molecule for the treatment of insomnia and as an adjunctive therapy for MDD, which include an exclusive license in the Minerva Territory, with royalties payable by us to Janssen.</w:t>
      </w:r>
    </w:p>
    <w:p>
      <w:pPr>
        <w:spacing w:after="0" w:line="269" w:lineRule="auto"/>
        <w:rPr>
          <w:sz w:val="20"/>
          <w:szCs w:val="20"/>
          <w:color w:val="auto"/>
        </w:rPr>
      </w:pPr>
      <w:r>
        <w:rPr>
          <w:rFonts w:ascii="Arial" w:cs="Arial" w:eastAsia="Arial" w:hAnsi="Arial"/>
          <w:sz w:val="17"/>
          <w:szCs w:val="17"/>
          <w:color w:val="auto"/>
        </w:rPr>
        <w:t>Royalties on sales outside of the Minerva Territory are payable by Janssen to us. Janssen made an upfront payment to us of $30 million upon the effectiveness of the Amendment and agreed to make a $20 million payment at the start of a Phase 3 insomnia trial for seltorexant and a $20 million payment when 50% of the patients are enrolled in this trial. Janssen further agreed to waive the remaining payments due from us until completion of the Phase 2 development of seltorexant. The $30 million payment and $11.2 million in previously accrued collaborative expenses, which were forgiven upon the effective date of the agreement, will be earned and recognized as revenue as the services are performed from the commencement of Phase 3 development to the completion of the development activities using the proportional performance method. The $30 million payment along with the $11.2 million previously accrued collaborative expenses have been included under deferred revenue on our balance sheet at September 30, 2017.</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 result of the Amendment, we assumed strategic control for the clinical development of seltorexant in insomnia under the Phase 2 development program, but we have no further financial obligations until the Phase 2b development milestone is complete, which is expected to occur in the second half of 2019. Upon completion of this development milestone, referred to as “Decision Point 4”, We have the right to opt-out of the agreement and collect a royalty on worldwide sales of seltorexant in the single digits with no further obligations to Janssen. If we elect to continue to Phase 3, we would be obligated to fund the clinical trials related to insomnia, and receive $40 million in milestone payments from Janssen, and would also be responsible for 40% of the development costs in the Phase 3 MDD program. In connection with the Amendment, we also repurchased all of the approximately 3.9 million shares of our stock previously owned by Johnson &amp; Johnson Innovation-JJDC Inc. at a per share price of $0.0001, for an aggregate purchase price of approximately $389.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Trials in MDD and insomnia</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September 5, 2017, we announced the enrollment of the first patient in a Phase 2b trial of seltorexant as adjunctive therapy to antidepressants in adult patients with MDD who have responded inadequately to antidepressant therapy. The primary objectives of this multi-center, double-blind, randomized, parallel group, placebo-controlled, adaptive-dose finding study are to assess the dose-response relationship and antidepressant effects of up to three doses of seltorexant and to assess the safety and tolerability of seltorexant compared to placebo. The trial consists of three phases: a screening phase lasting up to four weeks, a six-week double-blind treatment phase and a two-week post-treatment follow-up phase. We plan to enroll approximately 280 patients at approximately 85 clinical sites in the U.S., Europe, Russia and Japan.</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plan to initiate two additional clinical trials of seltorexant before the end of 2017, including a second Phase 2b trial in MDD and a Phase 2b trial in insomnia.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Building upon the results of the previous Phase 2a trial with MIN-117 in Europe, we are planning to initiate a Phase 2b trial in MDD the U.S. and Europe in early 2018. We expect to enroll patients with MDD who also have symptoms of anxiety. In preparation for this trial, a food effect study is currently ongoing with MIN-117 under our IND.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2a Trial</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May 2016, we announced top line results from a Phase 2a clinical trial in MDD with MIN-117. Data from this trial were subsequently presented at the ACNP Annual Meeting in December 2016. This study was a four-arm, parallel-group, randomized double-blind, placebo- and positive-control trial which tested two daily administered doses of MIN-117: 0.5 mg and 2.5 mg. The study included 84 patients (21 per arm) with moderate to severe MDD in four European countries. The goals of the trial were to test efficacy, safety and tolerability of MIN-117 over six weeks of treatment. The antidepressant paroxetine was used as an active control and confirmed assay sensitivity. Change on the Montgomery-Asberg Depression Rating Scale, or MADRS, was used as the main outcome measurement. As established prospectively in the statistical analysis plan, this trial was designed for signal detection and effect size estimation. As such, the study was not powered to demonstrate statistically significant differences between MIN-117 and placebo.</w:t>
      </w:r>
    </w:p>
    <w:p>
      <w:pPr>
        <w:spacing w:after="0" w:line="16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observed the dose-dependent benefit of MIN-117 over placebo as measured by change in the MADRS. We observed that MIN-117 at the 0.5 mg daily dose had an effect size, as compared to the placebo group, of 0.24 while the 2.5 mg daily dose had an effect size of 0.34. This magnitude of effect size is similar to those observed with currently marketed antidepressants. Improvement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ind w:right="80"/>
        <w:spacing w:after="0" w:line="277" w:lineRule="auto"/>
        <w:rPr>
          <w:sz w:val="20"/>
          <w:szCs w:val="20"/>
          <w:color w:val="auto"/>
        </w:rPr>
      </w:pPr>
      <w:r>
        <w:rPr>
          <w:rFonts w:ascii="Arial" w:cs="Arial" w:eastAsia="Arial" w:hAnsi="Arial"/>
          <w:sz w:val="18"/>
          <w:szCs w:val="18"/>
          <w:color w:val="auto"/>
        </w:rPr>
        <w:t>MADRS with MIN-117 against placebo was observed at two weeks. Furthermore, data also showed that 24% of the patients treated with 2.5 mg of MIN-117 achieved remission as prospectively defined.</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Both doses of MIN-117 were reported to be well tolerated, and the incidence and types of side effects did not differ significantly between the MIN-117 group and the placebo group. No unexpected adverse events were reported. Treatment with MIN-117 was not associated with cognitive impairment, sexual dysfunction, suicidal ideation or weight gain.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Pharmacodynamic measurements based on sleep recordings showed that MIN-117 preserved sleep continuity and architecture and therefore is not expected to have detrimental effects on rapid eye movement sleep distribution and duration.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In January 2015, we announced results from a non-human primate study showing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 Building upon these data, we are continuing to conduct preclinical development with MIN-301. We are continuing to conduct preclinical studies in preparation for an IND or Investigational Medicinal Product Dossier (IMPD) filing, with a Phase 1 study expected to commence thereafter.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None of our product candidates have been approved for commercialization and we have not received any revenue in connection with the sale or</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of our product candidates. We are evaluating the revenue implications of our Amendment to Co-Development and License Agreement with Janssen.</w:t>
      </w:r>
    </w:p>
    <w:p>
      <w:pPr>
        <w:spacing w:after="0" w:line="1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expenses consists of costs incurred in connection with the development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including: fees paid to consultants and clinical research organizations, or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7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 the future, we expect research and development expenses to continue to be our largest category of operating expenses and to increase as we continue our planned pre-clinical and clinical trials for our product candidates and as we hire additional research and development staff.</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expenses consist principally of costs for functions in executive, finance, legal, auditing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publicly-traded company,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Foreign Exchange (Losses) Gains. </w:t>
      </w:r>
      <w:r>
        <w:rPr>
          <w:rFonts w:ascii="Arial" w:cs="Arial" w:eastAsia="Arial" w:hAnsi="Arial"/>
          <w:sz w:val="18"/>
          <w:szCs w:val="18"/>
          <w:color w:val="auto"/>
        </w:rPr>
        <w:t>Foreign exchange (losses) gains are comprised primarily of losses and gains of foreign currency transactions related to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expenses denominated in Euros. Since our current clinical trials are conducted in Europe, we incur certain expenses in Euros and record these expenses in U.S.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spacing w:after="0"/>
        <w:rPr>
          <w:sz w:val="20"/>
          <w:szCs w:val="20"/>
          <w:color w:val="auto"/>
        </w:rPr>
      </w:pPr>
      <w:r>
        <w:rPr>
          <w:rFonts w:ascii="Arial" w:cs="Arial" w:eastAsia="Arial" w:hAnsi="Arial"/>
          <w:sz w:val="17"/>
          <w:szCs w:val="17"/>
          <w:i w:val="1"/>
          <w:iCs w:val="1"/>
          <w:color w:val="auto"/>
        </w:rPr>
        <w:t xml:space="preserve">Investment Income. </w:t>
      </w:r>
      <w:r>
        <w:rPr>
          <w:rFonts w:ascii="Arial" w:cs="Arial" w:eastAsia="Arial" w:hAnsi="Arial"/>
          <w:sz w:val="17"/>
          <w:szCs w:val="17"/>
          <w:color w:val="auto"/>
        </w:rPr>
        <w:t>Investment income consists of income earned on our cash equivalents and marketable securities (current and non-current).</w:t>
      </w:r>
    </w:p>
    <w:p>
      <w:pPr>
        <w:spacing w:after="0" w:line="2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of interest incurred under our current outstanding loan with Oxford Finance LLC, or Oxford, and Silicon Valley</w:t>
      </w:r>
      <w:r>
        <w:rPr>
          <w:rFonts w:ascii="Arial" w:cs="Arial" w:eastAsia="Arial" w:hAnsi="Arial"/>
          <w:sz w:val="18"/>
          <w:szCs w:val="18"/>
          <w:i w:val="1"/>
          <w:iCs w:val="1"/>
          <w:color w:val="auto"/>
        </w:rPr>
        <w:t xml:space="preserve"> </w:t>
      </w:r>
      <w:r>
        <w:rPr>
          <w:rFonts w:ascii="Arial" w:cs="Arial" w:eastAsia="Arial" w:hAnsi="Arial"/>
          <w:sz w:val="18"/>
          <w:szCs w:val="18"/>
          <w:color w:val="auto"/>
        </w:rPr>
        <w:t>Bank, or SVB.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2017 versus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Total research and development expenses were $9.0 million for the three months ended September 30, 2017 compared to $5.9 million for the same period in 2016, an increase in total expense of $3.1 million. Research and development expense in the three months ended September 30, 2017 and 2016 included non-cash stock-based compensation expenses of $0.5 million and $0.3 million, respectively. This increase in research and development expenses primarily reflects higher development expenses under the seltrorexant program for the Phase 2 clinical trial, increased expenses for the MIN-101 program and an increase in non-cash stock-based compensation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general and administrative expenses were $2.5 million for the three months ended September 30, 2017 compared to $2.4 million for the same period in 2016, an increase of approximately $0.1 million. General and administrative expense in the three months ended September 30, 2017 and 2016 included non-cash stock-based compensation expenses of $0.8 million and $0.7 million, respectively. This increase was primarily due to an increase in professional fees during the three months ended September 30,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Foreign exchange losses were $9 thousand for the three months ended September 30, 2017 compared to $3 thousand for the same period in 2016, an increased loss of $6 thousand. The loss was primarily due to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color w:val="auto"/>
        </w:rPr>
        <w:t>Investment income was $294 thousand for the three months ended September 30, 2017 compared to $70 thousand for the same period in 2016, an increase of $224 thousand. This increase was due to an increase in investment income on cash equivalents and marketable securities (current and non-current).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expense was $0.1 million for the three months ended September 30, 2017 compared to $0.3 million for the same period in 2016, a decrease of $0.2 million. This decrease was due to a lower outstanding principal balance on our Term A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2017 versus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Total research and development expenses were $23.7 million for the nine months ended September 30, 2017 compared to $13.9 million for the same period in 2016, an increase in total expense of $9.8 million. Research and development expense in the nine months ended September 30, 2017 and 2016 included non-cash stock-based compensation expenses of $1.5 million and $0.7 million, respectively. This increase in research and development expenses primarily reflects higher development expenses under the seltrorexant program for the Phase 2 clinical trial, increased expenses for the MIN-101 program, an increase in personnel costs and an increase in non-cash stock-based compensation expenses. These amounts were partially offset by lower costs due to the completion of our Phase 2a clinical trial of MIN-117.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general and administrative expenses were $7.9 million for the nine months ended September 30, 2017 compared to $7.0 million for the same period in 2016, an increase of approximately $0.9 million. General and administrative expense in the nine months 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spacing w:after="0" w:line="264" w:lineRule="auto"/>
        <w:rPr>
          <w:sz w:val="20"/>
          <w:szCs w:val="20"/>
          <w:color w:val="auto"/>
        </w:rPr>
      </w:pPr>
      <w:r>
        <w:rPr>
          <w:rFonts w:ascii="Arial" w:cs="Arial" w:eastAsia="Arial" w:hAnsi="Arial"/>
          <w:sz w:val="18"/>
          <w:szCs w:val="18"/>
          <w:color w:val="auto"/>
        </w:rPr>
        <w:t>September 30, 2017 and 2016 included non-cash stock-based compensation expenses of $2.3 million and $1.8 million, respectively. This increase was primarily due to an increase in professional fees and an increase in non-cash stock-based compensation expenses during the nine months ended September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Losses</w:t>
      </w:r>
    </w:p>
    <w:p>
      <w:pPr>
        <w:spacing w:after="0" w:line="22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Foreign exchange losses were $46 thousand for the nine months ended September 30, 2017 compared to $28 thousand for the same period in 2016, an increased loss of $18 thousand. The loss was primarily due to certain expenses of Mind-NRG and clinical activities denominated in Euros.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 income was $0.5 million for the nine months ended September 30, 2017 compared to $0.1 million for the same period in 2016, an increase of $0.4 million. The increase was due to investment income on cash equivalents and marketable securities (current and non-current).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expense was $0.5 million for the nine months ended September 30, 2017 compared to $0.8 million for the same period in 2016, a decrease of $0.3 million. The decrease was due to a lower outstanding principal balance on our Term A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incurred losses and cumulative negative cash flows from operations since our inception in April 2007 and, as of September 30, 2017, we had an accumulated deficit of approximately $164.5 million. We anticipate that we will continue to incur net losses for the foreseeable future as we continue the development and potential commercialization of our product candidates and to support our operations as a public company. At September 30, 2017, we had approximately $143.3 million in cash, cash equivalents and marketable securities (current and non-current). We believe that our existing cash, cash equivalents and marketable securities (current and non-current) will be sufficient to meet our cash commitments for at least the next 12 months after the date that the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and the level of financial resources available. We have the ability to adjust our operating plan spending levels based on the timing of future clinical trials which will be predicated upon adequate funding to complete the trials.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29, 2017, the European Commission approved the Amendment to our Co-Development and License Agreement with Janssen under which Janssen made an upfront payment to us of $30 million in August 2017 and agreed to make a $20 million payment at the start of a Phase 3 insomnia trial for seltorexant and a $20 million payment when 50% of the patients are enrolled in this trial. Janssen further agreed to waive the remaining payments due from us until the completion of certain Phase 2b trials, including $11.2 million in previously accrued collaborative expenses. In connection with the Amendment, we also repurchased all of the approximately 3.9 million shares of our stock previously owned by Johnson &amp; Johnson Innovation-JJDC Inc. at a per share price of $0.0001, for an aggregate purchase price of approximately $389.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July 5, 2017, we closed a public offering of common stock, in which we issued and sold 5,750,000 shares of our common stock, including 750,000 shares sold pursuant to the underwriters’ full exercise of their option to purchase additional shares, at a public offering price of $7.75, for aggregate gross proceeds to us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We incurred $3.0 million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ind w:right="80"/>
        <w:spacing w:after="0" w:line="277" w:lineRule="auto"/>
        <w:rPr>
          <w:sz w:val="20"/>
          <w:szCs w:val="20"/>
          <w:color w:val="auto"/>
        </w:rPr>
      </w:pPr>
      <w:r>
        <w:rPr>
          <w:rFonts w:ascii="Arial" w:cs="Arial" w:eastAsia="Arial" w:hAnsi="Arial"/>
          <w:sz w:val="18"/>
          <w:szCs w:val="18"/>
          <w:color w:val="auto"/>
        </w:rPr>
        <w:t>underwriting discounts and commissions and transaction costs, which will be included as a component of additional paid-in capital, resulting in net proceeds of approximately $41.6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Warrants</w:t>
      </w:r>
    </w:p>
    <w:p>
      <w:pPr>
        <w:spacing w:after="0" w:line="22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In January, February, June and December 2016 and in March 2017, certain investors in our March 2015 private placement exercised their warrants and received an aggregate of 5,673,758 shares of our common stock. We received gross proceeds of approximately $32.7 million from the exercise of these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To date, we have not generated any revenue. We do not know when, or if, we will generate any revenue from sales of our products or royalty payments from our collaboration with Janssen.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5"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7"/>
          <w:szCs w:val="17"/>
          <w:color w:val="auto"/>
        </w:rPr>
        <w:t>‑</w:t>
      </w:r>
      <w:r>
        <w:rPr>
          <w:rFonts w:ascii="Arial" w:cs="Arial" w:eastAsia="Arial" w:hAnsi="Arial"/>
          <w:sz w:val="17"/>
          <w:szCs w:val="17"/>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7"/>
          <w:szCs w:val="17"/>
          <w:color w:val="auto"/>
        </w:rPr>
        <w:t>‑</w:t>
      </w:r>
      <w:r>
        <w:rPr>
          <w:rFonts w:ascii="Arial" w:cs="Arial" w:eastAsia="Arial" w:hAnsi="Arial"/>
          <w:sz w:val="17"/>
          <w:szCs w:val="17"/>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If we are unable to obtain additional financing, future operations would need to be scaled back or discontinued. We believe that our existing cash, cash equivalents and marketable securities (current and non-current) will be sufficient to meet our cash commitments for at least the next 12 months after the date that the interim condensed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208"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Under our $10.0 million Term A Loan, we have made principal repayments of approximately $5.2 million. We expect to make additional principal repayments of approximately $1.3 million in 2017 and $3.5 million in 2018, in accordance with the terms of the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significant sources and uses of cash for the nine months ended September 30, 2017 and 2016:</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4"/>
          </w:tcPr>
          <w:p>
            <w:pPr>
              <w:jc w:val="center"/>
              <w:ind w:right="174"/>
              <w:spacing w:after="0" w:line="155" w:lineRule="exact"/>
              <w:rPr>
                <w:sz w:val="20"/>
                <w:szCs w:val="20"/>
                <w:color w:val="auto"/>
              </w:rPr>
            </w:pPr>
            <w:r>
              <w:rPr>
                <w:rFonts w:ascii="Arial" w:cs="Arial" w:eastAsia="Arial" w:hAnsi="Arial"/>
                <w:sz w:val="14"/>
                <w:szCs w:val="14"/>
                <w:b w:val="1"/>
                <w:bCs w:val="1"/>
                <w:color w:val="auto"/>
                <w:w w:val="93"/>
              </w:rPr>
              <w:t>(dollars in millions)</w:t>
            </w: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(107.1)</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(46.7)</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FF0FC"/>
          </w:tcPr>
          <w:p>
            <w:pPr>
              <w:spacing w:after="0"/>
              <w:rPr>
                <w:sz w:val="19"/>
                <w:szCs w:val="19"/>
                <w:color w:val="auto"/>
              </w:rPr>
            </w:pPr>
          </w:p>
        </w:tc>
      </w:tr>
      <w:tr>
        <w:trPr>
          <w:trHeight w:val="20"/>
        </w:trPr>
        <w:tc>
          <w:tcPr>
            <w:tcW w:w="54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provided by operating activities of approximately $12.0 million during the nine months ended September 30, 2017 was primarily due to a $41.2 million increase in deferred revenue related to the Amendment, stock-based compensation expense of $3.8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8" w:name="page29"/>
    <w:bookmarkEnd w:id="28"/>
    <w:p>
      <w:pPr>
        <w:ind w:right="60"/>
        <w:spacing w:after="0" w:line="277" w:lineRule="auto"/>
        <w:rPr>
          <w:sz w:val="20"/>
          <w:szCs w:val="20"/>
          <w:color w:val="auto"/>
        </w:rPr>
      </w:pPr>
      <w:r>
        <w:rPr>
          <w:rFonts w:ascii="Arial" w:cs="Arial" w:eastAsia="Arial" w:hAnsi="Arial"/>
          <w:sz w:val="18"/>
          <w:szCs w:val="18"/>
          <w:color w:val="auto"/>
        </w:rPr>
        <w:t>million, a $1.2 million increase in accrued expense and amortization of investments and debt discount of $0.1 million, partially offset by our net loss of $31.7 million, a decrease in accrued collaborative expense of $2.5 million, and an increase in prepaid expenses of $0.1 million.</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used in operating activities of approximately $16.7 million during the nine months ended September 30, 2016 was primarily due to our net loss of $21.6 million and a $0.5 million decrease in accounts payable, partially offset by stock-based compensation expense of $2.6 million, a $1.9 million net increase in accrued expenses and accrued collaborative expenses, a decrease of $0.5 million in prepaid expense and amortization of investments and debt discount of $0.4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used in investing activities of approximately $107.1 million during the nine months ended September 30, 2017 was primarily due to the purchase of marketable securities of $134.5 million, partially offset by the redemption of marketable securities of $27.4 million.</w:t>
      </w:r>
    </w:p>
    <w:p>
      <w:pPr>
        <w:spacing w:after="0" w:line="19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cash provided by investing activities of approximately $17.8 million during the nine months ended September 30, 2016 was due to the maturity and redemption of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cash provided by financing activities of $48.4 million during the nine months ended September 30, 2017 was primarily due to the gross proceeds from the July 2017 public stock offering of $44.6 million less costs of $3.0 million, proceeds from the exercise of common stock warrants of $9.4 million and the proceeds from the exercise of common stock options of $1.1 million, partially offset by the principal repayments under the Term A loans of $3.7 million.</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provided by financing activities of $76.5 million during the nine months ended September 30, 2016 was primarily due to gross proceeds from the June 2016 public stock offering of $57.5 million less costs of $3.8 million, proceeds from the exercise of common stock warrants of $22.2 million and proceeds from the sale of common stock in a private placement of $1.0 million, partially offset by the principal repayments under the Term A loans of $0.4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June 2017, the Company entered into an agreement with Janssen to amend its Co-Development and License Agreement for seltorexant (the “Amendment”). The effectiveness of the Amendment was contingent upon approval of its terms by the European Commission and the closing of the acquisition of Actelion by affiliates of Janssen. These conditions were subsequently met, and the agreement became effective on August 29, 2017. Under the amendment, Janssen agreed to waive the remaining payments due from us until completion of the Phase 2b development of seltorexant.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October 2017, the Company entered into an office sublease agreement (the “Sublease”) to sublease approximately 5,923 square feet of office space in Waltham, MA (the “Premises”). The term of the Sublease is scheduled to begin on November 1, 2017, and will expire on July 30, 2021. Estimated annual rent payable under the Sublease is approximately $0.18 million per year, which increases to $0.2 million per year during the final 12 months of the term. The Premises will be rented to the Company free of charge for the first two months of the term.</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other material changes in our contractual obligations and commitments from those disclosed in our Annual Report on Form 10-K for the year ended December 31, 2016 as filed with the SEC on March 13,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our Annual Report on Form 10-K for the fiscal year ended December 31, 2016, our most critical accounting policies and estimates upon which our financial status depends were identified as those relating to stock-based compensation; research and development costs; in-process research and development; business combinations; goodwill; JOBS act; net operating losses and tax credit carryforwards;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ind w:right="240"/>
        <w:spacing w:after="0" w:line="277" w:lineRule="auto"/>
        <w:rPr>
          <w:sz w:val="20"/>
          <w:szCs w:val="20"/>
          <w:color w:val="auto"/>
        </w:rPr>
      </w:pPr>
      <w:r>
        <w:rPr>
          <w:rFonts w:ascii="Arial" w:cs="Arial" w:eastAsia="Arial" w:hAnsi="Arial"/>
          <w:sz w:val="18"/>
          <w:szCs w:val="18"/>
          <w:color w:val="auto"/>
        </w:rPr>
        <w:t>impairment of long-lived assets. We reviewed our policies and determined that those policies remain our most critical accounting policies for the nine months ended September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Market risk is the potential loss arising from adverse changes in market rates and market prices such as interest rates, foreign currency exchange rates, and changes in the market value of equity instruments. We do not believe we are currently exposed to any material market risk because the interest rate under our Term A loan is fixed, our exposure for fluctuations in foreign exchange rates is not material and we do not hold equity instruments. As of September 30, 2017, we had $107.0 million of marketable securities, which consisted primarily of corporate bonds, with fixed interest rates. These securities have a weighted-average remaining maturity of 8 months. Due to the overall short-term remaining maturities of our marketable securities, our interest rate exposure is not significant.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September 30, 2017. Based on the evaluation of our disclosure controls and procedures as of September 30, 2017,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other changes in internal control over financial reporting during the Company’s latest fiscal quarter that would have materially affected, or are reasonably likely to materially affect, the Company’s internal control over financial reporting.</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 The risk factors set forth below with an asterisk (*) next to the title are new risk factors or risk factors containing changes, which may be material, from the risk factors previously disclosed in Item 1A of our Annual Report on Form 10-K for the fiscal year ended December 31, 2016, as filed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clinical development-stage biopharmaceutical company. In November 2013, we merged with Sonkei Pharmaceuticals, Inc., or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w:t>
      </w:r>
    </w:p>
    <w:p>
      <w:pPr>
        <w:spacing w:after="0" w:line="19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are not profitable and have incurred losses in each period since our inception in 2007. For the nine months ended September 30, 2017, and 2016, we reported net losses of $31.7 million and $21.6 million, respectively. As of September 30, 2017, we had an accumulated deficit of $164.5 million.</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8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operations and the historic operations of Sonkei and Mind-NRG have consumed substantial amounts of cash since inception. We expect our research and development expenses to increase substantially in connection with our ongoing activities, particularly as we advance our product candidates into clinical trials.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 w:name="page32"/>
    <w:bookmarkEnd w:id="31"/>
    <w:p>
      <w:pPr>
        <w:ind w:right="20"/>
        <w:spacing w:after="0" w:line="273" w:lineRule="auto"/>
        <w:rPr>
          <w:sz w:val="20"/>
          <w:szCs w:val="20"/>
          <w:color w:val="auto"/>
        </w:rPr>
      </w:pPr>
      <w:r>
        <w:rPr>
          <w:rFonts w:ascii="Arial" w:cs="Arial" w:eastAsia="Arial" w:hAnsi="Arial"/>
          <w:sz w:val="17"/>
          <w:szCs w:val="17"/>
          <w:color w:val="auto"/>
        </w:rPr>
        <w:t>As of September 30, 2017, we had cash, cash equivalents and marketable securities (current and non-current) of $143.3 million. We believe that our existing cash, cash equivalents and marketable securities (current and non-current) will be sufficient to meet our cash commitments for at least the next 12 months after the date that the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and the level of financial resources available.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25" w:lineRule="exact"/>
        <w:rPr>
          <w:sz w:val="20"/>
          <w:szCs w:val="20"/>
          <w:color w:val="auto"/>
        </w:rPr>
      </w:pPr>
    </w:p>
    <w:p>
      <w:pPr>
        <w:ind w:left="1040" w:right="740" w:hanging="519"/>
        <w:spacing w:after="0" w:line="258"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1" w:lineRule="exact"/>
        <w:rPr>
          <w:rFonts w:ascii="Arial" w:cs="Arial" w:eastAsia="Arial" w:hAnsi="Arial"/>
          <w:sz w:val="18"/>
          <w:szCs w:val="18"/>
          <w:color w:val="auto"/>
        </w:rPr>
      </w:pPr>
    </w:p>
    <w:p>
      <w:pPr>
        <w:ind w:left="1040" w:right="820" w:hanging="519"/>
        <w:spacing w:after="0" w:line="28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40" w:right="480" w:hanging="519"/>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40" w:right="160" w:hanging="519"/>
        <w:spacing w:after="0" w:line="261"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estimates regarding fair value of intangible assets may result in an adverse impact on our results of operations.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test goodwill and in-process research and development for impairment annually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 In addition, any significant change in market conditions, estimates or judgments used to determine expected future cash flows that indicate a reduction in carrying value may give rise to impairment in the period that the change becomes known.</w:t>
      </w:r>
    </w:p>
    <w:p>
      <w:pPr>
        <w:spacing w:after="0" w:line="16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existing NOL carryforwards may be limited as a result of issuance of equity securities.</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of December 31, 2016, we had approximately $49.3 million of Federal NOL carryforwards. These Federal NOL carryforwards will begin to expire at various dates beginning in 2027, if not utilized. We plan to use our operating losses to offset any potential future taxable income generated from operations or collaborations. To the extent we generate taxable income, we plan to use our existing NOL carryforwards and future losses to offset income that would otherwise be taxable. If substantial changes in ownership have occurred, there could be annual limitations on the amount of carryforwards that can be realized in future periods. We have not performed a detailed analysis to determine whether an ownership change occurred upon consummation of the merger between us and Sonkei, upon the acquisition of Mind-NRG or our initial public offering or the concurrent private placements. However, as a result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line="293" w:lineRule="auto"/>
        <w:rPr>
          <w:sz w:val="20"/>
          <w:szCs w:val="20"/>
          <w:color w:val="auto"/>
        </w:rPr>
      </w:pPr>
      <w:r>
        <w:rPr>
          <w:rFonts w:ascii="Arial" w:cs="Arial" w:eastAsia="Arial" w:hAnsi="Arial"/>
          <w:sz w:val="16"/>
          <w:szCs w:val="16"/>
          <w:color w:val="auto"/>
        </w:rPr>
        <w:t>these transactions, it is likely that an ownership change has occurred. Therefore, it is likely that some or all of our existing NOL carryforwards would be limited by the provisions of Section 382 of the United States Internal Revenue Code of 1986, as amended. Further, state NOL carryforwards may be similarly limited. We had approximately $41.4 million of state net operating carryforwards at December 31, 2016. It is also possible that future changes in ownership, including as a result of subsequent sales of securities by us or our stockholders, could similarly limit our ability to utilize NOL carryforwards. It is possible that all of our existing NOL carryforwards have been or will be disallowed.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regulatory approval process is expensive and the time required to obtain approval from the EMA, FDA or other regulatory authorities in other jurisdictions to sell any product is uncertain and may take years.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Whether regulatory approval will be granted is unpredictable and depends upon numerous factors, including the substantial discretion of the regulatory authorities. Moreover, the filing of a marketing application, including a New Drug Application, or NDA, or Biologics License Application, or BLA, requires a payment of a significant user fee upon submission. The filing of marketing applications for our product candidates may be delayed due to our lack of financial resources to pay such user fee.</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If, following submission, our application is not accepted for substantive review or approval,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If the EMA, FDA or other comparable foreign regulatory authorities requires additional studies or data, we would incur increased costs and delays in the marketing approval process, which may require us to expend more resources than we have available. In addition, the EMA, FDA or other comparable foreign regulatory authorities may not consider sufficient any additional required trials, data or information that we perform or provide, or we may decide, or be required, to abandon the program.</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040" w:hanging="519"/>
        <w:spacing w:after="0" w:line="268"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EMA, FDA or other regulatory authorities may disagree with the design or implementation of our clinical trials. We have not yet consulted with the EMA or the FDA on the design and conduct of the clinical trials that have already been conducted or that we intend to conduct. Thus, the EMA, FDA and other comparable foreign authorities may not agree with the design or implementation of these trials. We intend to seek guidance from the EMA in relation to the European Union clinical trial program and the FDA on the design and conduct of clinical trials of our compounds when we initiate a clinical program in the United States in the future.</w:t>
      </w:r>
    </w:p>
    <w:p>
      <w:pPr>
        <w:spacing w:after="0" w:line="3" w:lineRule="exact"/>
        <w:rPr>
          <w:rFonts w:ascii="Arial" w:cs="Arial" w:eastAsia="Arial" w:hAnsi="Arial"/>
          <w:sz w:val="17"/>
          <w:szCs w:val="17"/>
          <w:color w:val="auto"/>
        </w:rPr>
      </w:pPr>
    </w:p>
    <w:p>
      <w:pPr>
        <w:ind w:left="1040" w:right="440" w:hanging="519"/>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EMA, FDA or other regulatory authorities that a product candidate is safe and effective for its proposed indication.</w:t>
      </w:r>
    </w:p>
    <w:p>
      <w:pPr>
        <w:ind w:left="1040" w:right="360" w:hanging="519"/>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EMA, FDA or other regulatory authorities for approval.</w:t>
      </w: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any safety risks.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EMA, FDA or other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1040" w:right="420" w:hanging="519"/>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an NDA or other submission or to obtain regulatory approval in the United States or elsewhere.</w:t>
      </w:r>
    </w:p>
    <w:p>
      <w:pPr>
        <w:ind w:left="1040" w:right="100" w:hanging="519"/>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EMA, FDA or other regulatory authorities may fail to approve the manufacturing processes or facilities of third-party manufacturers with which we contract for clinical and commercial supplies.</w:t>
      </w:r>
    </w:p>
    <w:p>
      <w:pPr>
        <w:ind w:left="1040" w:right="400" w:hanging="519"/>
        <w:spacing w:after="0" w:line="26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policies or regulations of the EMA, FDA or other regulatory authorities may significantly change in a manner rendering our clinical data insufficient for approval.</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3" w:name="page34"/>
    <w:bookmarkEnd w:id="33"/>
    <w:p>
      <w:pPr>
        <w:ind w:right="220"/>
        <w:spacing w:after="0" w:line="255" w:lineRule="auto"/>
        <w:rPr>
          <w:sz w:val="20"/>
          <w:szCs w:val="20"/>
          <w:color w:val="auto"/>
        </w:rPr>
      </w:pPr>
      <w:r>
        <w:rPr>
          <w:rFonts w:ascii="Arial" w:cs="Arial" w:eastAsia="Arial" w:hAnsi="Arial"/>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black box warning, may grant approval contingent on the performance of costly post-marketing clinical trials or other post-market requirements, including risk evaluation and mitigation strategies, or REMS,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 Interpretation of results from early, usually smaller, trials that suggest positive trends in some subjects, require caution. Results from later stages of clinical trials enrolling more subjects may fail to show the desired safety and efficacy results or otherwise fail to be consistent with the results of earlier trials of the same product candidate. This may occur for a variety of reasons, including differences in trial design, trial endpoints (or lack of trial endpoints in exploratory studies), subject population, number of subjects, subject selection criteria, trial duration, drug dosage and formulation or due to the lack of statistical power in the earlier trials. A number of companies in the pharmaceutical and biotechnology industries have suffered significant setbacks in advanced clinical trials due to lack of efficacy or unacceptable safety profiles, notwithstanding promising results in earlier trials.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results of clinical trials conducted at sites outside the United States may not be accepted by the FDA and the results of clinical trials conducted at sites in the United States may not be accepted by international regulatory authorities.</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plan to conduct our clinical trials outside the United States. Although the FDA may accept data from clinical trials conducted outside the United States, acceptance of this data would be subject to certain conditions imposed by the FDA. For example, the clinical trial must be well-designed and conducted and performed by qualified investigators in accordance with ethical safeguards such as institutional review board, or IRB, or ethics committee approval and informed consent. The study population must also adequately represent the applicable United States population, and the data must be applicable to the American population and medical practice in ways that the FDA deems clinically meaningful. In addition, while clinical trials conducted outside of the United States are subject to the applicable local laws, FDA acceptance of the data from such trials will be dependent upon its determination that the trials were conducted consistent with all applicable United States laws and regulations. There can be no assurance the FDA will accept data from trials conducted outside of the United States as adequate support of a marketing application, and it is not unusual for the FDA to require some Phase 3 clinical trial data to be generated in the United States. If the FDA does not accept the data from our international clinical trials, it would likely result in the need for additional trials in the United States, which would be costly and time-consuming and could delay or permanently halt the development of one or more of our product candidates.</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do not know whether our clinical trials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commencement and completion of clinical development can be delayed or halted for a number of reasons, including:</w:t>
      </w:r>
    </w:p>
    <w:p>
      <w:pPr>
        <w:spacing w:after="0" w:line="225" w:lineRule="exact"/>
        <w:rPr>
          <w:sz w:val="20"/>
          <w:szCs w:val="20"/>
          <w:color w:val="auto"/>
        </w:rPr>
      </w:pPr>
    </w:p>
    <w:p>
      <w:pPr>
        <w:ind w:left="1040" w:right="660" w:hanging="519"/>
        <w:spacing w:after="0" w:line="258"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 w:lineRule="exact"/>
        <w:rPr>
          <w:rFonts w:ascii="Arial" w:cs="Arial" w:eastAsia="Arial" w:hAnsi="Arial"/>
          <w:sz w:val="18"/>
          <w:szCs w:val="18"/>
          <w:color w:val="auto"/>
        </w:rPr>
      </w:pPr>
    </w:p>
    <w:p>
      <w:pPr>
        <w:ind w:left="1040" w:right="120" w:hanging="519"/>
        <w:spacing w:after="0" w:line="250"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clinical research organizations, or CROs, and trial sites, which can be subject to extensive negotiation and may vary significantly among different CROs and trial sites;</w:t>
      </w:r>
    </w:p>
    <w:p>
      <w:pPr>
        <w:ind w:left="1040" w:right="840" w:hanging="519"/>
        <w:spacing w:after="0" w:line="250"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failing to conduct the trial in accordance with regulatory requirements;</w:t>
      </w: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our third parties, such as CROs, to satisfy their contractual duties or meet expected deadlines;</w:t>
      </w:r>
    </w:p>
    <w:p>
      <w:pPr>
        <w:spacing w:after="0" w:line="9" w:lineRule="exact"/>
        <w:rPr>
          <w:rFonts w:ascii="Arial" w:cs="Arial" w:eastAsia="Arial" w:hAnsi="Arial"/>
          <w:sz w:val="18"/>
          <w:szCs w:val="18"/>
          <w:color w:val="auto"/>
        </w:rPr>
      </w:pPr>
    </w:p>
    <w:p>
      <w:pPr>
        <w:ind w:left="1040" w:right="240" w:hanging="519"/>
        <w:spacing w:after="0" w:line="281"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insufficient or inadequate supply or quantity of product material for use in trials due to delays in the importation and manufacture of clinical supply, including delays in the testing, validation, and delivery of the clinical supply of the investigational drug to the clinical trial sites;</w:t>
      </w:r>
    </w:p>
    <w:p>
      <w:pPr>
        <w:spacing w:after="0" w:line="1" w:lineRule="exact"/>
        <w:rPr>
          <w:rFonts w:ascii="Arial" w:cs="Arial" w:eastAsia="Arial" w:hAnsi="Arial"/>
          <w:sz w:val="16"/>
          <w:szCs w:val="16"/>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identification and auditing of central or other laboratories and the transfer and validation of assays or tests to be used;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4" w:name="page35"/>
    <w:bookmarkEnd w:id="34"/>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having subjects complete participation in a trial or return for post-treatment follow-up;</w:t>
      </w:r>
    </w:p>
    <w:p>
      <w:pPr>
        <w:spacing w:after="0" w:line="23" w:lineRule="exact"/>
        <w:rPr>
          <w:rFonts w:ascii="Arial" w:cs="Arial" w:eastAsia="Arial" w:hAnsi="Arial"/>
          <w:sz w:val="18"/>
          <w:szCs w:val="18"/>
          <w:color w:val="auto"/>
        </w:rPr>
      </w:pPr>
    </w:p>
    <w:p>
      <w:pPr>
        <w:ind w:left="1040" w:right="160" w:hanging="519"/>
        <w:spacing w:after="0" w:line="25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obtaining IRB or ethics committee approval to conduct a trial at a prospective site, or complying with conditions imposed by IRBs or ethics committees;</w:t>
      </w:r>
    </w:p>
    <w:p>
      <w:pPr>
        <w:ind w:left="1040" w:right="180" w:hanging="519"/>
        <w:spacing w:after="0" w:line="25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recruiting and enrolling subjects to participate in clinical trials for a variety of reasons, including competition from other programs for the treatment of similar conditions;</w:t>
      </w: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subjects in a clinical trial;</w:t>
      </w:r>
    </w:p>
    <w:p>
      <w:pPr>
        <w:spacing w:after="0" w:line="9" w:lineRule="exact"/>
        <w:rPr>
          <w:rFonts w:ascii="Arial" w:cs="Arial" w:eastAsia="Arial" w:hAnsi="Arial"/>
          <w:sz w:val="18"/>
          <w:szCs w:val="18"/>
          <w:color w:val="auto"/>
        </w:rPr>
      </w:pPr>
    </w:p>
    <w:p>
      <w:pPr>
        <w:ind w:left="1040" w:hanging="519"/>
        <w:spacing w:after="0" w:line="25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retaining subjects who have initiated a clinical trial but may be prone to withdraw due to side effects from the therapy, lack of efficacy or personal issues, which are common among schizophrenia and MDD subjects who we require for our clinical trials of two of our product candidates, MIN-101 and MIN-117;</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adding new investigators and clinical sites;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withdrawal of clinical trial sites from clinical trials;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adequate funding;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holds or termination imposed by the European Union national regulatory authorities, the FDA or IRBs or ethics committees.</w:t>
      </w:r>
    </w:p>
    <w:p>
      <w:pPr>
        <w:spacing w:after="0" w:line="21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Clinical trials may also be delayed as a result of ambiguous or negative interim results. In addition, clinical trials may be suspended or terminated by us, an IRB or ethics committee overseeing the clinical trial at a trial site (with respect to that site), the European Union national regulatory authorities or the FDA due to a number of factors, including:</w:t>
      </w:r>
    </w:p>
    <w:p>
      <w:pPr>
        <w:spacing w:after="0" w:line="181"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the trial protocols and applicable laws;</w:t>
      </w:r>
    </w:p>
    <w:p>
      <w:pPr>
        <w:spacing w:after="0" w:line="23" w:lineRule="exact"/>
        <w:rPr>
          <w:rFonts w:ascii="Arial" w:cs="Arial" w:eastAsia="Arial" w:hAnsi="Arial"/>
          <w:sz w:val="18"/>
          <w:szCs w:val="18"/>
          <w:color w:val="auto"/>
        </w:rPr>
      </w:pPr>
    </w:p>
    <w:p>
      <w:pPr>
        <w:ind w:left="1040" w:right="80" w:hanging="519"/>
        <w:spacing w:after="0" w:line="250"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observations during inspection of the clinical trial operations or trial sites by the EMA, FDA or other comparable foreign regulatory authorities that ultimately result in the imposition of a clinical hold;</w:t>
      </w: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safety issues; or</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Failure to conduct a clinical trial in accordance with regulatory requirements, the trial protocols and applicable laws may also result in the inability to use the data from such trial to support product approval. Additionally, changes in regulatory requirements and guidance may occur, and we may need to amend clinical trial protocols to reflect these changes. Amendments may require us to resubmit our clinical trial protocols to the EMA, FDA, IRBs or ethics committees for reexamination, which may impact the costs, timing and successful completion of a clinical trial. Many of the factors that cause, or lead to, a delay in the commencement or completion of a clinical trial may also ultimately lead to the denial of regulatory approval of the associated product candidate. If we experience delays in completion of, or if we terminate any of our clinical trials, our ability to obtain regulatory approval for our product candidates may be materially harmed, and our commercial prospects and ability to generate product revenues will be diminished.</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no experience in advancing product candidates beyond Phase 2, which makes it difficult to assess our ability to develop and commercialize our product candidates.</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have no experience in progressing clinical trials past Phase 2, obtaining regulatory marketing approvals or commercializing product candidates. We merged with Sonkei and acquired Mind-NRG and have limited operating history since the respective merger and acquisition. We may encounter unforeseen expenses, difficulties, complications, delays and other known or unknown factors in pursuing our business objectives. 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enroll subjects in clinical trials, we will be unable to complete these trials on a timely basis or at 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timely completion of clinical trials largely depends on subject enrollment. Many factors affect subject enrollment, including:</w:t>
      </w:r>
    </w:p>
    <w:p>
      <w:pPr>
        <w:spacing w:after="0" w:line="225"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and nature of the subject population;</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subjects;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obtain and maintain subject consents;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and</w:t>
      </w:r>
    </w:p>
    <w:p>
      <w:pPr>
        <w:spacing w:after="0" w:line="9" w:lineRule="exact"/>
        <w:rPr>
          <w:rFonts w:ascii="Arial" w:cs="Arial" w:eastAsia="Arial" w:hAnsi="Arial"/>
          <w:sz w:val="18"/>
          <w:szCs w:val="18"/>
          <w:color w:val="auto"/>
        </w:rPr>
      </w:pPr>
    </w:p>
    <w:p>
      <w:pPr>
        <w:ind w:left="1040" w:right="440" w:hanging="519"/>
        <w:spacing w:after="0" w:line="261"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clinicians’ and subjects’ perceptions as to the potential advantages or disadvantages of the drug being studied in relation to other available therapies, including any new drugs that may be approved for the indications we are investigating.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right="20"/>
        <w:spacing w:after="0" w:line="259" w:lineRule="auto"/>
        <w:rPr>
          <w:sz w:val="20"/>
          <w:szCs w:val="20"/>
          <w:color w:val="auto"/>
        </w:rPr>
      </w:pPr>
      <w:r>
        <w:rPr>
          <w:rFonts w:ascii="Arial" w:cs="Arial" w:eastAsia="Arial" w:hAnsi="Arial"/>
          <w:sz w:val="18"/>
          <w:szCs w:val="18"/>
          <w:color w:val="auto"/>
        </w:rPr>
        <w:t>We rely on CROs and clinical trial sites to ensure the proper and timely conduct of our clinical trials in Europe and, we expect, eventually in the United States and, while we have agreements governing their committed activities, we have limited influence over their actual performance. We may also experience difficulties enrolling subjects for our clinical trials relating to MIN-101 and MIN-117 due to the mental health of the subjects that we will need to enroll, related diagnoses and drop-out rates.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could prevent or delay regulatory approval and commercialization, and also increase costs.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statistically significant efficacy of the product candidate studied for the target indication in later stages of clinical development. For example, although we believe our Phase 2b trial with MIN-101 met its primary endpoint as we observed the statistically significant benefit of MIN-101 over placebo in improving negative symptoms in patients with schizophrenia, we must conduct pivotal, Phase 3 trials with MIN-101 that may fail to demonstrate safety and efficacy. Our Phase 2a trial with MIN-117, while we observed a reduction in depressive symptoms, was designed to detect a signal of efficacy and not to demonstrate statistically significant differences between MIN-117 and placebo. Further clinical trials with MIN-117 will need to be statistically powered to demonstrate such differences. Regulatory authorities may find that our studies do not support, in combination with other studies, approval of our product candidates for the target indication. In addition, our product candidates may be associated with undesirable side effects or have characteristics that are unexpected, which may result in abandoning their development or regulatory authorities restricting or denying marketing approval. For instance, prior clinical studies indicated that MIN-101 and MIN-117 may cause adverse events, including, but not limited to, dizziness, vital sign changes, central nervous system events, cardiac events, including prolongation of the QT/QTc interval, and gastrointestinal events. Most product candidates that commence clinical trials are never approved by the applicable regulatory authorities.</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the case of our product candidates, MIN-101 and MIN-117, we are seeking to develop treatments for schizophrenia and MDD, which adds a layer of complexity to our clinical trials and may delay regulatory approval. We do not fully understand the cause and pathophysiology of schizophrenia and MDD, and our results will rely on subjective subject feedback, which is inherently difficult to evaluate, can be influenced by factors outside of our control and can vary widely from day to day for a particular subject, and from subject to subject and site to site within a clinical study. The placebo effect may also have a more significant impact on our clinical trials.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our product candidates are not shown to be both safe and effective in clinical trials, we will not be able to obtain regulatory approval or commercialize our product candidates.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Because we have limited financial and management resources, we focus on a limited number of research programs and product candidates. For instance, at the present time we are prioritizing the clinical trials and development of the most advanced of our product candidates, MIN-101. As a result, we may forego or delay pursuit of opportunities with other product candidates, including MIN-117, seltrorexant and MIN-301,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clinical trials, we cannot predict when or if we will obtain marketing approval to commercialize a product candidate or the approval may be for a more narrow indication than we expect.</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marketing approval from the relevant regulatory agencies. Additional delays may result if the EMA, FDA,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ind w:right="300"/>
        <w:spacing w:after="0" w:line="259"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Even if we obtain regulatory approval for a product candidate, product candidates may be approved for fewer or more limited indications, including more limited subject populations, than we request, and regulatory authorities may require that contraindications, warnings, or precautions be included in the product labeling, including a black box warning, may grant approval contingent on the performance of costly post-marketing clinical trials or other post-market requirements, such as REMS, may require post-marketing surveillance, or may approve a product candidate with a label that does not include the labeling claims necessary or desirable for the successful commercialization of that product candidate. For instance, in 2007, the FDA requested that makers of all antidepressant medications update existing black box warnings about increased risk of suicidal thought and behavior in young adults, ages 18 to 24, during initial treatment. If approved for marketing, our drugs may be required to carry warnings similar to this and other class-wide warnings.</w:t>
      </w:r>
    </w:p>
    <w:p>
      <w:pPr>
        <w:spacing w:after="0" w:line="16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Any approved products would further be subject to ongoing requirements imposed by the EMA, FDA, and other comparable foreign regulatory authorities governing the manufacture, quality control, further development, labeling, packaging, storage, distribution, safety surveillance, import, export, advertising, promotion, marketing, recordkeeping and reporting of safety and other post-market information. If there are any modifications to the drug, including changes in indications, labeling, manufacturing processes or facilities, or if new safety issues arise, a new or supplemental NDA, post-implementation notification or other reporting may be required or requested, which may require additional data or additional pre-clinical studies and clinical trials.</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EMA, FDA and other comparable foreign regulatory authorities will continue to closely monitor the safety profile of any product even after approval. If the EMA, FDA or other comparable foreign regulatory authorities become aware of new adverse safety information after approval of any of our product candidates, a number of potentially significant negative consequences could result, including:</w:t>
      </w:r>
    </w:p>
    <w:p>
      <w:pPr>
        <w:spacing w:after="0" w:line="181"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such product;</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otherwise restrict the product’s indicated use, label, or marketing;</w:t>
      </w:r>
    </w:p>
    <w:p>
      <w:pPr>
        <w:spacing w:after="0" w:line="9" w:lineRule="exact"/>
        <w:rPr>
          <w:rFonts w:ascii="Arial" w:cs="Arial" w:eastAsia="Arial" w:hAnsi="Arial"/>
          <w:sz w:val="18"/>
          <w:szCs w:val="18"/>
          <w:color w:val="auto"/>
        </w:rPr>
      </w:pPr>
    </w:p>
    <w:p>
      <w:pPr>
        <w:ind w:left="1040" w:right="140" w:hanging="519"/>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EMA, FDA or other comparable foreign regulatory bodies may issue safety alerts, Dear Healthcare Provider letters, press releases or other communications containing warnings about such product;</w:t>
      </w:r>
    </w:p>
    <w:p>
      <w:pPr>
        <w:ind w:left="1040" w:right="100" w:hanging="519"/>
        <w:spacing w:after="0" w:line="28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a REMS or the EMA or a comparable foreign regulatory authority may require the establishment or modification of a similar strategy that may, for instance, require us to issue a medication guide outlining the risks of such side effects for distribution to subjects or restrict distribution of our products and impose burdensome implementation requirements on us;</w:t>
      </w:r>
    </w:p>
    <w:p>
      <w:pPr>
        <w:spacing w:after="0" w:line="2" w:lineRule="exact"/>
        <w:rPr>
          <w:rFonts w:ascii="Arial" w:cs="Arial" w:eastAsia="Arial" w:hAnsi="Arial"/>
          <w:sz w:val="16"/>
          <w:szCs w:val="16"/>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 or surveillance;</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manufacturers of drug products and their facilities, including contracted facilities, are subject to continual review and periodic inspections by national regulatory authorities in the European Union, the FDA and other regulatory authorities for compliance with current Good Manufacturing Practices, or cGMP, regulations and standards. The European Union cGMP guidelines are as set forth in Commission Directive 2003/94/EC of October 8, 2003. If we or a regulatory agency or authority discover previously unknown problems with a product, such as adverse events of unanticipated severity or frequency, the product’s stability (changes in levels of impurities or dissolution profile) or problems with the facility where the product is manufactured, we may be subject to reporting obligations, additional testing and additional sampling, and a regulatory agency or authority may impose restrictions on that product, the manufacturing facility, our suppliers, or us, including requiring recall or withdrawal of the product from the market or suspension of manufacturing. If we, our product candidates, the manufacturing facilities for our product candidates, our CROs, or other persons or entities working on our behalf fail to comply with applicable regulatory requirements either before or after marketing approval, a regulatory agency may, depending on the stage of product development and approval:</w:t>
      </w:r>
    </w:p>
    <w:p>
      <w:pPr>
        <w:spacing w:after="0" w:line="195"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adverse inspectional findings;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 and update labels or package inserts;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ind w:left="1040" w:right="40" w:hanging="519"/>
        <w:spacing w:after="0" w:line="258"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an injunction or impose civil, criminal and/or administrative penalties, damages or monetary fines or imprisonment;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or terminate any ongoing clinical studies;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bar us from submitting or assisting in the submission of new regulatory applications;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refuse to allow us to enter into government contracts;</w:t>
      </w:r>
    </w:p>
    <w:p>
      <w:pPr>
        <w:spacing w:after="0" w:line="9" w:lineRule="exact"/>
        <w:rPr>
          <w:rFonts w:ascii="Arial" w:cs="Arial" w:eastAsia="Arial" w:hAnsi="Arial"/>
          <w:sz w:val="18"/>
          <w:szCs w:val="18"/>
          <w:color w:val="auto"/>
        </w:rPr>
      </w:pPr>
    </w:p>
    <w:p>
      <w:pPr>
        <w:ind w:left="1040" w:right="240" w:hanging="519"/>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restrictions on marketing or manufacturing of the product, or the imposition of costly new manufacturing requirements or use of alternative suppliers; or</w:t>
      </w: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 the United States, including, but not limited to, their advertising and promotion, will further be heavily scrutinized by the FDA, the United States Department of Justice, the United States Department of Health and Human Services’ Office of Inspector General, state attorneys general, members of Congress and the public. Violations of applicable law, including advertising, marketing and promotion of our products for unapproved (or off-label) uses, are subject to enforcement letters, inquiries and investigations, and civil, criminal and/or administrative sanctions by regulatory agencies. Additionally, comparable foreign regulatory authorities will heavily scrutinize advertising and promotion of any product candidate that obtains approval outside of the United States. In this regard, advertising and promotion of medicines in the European Union is governed by Directive 2001/83 EC, as amended, and any such activities which we may undertake in the European Union will have to be in strict compliance with the same. Any advertising of a prescription medicinal product to the public and any promotion of a medicinal product that does not have marketing authorization or is not promoted in accordance with that marketing authorization is prohibited. Advertisements and promotions of medicinal products are monitored nationally in the European Union, and each country will have its own additional advertising laws and industry governing bodies, whose obligations may go further than those set out in Directive 2001/83. For instance, in the United Kingdom the code of practice of the Association of the British Pharmaceutical Industry (the lead United Kingdom trade association) is considerably stricter than applicable legislative requirements. Any violations and sanctions will similarly be decided and administered by the relevant country’s national authority.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 the United States, engaging in the impermissible promotion of products for off-label uses can also subject the entity engaging in such conduct to false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claims litigation under federal and state statutes, which can lead to civil, criminal and/or administrative penalties, damages, monetary fines, disgorgement,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exclusion from participation in Medicare, Medicaid and other federal healthcare programs, curtailment or restructuring of its operations and agreements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materially restrict the manner in which it promotes or distributes drug products. Accordingly, we are subject to the federal civil False Claims Act,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prohibits persons and entities from knowingly filing, or causing to be filed, a false claim, or the knowing use of false statements, to obtain payment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federal government. Certain suits filed under the civil False Claims Act, known as “qui tam” actions, can be brought by any individual on behalf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government and such individuals, commonly known as “whistleblowers,” may share in certain amounts paid by the entity to the government in fines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settlement. When an entity is determined to have violated the civil False Claims Act, it may be required to pay up to three times the actual damages sustained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the government, plus civil penalties for each separate false claim. Various states have also enacted laws modeled after the federal civil False Claims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Act. We are also subject to the federal criminal False Claims Act, which imposes criminal fines or imprisonment against individuals or entities who make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 a claim to the government knowing such claim to be false, fictitious, or fraudulent. Additionally, we may be subject to civil monetary penalties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imposed against any person or entity that, among other things, is determined to have presented or caused to be presented a claim to a federal health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program that the person knows or should know is for an item or service that was not provided as claimed or is false or fraudulent.</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False Claims Act lawsuits against pharmaceutical companies have increased significantly in volume and breadth, leading to substantial civil and criminal settlements regarding certain sales practices, including promoting off-label drug uses. This growth in litigation has increased the risk that a pharmaceutical company will have to defend a false claims action, pay settlement fines or restitution, agree to comply with burdensome reporting and compliance obligations, and/or be excluded from Medicare, Medicaid and other federal and state healthcare programs. If we do not lawfully promote our products, we may become subject to such litigation, which may have a material adverse effect on our business, financial condition and results of operations.</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no definition of “off-label use” exists at the European Union level, promotion of a medicinal product for a purpose that has not been approved is strictly prohibited. Such promotion also gives rise to criminal prosecution in the European Union, and national healthcare supervisory authorities may impose administrative fines. Engaging in such promotions in the European Union could also lead to product liability claims, in accordance with EU product liability regime under Directive 85/374.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right="220"/>
        <w:spacing w:after="0" w:line="257" w:lineRule="auto"/>
        <w:rPr>
          <w:sz w:val="20"/>
          <w:szCs w:val="20"/>
          <w:color w:val="auto"/>
        </w:rPr>
      </w:pPr>
      <w:r>
        <w:rPr>
          <w:rFonts w:ascii="Arial" w:cs="Arial" w:eastAsia="Arial" w:hAnsi="Arial"/>
          <w:sz w:val="18"/>
          <w:szCs w:val="18"/>
          <w:color w:val="auto"/>
        </w:rPr>
        <w:t>The EMA’s, FDA’s, and other applicable government agencies’ policies may change and additional government regulations may be enacted that could prevent, limit or delay regulatory approval and marketing authorization, and the sale and promotion of our product candidates. If we are slow or unable to adapt to changes in existing requirements or the adoption of new requirements or policies, or if we are not able to maintain regulatory compliance, we may lose any marketing approval that we may have obtained, and be subject to civil, criminal and administrative enforcement, which would adversely affect our business, prospects and ability to achieve or sustain profitability.</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regulatory pathway for our product candidate, MIN-301, has not yet been determined. Depending on the pathway, we may be subject to different regulatory requirements.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MIN-301 is a peptide, and, as a peptide, may be subject to the Public Health Service Act, or PHSA, and the Food, Drug, and Cosmetic Act, or FDCA. We have yet to meet with the FDA regarding the approval pathway for this product candidate. Based on the definition of a biologic in the PHSA, we believe that MIN-301 meets the definition of a biologic and, thus, we will need to submit a Biologics License Application, or BLA, for product approval. Moreover, based on an FDA intercenter agreement, we believe that MIN-301 will be regulated by the FDA’s Center for Drug Evaluation and Research. However, we intend to discuss jurisdiction with the FDA to determine the appropriate regulatory pathway and corresponding requirements. Depending on the pathway, we may be subject to different regulatory requirements, including different regulatory and testing requirements, shorter or longer periods of market exclusivity, and different approval processes for generic drug and biosimilar competitors.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or our collaborators develop are smaller than we believe, our revenue may be adversely affected and our business may suffer.</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product candidates are intended for the treatment of schizophrenia, MDD, insomnia and Parkinson’s disease. Our projections of both the number of people who have these disorders or disease, as well as the subsets of people who have the potential to benefit from treatment with our product candidates and who will pursue such treatment, are based on our beliefs and estimates that may prove to be inaccurate. For instance, with respect to schizophrenia and MDD, our estimates are based on the number of patients that suffer from schizophrenia and MDD, but these disorders are difficult to accurately diagnose and high rates of patients may not seek or continue treatment. Our estimates and beliefs are also based on the potential market of other drugs in development for schizophrenia and MDD, which may prove to be inaccurate and our advantages over such drugs may not be, or may not be perceived to be, as significant as we believe they are. If our estimates prove to be inaccurate, even if our products are approved, we may not be able to successfully commercialize them. In addition, the cause and pathophysiology of schizophrenia and MDD are not fully understood, and additional scientific understanding and future drug or non-drug therapies may make our product candidates obsolete.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product candidates are developed through pre-clinical to late stage clinical trials towards approval and commercialization, it is common that various aspects of the development program, such as manufacturing methods and formulation, are altered in an effort to optimize processes and results. Such changes carry the risk that they will not achieve these intended objectives. Any of these changes could cause our product candidates to perform differently and affect the results of planned clinical trials or future clinical trials to be conducted with the altered materials. Such changes may also require additional testing, EMA or FDA notification or EMA or FDA approval. This could delay completion of clinical trials, require the conduct of bridging clinical trials or the repetition of one or more clinical trials, increase clinical trial costs, delay approval of our product candidates and/or jeopardize our ability to commence product sales and generate revenue.</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additional international jurisdictions would prevent us from marketing our product candidates outside the European Union and the United States.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plan to seek regulatory approval to commercialize our product candidates in the European Union and, other than seltrorexant, in the United States. We also expect to seek regulatory approval in additional foreign countries.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EMA or FDA approval. The regulatory approval process outside the European Union and United States generally includes risks substantially similar to those associated with obtaining EMA or FDA approval. In addition, in many countries outside the United States, we must secure product price and reimbursement approvals before regulatory authorities will approve the product for sale in that country or within a short time after receiving such marketing approval.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right="20"/>
        <w:spacing w:after="0" w:line="255" w:lineRule="auto"/>
        <w:rPr>
          <w:sz w:val="20"/>
          <w:szCs w:val="20"/>
          <w:color w:val="auto"/>
        </w:rPr>
      </w:pPr>
      <w:r>
        <w:rPr>
          <w:rFonts w:ascii="Arial" w:cs="Arial" w:eastAsia="Arial" w:hAnsi="Arial"/>
          <w:sz w:val="18"/>
          <w:szCs w:val="18"/>
          <w:color w:val="auto"/>
        </w:rPr>
        <w:t>regulatory approval process in others. Also, regulatory approval for any of our product candidates may be withdrawn. If we fail to comply with the regulatory requirements in international markets or do not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especially because some foreign jurisdictions require prior approval of a treatment by the domestic regulatory agency. Our failure to obtain approval of any of our product candidates by regulatory authorities in another country may significantly diminish the commercial prospects of that product candidate and our business prospects could decline.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us.</w:t>
      </w:r>
    </w:p>
    <w:p>
      <w:pPr>
        <w:spacing w:after="0" w:line="26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We face competition with respect to our current product candidates and will face competition with respect to any future product candidates from major pharmaceutical companies, specialty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less costly and/or have a better safety profile than our products, and competitors may also be more successful than us in manufacturing and marketing their products.</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competitors will also compete with us in recruiting and retaining qualified scientific, management and commercial personnel, establishing clinical trial sites and subject registration for clinical trials, as well as in acquiring technologies complementary to, or necessary for, our programs.</w:t>
      </w:r>
    </w:p>
    <w:p>
      <w:pPr>
        <w:spacing w:after="0" w:line="14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There are numerous currently approved therapies for treating the same diseases or indications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regulatory exclusivity, while others are available on a generic basis. Insurers and other third-party payors may encourage the use of generic products or specific branded products. Moreover, it is difficult to predict the effect that introduction of biosimilars into the market will have on sales of the reference biologic product, which will depend on the FDA’s standards for interchangeability, the structure of government and commercial managed care formularies, and state laws on substitution of biosimilars. We expect that if our product candidates are approved, they will be priced at a significant premium over competitive generics and biosimilars. This may make it difficult for us to differentiate our products from currently approved therapies, which may adversely impact our business strategy.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 Moreover, many companies are developing new therapeutics, and we cannot predict what the standard of care will be as our product candidates progress through clinical development.</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any of our drug candidates receives marketing approval, it may fail to achieve the degree of market acceptance by physicians, patients, third-party payors and others in the medical community necessary for commercial success.</w:t>
      </w:r>
    </w:p>
    <w:p>
      <w:pPr>
        <w:spacing w:after="0" w:line="170" w:lineRule="exact"/>
        <w:rPr>
          <w:sz w:val="20"/>
          <w:szCs w:val="20"/>
          <w:color w:val="auto"/>
        </w:rPr>
      </w:pPr>
    </w:p>
    <w:p>
      <w:pPr>
        <w:jc w:val="both"/>
        <w:ind w:right="220"/>
        <w:spacing w:after="0" w:line="273" w:lineRule="auto"/>
        <w:rPr>
          <w:sz w:val="20"/>
          <w:szCs w:val="20"/>
          <w:color w:val="auto"/>
        </w:rPr>
      </w:pPr>
      <w:r>
        <w:rPr>
          <w:rFonts w:ascii="Arial" w:cs="Arial" w:eastAsia="Arial" w:hAnsi="Arial"/>
          <w:sz w:val="17"/>
          <w:szCs w:val="17"/>
          <w:color w:val="auto"/>
        </w:rPr>
        <w:t>If any of our drug candidates receives marketing approval, it may nonetheless fail to gain sufficient market acceptance by physicians, patients, third-party payors and others in the medical community necessary for commercial success. If our drug candidates do not achieve an adequate level of acceptance, we may not generate significant revenue from drug sales and we may not become profitable. Our commercial success also depends on coverage and adequate reimbursement of our products by third-party payors, including government payors, which may be difficult or time-consuming to obtain, may be limited in scope or may not be obtained in all jurisdictions in which we may seek to market our products. The degree of market acceptance of our drug candidates, if approved for commercial sale, will depend on a number of factors, including:</w:t>
      </w:r>
    </w:p>
    <w:p>
      <w:pPr>
        <w:spacing w:after="0" w:line="178"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efficacy and perceived and potential advantages compared to alternative treatments, including any similar generics and biosimilars;</w:t>
      </w:r>
    </w:p>
    <w:p>
      <w:pPr>
        <w:spacing w:after="0" w:line="34"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market introduction relative to alternative treatment;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offer our drugs for sale at competitive prices relative to alternative treatments;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0" w:name="page41"/>
    <w:bookmarkEnd w:id="40"/>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strength of our marketing and distribution support;</w:t>
      </w:r>
    </w:p>
    <w:p>
      <w:pPr>
        <w:spacing w:after="0" w:line="9" w:lineRule="exact"/>
        <w:rPr>
          <w:rFonts w:ascii="Arial" w:cs="Arial" w:eastAsia="Arial" w:hAnsi="Arial"/>
          <w:sz w:val="18"/>
          <w:szCs w:val="18"/>
          <w:color w:val="auto"/>
        </w:rPr>
      </w:pPr>
    </w:p>
    <w:p>
      <w:pPr>
        <w:ind w:left="1040" w:right="180" w:hanging="519"/>
        <w:spacing w:after="0" w:line="250"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our products or the willingness of patients to pay out-of-pocket in the absence of coverage and adequate reimbursement by third-party payors;</w:t>
      </w: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publicity relating to the products;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restrictions on the use of our drugs together with other medications.</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focus on CNS disorders, in particular, exposes us to an increased risk that serious side effects and disease events, including suicide, will occur during patient use of our products, even if such side effects and disease events are unrelated to the use of our products. Most approved CNS medicines carry boxed warnings for clinically significant adverse events, and our products may categorically need to carry such warnings as well.</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If we are unable to establish marketing and sales capabilities or enter into agreements with third parties to market and sell our product candidates, we may not be able to effectively market and sell our product candidates, if approved, or generate product revenues.</w:t>
      </w:r>
    </w:p>
    <w:p>
      <w:pPr>
        <w:spacing w:after="0" w:line="18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We currently do not have a marketing or sales organization for the marketing, sales and distribution of pharmaceutical products. In order to commercialize any product candidates, we must build our marketing, sales, distribution, managerial and other non-technical capabilities or make arrangements with third parties to perform these services, and we may not be successful in doing so on commercially reasonable terms or at all.</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our product candidates receive regulatory approval, we intend to establish our sales and marketing organization with technical expertise and supporting distribution capabilities to commercialize our product candidates, which will be expensive and time consuming and may require substantial investments prior to any product candidate being granted regulatory approval. In selling, marketing and distributing our products ourselves, we face a number of additional risks, including:</w:t>
      </w:r>
    </w:p>
    <w:p>
      <w:pPr>
        <w:spacing w:after="0" w:line="187"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1040" w:right="20" w:hanging="519"/>
        <w:spacing w:after="0" w:line="250"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clinical benefits of our products to achieve market acceptance;</w:t>
      </w:r>
    </w:p>
    <w:p>
      <w:pPr>
        <w:ind w:left="1040" w:right="320" w:hanging="519"/>
        <w:spacing w:after="0" w:line="250"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training sales personnel on legal compliance matters and monitoring their actions;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liability for sales personnel failing to comply with the applicable legal requirements;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failure or delay in the development of our internal sales, marketing and distribution capabilities would adversely impact the commercialization of these products.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 party relationship, we may have little control over such third parties, and any of these third parties may fail to devote the necessary resources and attention to sell, market and distribute our products effectively.</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we are not successful in commercializing our product candidates, either on our own or through collaborations with one or more third parties, our future product revenue will suffer and we may incur significant additional losses.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ind w:right="1100"/>
        <w:spacing w:after="0" w:line="277" w:lineRule="auto"/>
        <w:rPr>
          <w:sz w:val="20"/>
          <w:szCs w:val="20"/>
          <w:color w:val="auto"/>
        </w:rPr>
      </w:pPr>
      <w:r>
        <w:rPr>
          <w:rFonts w:ascii="Arial" w:cs="Arial" w:eastAsia="Arial" w:hAnsi="Arial"/>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laws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marketing approval.</w:t>
      </w:r>
    </w:p>
    <w:p>
      <w:pPr>
        <w:spacing w:after="0" w:line="17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the European Union, the pricing and reimbursement of prescription drugs is controlled by each member state.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in the current economic climate in Europe. There is very limited harmonization on member state pricing and reimbursement practices in the European Union.</w:t>
      </w:r>
    </w:p>
    <w:p>
      <w:pPr>
        <w:spacing w:after="0" w:line="15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Reference pricing used by various European Union member states and parallel distribution, or arbitrage between low-priced and high-priced member states, can further reduce prices. In particular, Germany, Portugal and Spain have all introduced a number of short-term measures to lower healthcare spending, including mandatory discounts, clawbacks and price referencing rules, which could have a material adverse effect on our business.</w:t>
      </w:r>
    </w:p>
    <w:p>
      <w:pPr>
        <w:spacing w:after="0" w:line="1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40"/>
        <w:spacing w:after="0" w:line="286"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EMA,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Additionally,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commercialize our product candidates and affect the prices we may obtain.</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the United States and many foreign jurisdictions, the legislative landscape continues to evolve. There have been a number of enacted or proposed legislative and regulatory changes affecting the healthcare system and pharmaceutical industry that could, among other things, prevent or delay marketing approval of our product candidates, restrict or regulate post-approval activities and affect our ability to profitably sell any product candidate for which we obtain marketing approval.</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For example, in March 2010, President Obama signed into law the Patient Protection and Affordable Care Act, as amended by the Health Care and Education Reconciliation Act of 2010, or, collectively, the ACA, a law intended to, among other things,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Some of the provisions of the ACA have yet to be implemented, and there have been judicial and Congressional challenges to certain aspects of the ACA. In addition, the current administration and Congress will likely continue to seek legislative and regulatory changes, including repeal and replacement of certain provisions of the ACA. For example, in May 2017, the U.S. House of Representatives passed legislation known as the American Health Care Act of 2017, and in June 2017, a bill titled the Better Care Reconciliation Act of 2017 was released by U.S. Senate Republicans, but was not passed by the full Senate. The prospects for further Congressional action remain uncertain. We continue to evaluate the effect that the ACA and its possible repeal and replacement has on our business. We cannot predict the full impact of the ACA on pharmaceutical companies, as many of the ACA reforms require the promulgation of detailed regulations implementing the statutory provisions, which has not yet occurred.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 if any.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health technology assessment that compares the cost-effectiveness of our drug candidate to other available therapies. 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reimbursement of our drugs is unavailable or limited in scope or amount, or if pricing is set at unsatisfactory levels, our business could be materially harmed.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*Our international operations are subject to foreign currency and exchange rate risks.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Because we plan to continue to conduct our clinical trials in Europe, we are exposed to currency fluctuations and exchange rate risks. The costs of our CROs may be incurred in Euros and we may pay them in Euros, however, we expect to keep the substantial portion of our cash, cash equivalents and marketable securities (current and non-current) and private placement transactions, in United States Dollars. Therefore, fluctuations in foreign currencies, especially the Euro, could significantly impact our costs of conducting clinical trials. In addition, we may have to seek additional funding earlier than expected, which may not be available on acceptable terms or at all. Changes in the applicable currency exchange rates might negatively affect the profitability and business prospects of the third parties conducting our future clinical trials. This might cause such third parties to demand higher fees or discontinue their operations. These situations could in turn increase our costs or delays our clinical development, which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expect to engage in significant cross-border activities, and we will be subject to risks related to international operations, including:</w:t>
      </w:r>
    </w:p>
    <w:p>
      <w:pPr>
        <w:spacing w:after="0" w:line="225"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in foreign countries;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certain countries;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9" w:lineRule="exact"/>
        <w:rPr>
          <w:rFonts w:ascii="Arial" w:cs="Arial" w:eastAsia="Arial" w:hAnsi="Arial"/>
          <w:sz w:val="18"/>
          <w:szCs w:val="18"/>
          <w:color w:val="auto"/>
        </w:rPr>
      </w:pPr>
    </w:p>
    <w:p>
      <w:pPr>
        <w:ind w:left="1040" w:right="140" w:hanging="519"/>
        <w:spacing w:after="0" w:line="250"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data; and</w:t>
      </w:r>
    </w:p>
    <w:p>
      <w:pPr>
        <w:spacing w:after="0" w:line="9" w:lineRule="exact"/>
        <w:rPr>
          <w:rFonts w:ascii="Arial" w:cs="Arial" w:eastAsia="Arial" w:hAnsi="Arial"/>
          <w:sz w:val="18"/>
          <w:szCs w:val="18"/>
          <w:color w:val="auto"/>
        </w:rPr>
      </w:pPr>
    </w:p>
    <w:p>
      <w:pPr>
        <w:ind w:left="1040" w:right="320" w:hanging="519"/>
        <w:spacing w:after="0" w:line="261"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attracting and retaining highly qualified personnel, we may not be able to successfully implement our business strategy.</w:t>
      </w:r>
    </w:p>
    <w:p>
      <w:pPr>
        <w:spacing w:after="0" w:line="24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especially Dr. Remy Luthringer, whose services are critical to the successful implementation of our product candidate development and regulatory strategies. We do not maintain “key man” insurance policies on the lives of these individuals or the lives of any of our other employees. In order to induce valuable employees to continue their employment with us, we have provided stock options that vest over time. The value to employees of stock options that vest over time is significantly affected by movements in our stock price that are beyond our control, and may at any time be insufficient to counteract more lucrative offers from other companies.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Despite our efforts to retain valuable employees, members of our management, scientific and development teams may terminate their employment with us on short notice. Pursuant to their employment arrangements, each of our executive officers may voluntarily terminate their employment at any time by providing as little as thirty days advance notice. Our employment arrangements, other than those with our executive officers, provide for at-will employment, which means that any of our employees (other than our executive officers) could leave our employment at any time, with or without notice. The loss of the services of any of our executive officers or other key employees and our inability to find suitable replacements could potentially harm our business, financial condition and prospects. Our success also depends on our ability to continue to attract, retain and motivate highly skilled junior, mid-level, and senior managers as well as junior, mid-level, and senior scientific and medical personnel.</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not be able to attract or retain qualified management and scientific personnel in the future due to the intense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 quality candidates than what we have to offer. If we are unable to continue to attract and retain high quality personnel, the rate and success at which we can develop and commercialize product candidates will be limited.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September 30, 2017, we had eleven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181"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our clinical trials effectively;</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9" w:lineRule="exact"/>
        <w:rPr>
          <w:rFonts w:ascii="Arial" w:cs="Arial" w:eastAsia="Arial" w:hAnsi="Arial"/>
          <w:sz w:val="18"/>
          <w:szCs w:val="18"/>
          <w:color w:val="auto"/>
        </w:rPr>
      </w:pPr>
    </w:p>
    <w:p>
      <w:pPr>
        <w:ind w:left="1040" w:right="220" w:hanging="519"/>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collaborators, contractors and other third parties;</w:t>
      </w: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systems; and</w:t>
      </w:r>
    </w:p>
    <w:p>
      <w:pPr>
        <w:spacing w:after="0" w:line="9" w:lineRule="exact"/>
        <w:rPr>
          <w:rFonts w:ascii="Arial" w:cs="Arial" w:eastAsia="Arial" w:hAnsi="Arial"/>
          <w:sz w:val="18"/>
          <w:szCs w:val="18"/>
          <w:color w:val="auto"/>
        </w:rPr>
      </w:pPr>
    </w:p>
    <w:p>
      <w:pPr>
        <w:ind w:left="1040" w:right="20" w:hanging="519"/>
        <w:spacing w:after="0" w:line="261"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our compliance infrastructure and processes to ensure compliance with complex regulations and industry standards regarding us and our product candidates.</w:t>
      </w:r>
    </w:p>
    <w:p>
      <w:pPr>
        <w:spacing w:after="0" w:line="18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party to a loan and security agreement that contains operating and financial covenants that may restrict our business and financing activities.</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16, 2015, we entered into a Loan and Security Agreement with Oxford Finance LLC and Silicon Valley Bank, providing for term loans to us in an aggregate principal amount of up to $15 million, in two tranches of $10 million and $5 million, respectively. We borrowed the first tranche in January 2015. In June 2016, we irrevocably elected not to borrow the additional $5 million available under the term loans. Borrowings under this loan and security agreement are secured by substantially all of our assets, excluding certain intellectual property rights. The loan and security agreement restricts our ability, among other things, to:</w:t>
      </w:r>
    </w:p>
    <w:p>
      <w:pPr>
        <w:spacing w:after="0" w:line="188"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transfer or otherwise dispose of any of our business or property, subject to limited exceptions;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material changes to our business or management;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resulting in significant changes to the voting control of our stock;</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certain changes to our organizational structure;</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 or merge with other entities or acquire other entities;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 or create encumbrances on our assets;</w:t>
      </w:r>
    </w:p>
    <w:p>
      <w:pPr>
        <w:spacing w:after="0" w:line="9" w:lineRule="exact"/>
        <w:rPr>
          <w:rFonts w:ascii="Arial" w:cs="Arial" w:eastAsia="Arial" w:hAnsi="Arial"/>
          <w:sz w:val="18"/>
          <w:szCs w:val="18"/>
          <w:color w:val="auto"/>
        </w:rPr>
      </w:pPr>
    </w:p>
    <w:p>
      <w:pPr>
        <w:ind w:left="1040" w:right="240" w:hanging="519"/>
        <w:spacing w:after="0" w:line="250"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other than dividends paid solely in shares of our common stock, or make distributions on and, in certain cases, repurchase our stock;</w:t>
      </w: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repay subordinated indebtedness; or</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we are required under our loan agreement to comply with various affirmative operating covenants. The operating covenants and restrictions and obligations in our loan and security agreement,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loan and security agreement, which could cause all of the outstanding indebtedness under the facility to become immediately due and payable and eliminate our eligibility to receive additional loans under the agreement.</w:t>
      </w:r>
    </w:p>
    <w:p>
      <w:pPr>
        <w:spacing w:after="0" w:line="19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If we are unable to generate sufficient cash available to repay our debt obligations when they become due and payable, either as when such obligations become due, when they mature, or in the event of a default, we may not be able to obtain additional debt or equity financing on favorable terms, if at all, which may negatively impact our business operations and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Future acquisitions, mergers or joint ventures could disrupt our business and otherwise harm our business.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actively evaluate various strategic transactions on an ongoing basis and may acquire other businesses, products or technologies as well as pursue strategic alliances, joint ventures or investments in complementary businesses. We merged with Sonkei in November 2013 and acquired Mind-NRG in February 2014, but otherwise do not have any substantial experience integrating or managing acquired businesses or assets. Strategic transactions expose us to many risks, including:</w:t>
      </w:r>
    </w:p>
    <w:p>
      <w:pPr>
        <w:spacing w:after="0" w:line="187"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 as a result of such a transaction;</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9" w:lineRule="exact"/>
        <w:rPr>
          <w:rFonts w:ascii="Arial" w:cs="Arial" w:eastAsia="Arial" w:hAnsi="Arial"/>
          <w:sz w:val="18"/>
          <w:szCs w:val="18"/>
          <w:color w:val="auto"/>
        </w:rPr>
      </w:pPr>
    </w:p>
    <w:p>
      <w:pPr>
        <w:ind w:left="1040" w:right="460" w:hanging="519"/>
        <w:spacing w:after="0" w:line="250"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w:t>
      </w:r>
    </w:p>
    <w:p>
      <w:pPr>
        <w:spacing w:after="0" w:line="21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Foreign acquisitions, such as the acquisition of Mind-NRG, a Swiss company,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(including on terms that are unfavorable to us that we are unable to repay or that may place burdensome restrictions on our operations),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brought by subjects enrolled in our clinical trials, patients, healthcare providers or others using, administering or selling our products.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withdrawals or labeling revisions, marketing or promotional restrictions;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1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We do not currently carry any product liability insurance. Although we anticipate obtaining and maintaining such insurance in line with our needs for our upcoming trials, such insurance may be more costly than we anticipate and any claim that may be brought against us could result in a court judgment or settlement in an amount that is not covered, in whole or in part, by such insurance or that is in excess of the limits of such insurance coverage. We also expect our insurance policies will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78"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0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required to comply with the SEC’s rules that implement Section 404 of the Sarbanes-Oxley Act and the Committee on Sponsoring Organizations, or COSO, Report on Internal Control – Integrated Framework, which require, among other things, that we maintain effective internal controls for financial reporting and disclosure controls and procedures. Under Section 404 of the Sarbanes-Oxley Act, we are required to furnish a report by management on, among other things, the effectiveness of our internal control over financial reporting. This assessment must include disclosure of any material weaknesses identified by management in our internal control over financial reporting. A material weakness is a control deficiency, or combination of control deficiencies, in internal control over financial reporting that results in more than a reasonable possibility that a material misstatement of annual or interim financial statements will not be prevented or detected on a timely basis. Further, in our first annual report required to be filed with the SEC following the date we are no longer an “emerging growth company,” as defined in the JOBS Act, our independent registered public accounting firm will be required to attest to the effectiveness of our internal control over financial reporting.</w:t>
      </w:r>
    </w:p>
    <w:p>
      <w:pPr>
        <w:spacing w:after="0" w:line="1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compliance with Section 404 requires that we compile the system and process documentation necessary to perform an appropriate evaluation. During the evaluation and testing process, if we identify one or more material weaknesses in our internal control over financial reporting, we will be unable to assert that our internal control over financial reporting is effective. While we have established certain procedures and control over our financial reporting processes, we cannot assure you that these efforts will prevent restatements of our financial statements in the future. If we identify any future significant deficiencies or material weaknesses, the accuracy and timing of our financial reporting may be adversely affected and we may be unable to maintain compliance with securities law requirements regarding timely filing of periodic reports. In addition, investors’ perceptions that our internal controls are inadequate or that we are unable to produce accurate financial statements on a timely basis may harm our stock price and business prospects.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subject to the periodic reporting requirements of the Securities Exchange Act of 1934, as amended, or the Exchange Act. We designed our disclosure controls and procedures to reasonably assure us that the information we disclose in reports we file in accordance with the Exchange Act is accurate, complete, reviewed by management and reported within the required time period. We believe that any disclosure controls and procedures, no matter how well-conceived and operated, can provide only reasonable, not absolute, assurance that the objectives of the control system are met.</w:t>
      </w:r>
    </w:p>
    <w:p>
      <w:pPr>
        <w:spacing w:after="0" w:line="17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Prior to November 2013, we operated without full time employees, relying on the services of consultants, including representatives of our former affiliate, Care Capital LLC, to provide certain accounting and finance functions. We have since hired personnel and continue to develop our disclosure control procedures; however, if we are unsuccessful in building an appropriate infrastructure, or unable to develop procedures and controls to ensure timely and accurate reporting, we may be unable to meet our disclosure requirements under the Exchange Act, which could adversely affect the market price of our common stock and impair our access to the capital markets.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and independent contractors, such as principal investigators, CROs, manufacturers, consultants, commercial partners and vendors, could include failures to comply with EMA or FDA regulations, to provide accurate information to the FDA, to comply with manufacturing standards we have established, to comply with European,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certain activities related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sanctions, monetary penalties, and serious harm to our reputation. In addition, federal procurement laws impose substantial penalties for misconduct in connection with government contracts and require certain contractors to maintain a code of business ethics and conduct.</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adopted a code of business ethics and conduct, but it is not always possible to identify and deter employee and independent contractor misconduct, and the precautions we take to detect and prevent improper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 any of which could adversely affect our ability to operate.</w:t>
      </w:r>
    </w:p>
    <w:p>
      <w:pPr>
        <w:spacing w:after="0" w:line="18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Any relationships with healthcare professionals, principal investigators, consultants, customers (actual and potential) and third-party payors in connection with our current and future business activities may and may continue to be subject, directly or indirectly, to federal and state healthcare fraud and abuse laws, false claims laws, marketing expenditure tracking and disclosure (or “sunshine”) laws, government price reporting, and health information privacy and security laws. If we are unable to comply, or have not fully complied, with such laws, we could face penalties, contractual damages, reputational harm, diminished profits and future earnings and curtailment or restructuring of our operations.</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business operations and activities may be directly, or indirectly, subject to various federal, state and local healthcare laws, including, without limitation, the federal Anti-Kickback Statute and the federal False Claims Act. These laws may impact, among other things, our current activities with principal investigators and research subjects, as well as proposed and future sales, marketing and education programs. In addition, we may be subject to patient data privacy and security regulation by the federal government, state governments and foreign jurisdictions in which we conduct our business. The healthcare laws and regulations that may affect our ability to operate include, but are not limited to:</w:t>
      </w:r>
    </w:p>
    <w:p>
      <w:pPr>
        <w:spacing w:after="0" w:line="173" w:lineRule="exact"/>
        <w:rPr>
          <w:sz w:val="20"/>
          <w:szCs w:val="20"/>
          <w:color w:val="auto"/>
        </w:rPr>
      </w:pPr>
    </w:p>
    <w:p>
      <w:pPr>
        <w:ind w:left="1040" w:right="60" w:hanging="519"/>
        <w:spacing w:after="0" w:line="26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w:t>
      </w:r>
    </w:p>
    <w:p>
      <w:pPr>
        <w:spacing w:after="0" w:line="3" w:lineRule="exact"/>
        <w:rPr>
          <w:rFonts w:ascii="Arial" w:cs="Arial" w:eastAsia="Arial" w:hAnsi="Arial"/>
          <w:sz w:val="17"/>
          <w:szCs w:val="17"/>
          <w:color w:val="auto"/>
        </w:rPr>
      </w:pPr>
    </w:p>
    <w:p>
      <w:pPr>
        <w:ind w:left="104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civil False Claims Act, which imposes civil penalties, including through civil whistleblower or qui tam actions, against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w:t>
      </w:r>
    </w:p>
    <w:p>
      <w:pPr>
        <w:spacing w:after="0" w:line="2" w:lineRule="exact"/>
        <w:rPr>
          <w:rFonts w:ascii="Arial" w:cs="Arial" w:eastAsia="Arial" w:hAnsi="Arial"/>
          <w:sz w:val="18"/>
          <w:szCs w:val="18"/>
          <w:color w:val="auto"/>
        </w:rPr>
      </w:pPr>
    </w:p>
    <w:p>
      <w:pPr>
        <w:ind w:left="1040" w:right="34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criminal False Claims Act, which imposes criminal fines or imprisonment against individuals or entities who make or present a claim to the government knowing such claim to be false, fictitious or fraudulent.</w:t>
      </w:r>
    </w:p>
    <w:p>
      <w:pPr>
        <w:ind w:left="1040" w:right="80" w:hanging="519"/>
        <w:spacing w:after="0" w:line="255"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8" w:name="page49"/>
    <w:bookmarkEnd w:id="48"/>
    <w:p>
      <w:pPr>
        <w:ind w:left="1040" w:right="240" w:hanging="519"/>
        <w:spacing w:after="0" w:line="25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Veterans Health Care Act of 1992 that requires manufacturers of “covered drugs” to offer them for sale to certain federal agencies, including but not limited to, the Department of Veterans Affairs, on the Federal Supply Schedule, which requires compliance with applicable federal procurement laws and regulations and subjects manufacturers to contractual remedies as well as administrative, civil and criminal sanctions.</w:t>
      </w:r>
    </w:p>
    <w:p>
      <w:pPr>
        <w:spacing w:after="0" w:line="2" w:lineRule="exact"/>
        <w:rPr>
          <w:rFonts w:ascii="Arial" w:cs="Arial" w:eastAsia="Arial" w:hAnsi="Arial"/>
          <w:sz w:val="18"/>
          <w:szCs w:val="18"/>
          <w:color w:val="auto"/>
        </w:rPr>
      </w:pPr>
    </w:p>
    <w:p>
      <w:pPr>
        <w:ind w:left="1040" w:right="120" w:hanging="519"/>
        <w:spacing w:after="0" w:line="265"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 w:lineRule="exact"/>
        <w:rPr>
          <w:rFonts w:ascii="Arial" w:cs="Arial" w:eastAsia="Arial" w:hAnsi="Arial"/>
          <w:sz w:val="17"/>
          <w:szCs w:val="17"/>
          <w:color w:val="auto"/>
        </w:rPr>
      </w:pPr>
    </w:p>
    <w:p>
      <w:pPr>
        <w:ind w:left="1040" w:right="200" w:hanging="519"/>
        <w:spacing w:after="0" w:line="265"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1" w:lineRule="exact"/>
        <w:rPr>
          <w:rFonts w:ascii="Arial" w:cs="Arial" w:eastAsia="Arial" w:hAnsi="Arial"/>
          <w:sz w:val="17"/>
          <w:szCs w:val="17"/>
          <w:color w:val="auto"/>
        </w:rPr>
      </w:pPr>
    </w:p>
    <w:p>
      <w:pPr>
        <w:ind w:left="1040" w:right="380" w:hanging="519"/>
        <w:spacing w:after="0" w:line="281"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3" w:lineRule="exact"/>
        <w:rPr>
          <w:rFonts w:ascii="Arial" w:cs="Arial" w:eastAsia="Arial" w:hAnsi="Arial"/>
          <w:sz w:val="16"/>
          <w:szCs w:val="16"/>
          <w:color w:val="auto"/>
        </w:rPr>
      </w:pPr>
    </w:p>
    <w:p>
      <w:pPr>
        <w:ind w:left="1040" w:right="640" w:hanging="519"/>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and other activities that potentially harm consumers.</w:t>
      </w:r>
    </w:p>
    <w:p>
      <w:pPr>
        <w:ind w:left="1040" w:right="220" w:hanging="519"/>
        <w:spacing w:after="0" w:line="281"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false claims, consumer protection and unfair competition laws which may apply to our business practices, including but not limited to our research, distribution, sales and marketing arrangements and our practices for submitting claims involving healthcare items or services reimbursed by any third-party payors, including commercial insurers.</w:t>
      </w:r>
    </w:p>
    <w:p>
      <w:pPr>
        <w:spacing w:after="0" w:line="2" w:lineRule="exact"/>
        <w:rPr>
          <w:rFonts w:ascii="Arial" w:cs="Arial" w:eastAsia="Arial" w:hAnsi="Arial"/>
          <w:sz w:val="16"/>
          <w:szCs w:val="16"/>
          <w:color w:val="auto"/>
        </w:rPr>
      </w:pPr>
    </w:p>
    <w:p>
      <w:pPr>
        <w:ind w:left="1040" w:right="60"/>
        <w:spacing w:after="0" w:line="287" w:lineRule="auto"/>
        <w:rPr>
          <w:rFonts w:ascii="Arial" w:cs="Arial" w:eastAsia="Arial" w:hAnsi="Arial"/>
          <w:sz w:val="16"/>
          <w:szCs w:val="16"/>
          <w:color w:val="auto"/>
        </w:rPr>
      </w:pPr>
      <w:r>
        <w:rPr>
          <w:rFonts w:ascii="Arial" w:cs="Arial" w:eastAsia="Arial" w:hAnsi="Arial"/>
          <w:sz w:val="16"/>
          <w:szCs w:val="16"/>
          <w:color w:val="auto"/>
        </w:rPr>
        <w:t>State laws may also (1) require that pharmaceutical companies comply with the pharmaceutical industry’s voluntary compliance guidelines and the relevant compliance guidance promulgated by the federal government that otherwise restrict the payments that may be made to healthcare providers, (2) require that drug manufacturers file reports with states regarding marketing information, such as the tracking and reporting of gifts, compensations and other remuneration and items of value provided to healthcare professionals and entities (compliance with such requirements may require investment in infrastructure to ensure that tracking is performed properly, and some of these laws result in the public disclosure of various types of payments and relationships, which could potentially have a negative effect on a pharmaceutical company’s business and/or increase enforcement scrutiny of its activities) and (3) govern the privacy and security of health information in certain circumstances. State laws are not uniform, may differ from each other in significant ways and may be applied with differing effects.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any sales of our products or product candidates once commercialized outside the United States will also likely subject us to foreign equivalents of the healthcare laws mentioned above, among other foreign laws such as, for instance, the UK Bribery Act 2010 other national anti-corruption legislation made as a consequence of a member states’ adherence to the OECD Convention on Combating Bribery of Foreign Public Officials in International Business Transactions, the European Union data protection regime set out in Directive 95/46/EC as implemented nationally by the member states, and European Union consumer laws protecting against defective products, including Directive 85/374/EEC. In addition, there are national laws and codes which are comparable to the United States “sunshine laws,” including certain provisions under the UK ABPI Code of Practice and French disclosure requirements on manufacturers to publicly disclose interactions with French health care professionals.</w:t>
      </w:r>
    </w:p>
    <w:p>
      <w:pPr>
        <w:spacing w:after="0" w:line="17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If our operations are found to be in violation of any of the laws described above or any other governmental regulations that apply to us, we may be subject to, without limitation,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 any of which could adversely affect our ability to operate.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We are subject to the Foreign Corrupt Practices Act.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Foreign Corrupt Practices Act, or FCPA, is a United States law that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and our service providers are subject to EU data protection laws. Failure to comply with such laws could harm our financial condition and operating results and involve distraction from other aspects of our business.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October 2015, the Court of Justice of the European Union, or CJEU, invalidated the EU-U.S. Safe Harbor Framework, which had established a means for legitimating the transfer of personal data, as the term is used in the context of the EU Data Protection Directive, to the U.S. and required U.S.-based companies that have certified with the Department of Commerce as part of the Safe Harbor Framework to provide assurance that they are adhering to relevant European standards for data protection. As Minerva is not Safe Harbor certified, the CJEU’s ruling invalidating the Safe Harbor has no direct effect on Minerva’s own compliance with EU data protection laws; however, in light of the CJEU’s recent decision, we are reviewing the practices of third party service providers with whom we work, which include the transfer of personal data between the European Economic Area, or EEA, and the U.S. to ensure that all data transfers to us comply with EU data protection laws. In February 2016, the EU Commission announced that it had reached agreement with the U.S. replacement regime to the Safe Harbor Framework, which is expected to be ratified in the EU in the next three to four months. We require our EEA-based services providers, and U.S.-based service providers undertaking clinical trials on our behalf in the EEA, to confirm that all of the personal data which we receive from them is legitimately transferred to us. In many cases we believe that patients and subjects consent to the transfer of their data in a manner which satisfies the requirements of EU data protection law. Where appropriate and pending the ratification of the replacement regime, we may require third party service providers to adopt an alternative means of legitimizing data transfers from the EEA, such as the Standard Contractual Clauses which have been approved by the EU Commission as a means of transferring data to the U.S. These confirmations and, if necessary, additional actions may involve substantial time and expense to both Minerva and its third party service providers, and could divert management’s attention and resources from other aspects of our business. If data transfers to the U.S. are not legitimized, the EU data protection authorities can impose a number of different sanctions, including fines and, ultimately, a prohibition on transfers, any of which could harm our business, financial condition and operating results.</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*There can be no assurance we will achieve Breakthrough Therapy designation with the FDA for any of our product candidates. Even if we are able to achieve Breakthrough Therapy designation with the FDA for our product candidates, it may not lead to a faster development or regulatory review or approval process, and it does not increase the likelihood that our product candidates will receive marketing approval.</w:t>
      </w:r>
    </w:p>
    <w:p>
      <w:pPr>
        <w:spacing w:after="0" w:line="16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MIN-101 product candidate was initially denied Breakthrough Therapy designation by the FDA in June 2017, but we may in the future re-submit our request or seek Breakthrough Therapy designation for one or more of our other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currently rely and continue to expect to rely on third parties to conduct our future clinical trials. The failure of these third parties to successfully carry out their contractual duties or meet expected deadlines could substantially harm our business because we may not obtain regulatory approval for or commercialize our product candidates in a timely manner or at all.</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plan to rely upon third-party CROs to monitor and manage data for our future clinical programs. We will rely on these parties for execution of our clinical trials, and control only certain aspects of their activities. Nevertheless, we are responsible for ensuring that each of our studies is conducted in accordance with the applicable protocol and legal, regulatory and scientific standards, and our reliance on the CROs does not relieve us of our regulatory responsibilities. We and our CROs are required to comply with current GCPs, which are regulations and guidelines enforced by the FDA, the Competent Authorities of the Member States of the European Economic Area and comparable foreign regulatory authorities for all of our products in clinical development. Regulatory authorities enforce these GCPs through periodic inspections of trial sponsors, principal investigators and trial sites. If we or any of our CROs fail to comply with applicable GCP, the clinical data generated in our clinical trials may be deemed unreliable and the EMA, FDA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we must conduct our clinical trials with product produced under cGMP requirements. Failure to comply with these regulations may require us to repeat pre-clinical and clinical trials, which would delay the regulatory approval process.</w:t>
      </w:r>
    </w:p>
    <w:p>
      <w:pPr>
        <w:spacing w:after="0" w:line="1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CROs are not our employees, and except for remedies available to us under our agreements with such CROs, we cannot control whether or not they devote sufficient time and resources to our ongoing clinical, nonclinical and pre-clinical programs. These CROs may also have relationships with other commercial entities, including our competitors, for whom they may also be conducting clinical trials or other drug development activities that could harm our competitive position. If necessary, 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prospects, financial condition and results of operations.</w:t>
      </w:r>
    </w:p>
    <w:p>
      <w:pPr>
        <w:spacing w:after="0" w:line="192"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we may need to conduct additional trials,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adversely affected.</w:t>
      </w:r>
    </w:p>
    <w:p>
      <w:pPr>
        <w:spacing w:after="0" w:line="178"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b w:val="1"/>
          <w:bCs w:val="1"/>
          <w:i w:val="1"/>
          <w:iCs w:val="1"/>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do not have any manufacturing facilities. For our product candidates, we rely, and expect to continue to rely, on third parties for the manufacturing of our drug candidates for pre-clinical and clinical testing, as well as for commercial manufacture if any of our drug candidates receive marketing approval. This reliance on third parties increases the risk that we will not have sufficient quantities of our drug candidates or drugs, or such quantities at an acceptable cost or quality, which could delay, prevent or impair our ability to timely conduct our clinical trials or our other development or commercialization efforts.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expect to rely on third-party manufacturers or third-party collaborators for the manufacturing of commercial supply of any other drug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8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and costs associated with changing suppliers, including additional regulatory filings;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1" w:name="page52"/>
    <w:bookmarkEnd w:id="51"/>
    <w:p>
      <w:pPr>
        <w:ind w:right="120"/>
        <w:spacing w:after="0" w:line="288" w:lineRule="auto"/>
        <w:rPr>
          <w:sz w:val="20"/>
          <w:szCs w:val="20"/>
          <w:color w:val="auto"/>
        </w:rPr>
      </w:pPr>
      <w:r>
        <w:rPr>
          <w:rFonts w:ascii="Arial" w:cs="Arial" w:eastAsia="Arial" w:hAnsi="Arial"/>
          <w:sz w:val="16"/>
          <w:szCs w:val="16"/>
          <w:color w:val="auto"/>
        </w:rPr>
        <w:t>Moreover, the facilities used by our contract manufacturers to manufacture our products must be approved by the FDA pursuant to inspections that will be conducted after we submit our marketing application to the FDA. Other national regulatory authorities have comparable powers. While we are ultimately responsible for the manufacture of our product candidates, other than through our contractual arrangements, we do not control the manufacturing process of, and are completely dependent on, our contract manufacturing partners for compliance with cGMP requirements,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and/or maintain regulatory approval for their manufacturing facilities.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 our suppliers are subject to regulatory requirements, covering manufacturing, testing, quality control, and record keeping relating to our product candidates,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Additionally, our failure, or the failure of our third-party manufacturers, to comply with applicable regulations could result in sanctions being imposed on us, including clinical hold or termination, fines, imprisonment, injunctions, civil penalties, delays, suspension or withdrawal of approvals, license revocation, seizures, refusal to allow product import or export, Warning Letters, Untitled Letters, or recalls of drug candidates or drugs, operating restrictions and criminal prosecutions, any of which could significantly and adversely affect supplies of our drugs.</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If our current contract manufacturers cannot perform as agreed, we may be required to replace such manufacturers and we may incur added costs and delays in identifying and qualifying any such replacement.</w:t>
      </w:r>
    </w:p>
    <w:p>
      <w:pPr>
        <w:spacing w:after="0" w:line="1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manufacturing of our drug candidates or drugs may adversely affect our future profit margins and our ability to commercialize any drugs that receive marketing approval on a timely and competitive basis.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or will be subject to federal, state and local laws in the United States and in Europe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federal authorities or other equivalent national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is expensive, and current or future environmental regulations may impair our research, development and production efforts, which could harm our business, prospects, financial condition or results of operations.</w:t>
      </w:r>
    </w:p>
    <w:p>
      <w:pPr>
        <w:spacing w:after="0" w:line="1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engage third party collaborators to market and commercialize our product candidates, who may fail to effectively commercialize our product candidates.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may utilize strategic partners or contract sales forces, where appropriate, to assist in the commercialization of our product candidates, if approved. We currently possess limited resources and may not be successful in establishing collaborations or co-promotion arrangements on acceptable terms, if at all. We also face competition in our search for collaborators and co-promoters. By entering into strategic collaborations or similar arrangements, we will rely on third parties for financial resources and for development, commercialization, sales and marketing and regulatory expertise. Any collaborators may fail to develop or effectively commercialize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ind w:right="80"/>
        <w:spacing w:after="0" w:line="297" w:lineRule="auto"/>
        <w:rPr>
          <w:sz w:val="20"/>
          <w:szCs w:val="20"/>
          <w:color w:val="auto"/>
        </w:rPr>
      </w:pPr>
      <w:r>
        <w:rPr>
          <w:rFonts w:ascii="Arial" w:cs="Arial" w:eastAsia="Arial" w:hAnsi="Arial"/>
          <w:sz w:val="16"/>
          <w:szCs w:val="16"/>
          <w:color w:val="auto"/>
        </w:rPr>
        <w:t>our product candidates because they cannot obtain the necessary regulatory approvals, they lack adequate financial or other resources or they decide to focus on other initiatives. Any failure to enter into collaboration or co-promotion arrangements or the failure of our third party collaborators to successfully market and commercialize our product candidates would diminish our revenues and harm our results of operations. In addition, conflicts may arise with our collaborators, such as conflicts concerning the interpretation of clinical data, the achievement of milestones, the interpretation of financial provisions or the ownership of intellectual property. If any conflicts arise with our collaborators, they may act in their self-interest, which may be adverse to our best interest.</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depend on our collaborations with Mitsubishi Tanabe Pharma Corporation, or MTPC, and Janssen Pharmaceutica NV and could be seriously harmed if our license agreements with MTPC and Janssen were terminated.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exclusively license MIN-101 and MIN-117 from MTPC, with the rights to develop, sell and import MIN-101 and MIN-117 globally, excluding most of Asia.</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co-development and license agreement with Janssen provides us with European Union commercialization rights for seltrorexant and the right to royalties on any sales of seltrorexant outside of the European Union. We have assumed strategic control for clinical development of seltorexant in insomnia and all financial responsibility for Phase 3 development costs for seltorexant in this indication and will only realize revenues from seltrorexant if it is approved and if our license agreement with Janssen is not terminated by Janssen. Janssen may terminate our license agreement following a material breach by us or certain insolvency events, including if we are unable to fund our portion of the development costs. As a result, we may never realize any revenues from the commercialization of seltrorexant, even if approved. In addition, at certain development milestones, including the completion of a single dose Phase 1 clinical trial of seltrorexant in patients with MDD, Janssen has the right to opt out of its obligation to fund further development, and we may be unable to fund such development without Janssen’s financial support.</w:t>
      </w:r>
    </w:p>
    <w:p>
      <w:pPr>
        <w:spacing w:after="0" w:line="1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Even if we receive revenues on European Union sales or royalties on sales outside of the European Union under the Janssen license agreement, we may not receive revenues that equal or exceed the amount we are obligated to invest in seltrorexant’s clinical development under the agreement. As a result, the license agreement for seltrorexant may never result in any profits to us and may have a material adverse effect on us or our business prospects.</w:t>
      </w:r>
    </w:p>
    <w:p>
      <w:pPr>
        <w:spacing w:after="0" w:line="14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new collaborations which could adversely affect our ability to develop future product candidates and commercialize future products.</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collaborating with Janssen on the development of seltrorexant. We may also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collaborations or other alternative arrangements for any future product candidates because our research and development pipeline may be insufficient, our product candidates may be deemed to be at too early of a stage of development for collaboration efforts and/or third parties may view our product candidates as lacking the requisite potential to demonstrate safety and efficacy. As a result, we may have to delay the development of a product candidate and attempt to raise significant additional capital to fund development.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None of these licenses give us the right to prepare, file and prosecute patent applications and maintain patents we have licensed, although we may provide comments on prosecution matters, which our licensors may or may not choose to follow. If our licensors elect to discontinue prosecution or maintenance of our licensed patents, we have the right, at our expense, to pursue and maintain those patents and applications.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3" w:name="page54"/>
    <w:bookmarkEnd w:id="53"/>
    <w:p>
      <w:pPr>
        <w:ind w:right="20"/>
        <w:spacing w:after="0" w:line="289" w:lineRule="auto"/>
        <w:rPr>
          <w:sz w:val="20"/>
          <w:szCs w:val="20"/>
          <w:color w:val="auto"/>
        </w:rPr>
      </w:pPr>
      <w:r>
        <w:rPr>
          <w:rFonts w:ascii="Arial" w:cs="Arial" w:eastAsia="Arial" w:hAnsi="Arial"/>
          <w:sz w:val="16"/>
          <w:szCs w:val="16"/>
          <w:color w:val="auto"/>
        </w:rPr>
        <w:t>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 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that protect our technology or products, in whole or in part, or that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our product candidates might expire before or shortly after our product candidates obtain regulatory approval, which may subject us to increased competition and reduce or eliminate our ability to recover our development costs. As a result, our owned and licensed patent portfolio may not provide us with sufficient rights to exclude others from commercializing products similar or identical to ours. For example, our in-licensed U.S. and European patents covering composition of matter and pharmaceutical compositions of MIN-101, respectively, are expected to expire as soon as 2021. In addition, our in-licensed U.S. and European patents relating to pharmaceutical compositions and uses of MIN-117 to treat depression are expected to expire as soon as 2020. Finally, any patent that grants from our U.S. patent applications relating to methods of using MIN-301 to treat neurologic and psychiatric diseases is expected to expire as early as 2028. Although we expect to seek extensions of patent terms where available, including in the United States under the Drug Price Competition and Patent Term Restoration Act of 1984, which permits a patent term extension of up to five years beyond the expiration of the patent, we cannot be certain that an extension will be granted, or if granted, what the applicable time period or the scope of patent protection afforded during any extended period will be. The applicable authorities, including the EMA, FDA,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w:t>
      </w:r>
    </w:p>
    <w:p>
      <w:pPr>
        <w:spacing w:after="0" w:line="18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expiration of composition of matter patent protection with respect to one or more of our product candidates may diminish our ability to maintain a proprietary position for our intended uses of a particular product candidate. Moreover, we cannot be certain that we will be the first applicant to obtain an FDA approval for any indication of one or more of our product candidates and we cannot be certain that it will be entitled to new chemical entity, or NCE, exclusivity. Such diminution of our proprietary position could have a material adverse effect on our business, results of operations and financial condition.</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a party to and rely on several arrangements with third parties, which give us rights to intellectual property that is necessary for the development of our product candidates. In addition, we may enter into similar arrangements in the future. Our current arrangements impose various development, royalty and other obligations on us. If we materially breach these obligations or if our counterparts fail to adequately perform their respective obligations, these exclusive arrangements could be terminated, which would result in our inability to develop, manufacture and sell products that are covered by such intellectual property.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right="5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Competitors may infringe our issued patents or other intellectual property. In some cases, it may be difficult or impossible to detect third-party infringement or misappropriation of our intellectual property rights, even in relation to issued patent claims, and proving any such infringement may be even more difficult. Accordingly, for such undetectable infringement or misappropriation our ability to recover damages will be negligible and we could be at a market disadvantage because we may lack the resources of some of our competitors to monitor for and detect infringement.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any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license or acquire additional patents and intellectual property rights.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One or more third parties may hold intellectual property rights, including patent rights,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If we were not able to obtain a license, or were not able to obtain a license on commercially reasonable terms, our business could be harmed, possibly materially.</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commercial success depends upon our ability to develop, manufacture, market and sell our products, and to use our related proprietary technologies. We may become party to, or threatened with, future adversarial proceedings or litigation regarding intellectual property rights with respect to our products, including interference or derivation proceedings before the U.S. Patent and Trademark Office, or the USPTO. Third parties may assert infringement claims against us based on existing patents or patents that may be granted in the future. If we are found to infringe a third party’s intellectual property rights, we could be required to obtain a license from such third party to continue commercializing our products. However, we may not be able to obtain any required license on commercially reasonable terms or at all. Under certain circumstances, we could be forced, including by court order, to cease commercializing our products. In addition, in any such proceeding or litigation, we could be found liable for monetary damages. Regardless of the outcome, such claims or litigation may be time-consuming and costly to defend, divert management resources and have other adverse effects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Restrictions on our patent rights relating to our product candidates may limit our ability to prevent third parties from competing against us.</w:t>
      </w:r>
    </w:p>
    <w:p>
      <w:pPr>
        <w:spacing w:after="0" w:line="23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success will depend, in part, on our ability to obtain and maintain patent protection for our product candidates, preserve our trade secrets, prevent third parties from infringing upon our proprietary rights and operate without infringing upon the proprietary rights of others. Composition-of-matter patents on the biological or chemical active pharmaceutical ingredient are generally considered to be the strongest form of intellectual property protection for pharmaceutical products, as such patents provide protection without regard to any method of use. We have filed and in-licensed composition-of-matter patent applications for all of our product candidates. However, we cannot be certain that the claims in our patent applications to inventions covering our product candidates will be considered patentable by the USPTO and courts in the United States or by the patent offices and courts in foreign countries.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composition-of-matter patents and patent applications, we also have filed method-of-use patent applications. This type of patent protects the use of the product only for the specified method. However, this type of patent does not prevent a competitor from making and marketing a product that is identical to our product for an indication that is outside the scope of the patented method. Moreover, even if these competitors do not actively promote their product for our targeted indication, physicians may prescribe these products “off-label.” Although off-label prescriptions may infringe or contribute to the infringement of method-of-use patents, the practice is common and such infringement is difficult to prevent or prosecute.</w:t>
      </w:r>
    </w:p>
    <w:p>
      <w:pPr>
        <w:spacing w:after="0" w:line="17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Patent applications in the United States and most other countries are confidential for a period of time until they are published, and publication of discoveries in scientific or patent literature typically lags actual discoveries by several months or more. As a result, we cannot be certain that we and the inventors of the issued patents and applications that we may in-license were the first to conceive of the inventions covered by such patents and pending patent applications or that we and those inventors were the first to file patent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100"/>
        <w:spacing w:after="0" w:line="264" w:lineRule="auto"/>
        <w:rPr>
          <w:sz w:val="20"/>
          <w:szCs w:val="20"/>
          <w:color w:val="auto"/>
        </w:rPr>
      </w:pPr>
      <w:r>
        <w:rPr>
          <w:rFonts w:ascii="Arial" w:cs="Arial" w:eastAsia="Arial" w:hAnsi="Arial"/>
          <w:sz w:val="18"/>
          <w:szCs w:val="18"/>
          <w:color w:val="auto"/>
        </w:rPr>
        <w:t>applications covering such inventions. Also, we have a number of issued patents and numerous patent applications pending before the USPTO and foreign patent offices and the patent protection may lapse before we manage to obtain commercial value from them, which might result in increased competition and materially affect our position in the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the United States Congress, the federal courts, and the USPTO, the laws and regulations governing patents could change in unpredictable ways that would weaken our and our licensors’ or collaborators’ ability to obtain new patents or to enforce existing and future patents.</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or collaborators’ patent applications and the enforcement or defense of our or our licensors’ or collaborators’ issued patents. For example, the Leahy-Smith America Invents Act, or the America Invents Act, includes provisions that affect the way patent applications are prosecuted and may also affect patent litigation. The USPTO developed new regulations and procedures to govern administration of the America Invents Act, and many of the substantive changes to patent law associated with the America Invents Act, and in particular, the first to file provisions, are now effective. While it is still not clear what, if any, impact the America Invents Act will have on the operation of our business, the America Invents Act and its implementation could increase the uncertainties and costs surrounding the prosecution of our or our licensors’ or collaborators’ patent applications and the enforcement or defense of our or our licensors’ or collaborators’ issued patents, all of which could have a material adverse effect on our business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Filing, prosecuting and defending patents on all of our product candidates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in jurisdictions where we do not have any issued patents and our patent claims or other intellectual property rights may not be effective or sufficient to prevent them from so competing.</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70" w:lineRule="exact"/>
        <w:rPr>
          <w:sz w:val="20"/>
          <w:szCs w:val="20"/>
          <w:color w:val="auto"/>
        </w:rPr>
      </w:pPr>
    </w:p>
    <w:p>
      <w:pPr>
        <w:ind w:left="1040" w:right="80" w:hanging="519"/>
        <w:spacing w:after="0" w:line="258"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1" w:lineRule="exact"/>
        <w:rPr>
          <w:rFonts w:ascii="Arial" w:cs="Arial" w:eastAsia="Arial" w:hAnsi="Arial"/>
          <w:sz w:val="18"/>
          <w:szCs w:val="18"/>
          <w:color w:val="auto"/>
        </w:rPr>
      </w:pPr>
    </w:p>
    <w:p>
      <w:pPr>
        <w:ind w:left="1040" w:right="180" w:hanging="519"/>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licensors or strategic partners might not have been the first to make the inventions covered by the issued patents or pending patent applications that we own or have exclusively licensed.</w:t>
      </w: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licensors or strategic partners might not have been the first to file patent applications covering certain of our inventions.</w:t>
      </w:r>
    </w:p>
    <w:p>
      <w:pPr>
        <w:spacing w:after="0" w:line="9" w:lineRule="exact"/>
        <w:rPr>
          <w:rFonts w:ascii="Arial" w:cs="Arial" w:eastAsia="Arial" w:hAnsi="Arial"/>
          <w:sz w:val="18"/>
          <w:szCs w:val="18"/>
          <w:color w:val="auto"/>
        </w:rPr>
      </w:pPr>
    </w:p>
    <w:p>
      <w:pPr>
        <w:ind w:left="1040" w:right="160" w:hanging="519"/>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1040" w:right="540" w:hanging="519"/>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ind w:left="1040" w:right="760" w:hanging="519"/>
        <w:spacing w:after="0" w:line="265"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of our employees and contractors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invention and patent assignment agreements with our employees and consultants that obligate them to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cannot predict what the market price of our common stock will be and, as a result, it may be difficult for you to sell your shares of our common stock.</w:t>
      </w:r>
    </w:p>
    <w:p>
      <w:pPr>
        <w:spacing w:after="0" w:line="26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An inactive market may impair our ability to raise capital by selling shares of our common stock and may impair our ability to enter into strategic partnerships or acquire companies or products by using our shares of common stock as consideration.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response to various factors, some of which we cannot control. In addition to the factors discussed in this “Risk Factors” section these factors include:</w:t>
      </w:r>
    </w:p>
    <w:p>
      <w:pPr>
        <w:spacing w:after="0" w:line="170"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9" w:lineRule="exact"/>
        <w:rPr>
          <w:rFonts w:ascii="Arial" w:cs="Arial" w:eastAsia="Arial" w:hAnsi="Arial"/>
          <w:sz w:val="18"/>
          <w:szCs w:val="18"/>
          <w:color w:val="auto"/>
        </w:rPr>
      </w:pPr>
    </w:p>
    <w:p>
      <w:pPr>
        <w:ind w:left="1040" w:right="820" w:hanging="519"/>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0"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including coverage and reimbursement;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To our knowledge, our executive officers, directors, holders of 5% or more of our capital stock and their respective affiliates beneficially own approximately 68% of our voting stock as of December 31, 2016. Accordingly,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24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existing stockholders sell, or if the market perceives that our existing stockholders intend to sell, substantial amounts of our common stock in the public market, the market price of our common stock could decline significantly.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58" w:name="page59"/>
    <w:bookmarkEnd w:id="58"/>
    <w:p>
      <w:pPr>
        <w:ind w:right="400"/>
        <w:spacing w:after="0" w:line="308" w:lineRule="auto"/>
        <w:rPr>
          <w:sz w:val="20"/>
          <w:szCs w:val="20"/>
          <w:color w:val="auto"/>
        </w:rPr>
      </w:pPr>
      <w:r>
        <w:rPr>
          <w:rFonts w:ascii="Arial" w:cs="Arial" w:eastAsia="Arial" w:hAnsi="Arial"/>
          <w:sz w:val="17"/>
          <w:szCs w:val="17"/>
          <w:b w:val="1"/>
          <w:bCs w:val="1"/>
          <w:i w:val="1"/>
          <w:iCs w:val="1"/>
          <w:color w:val="auto"/>
        </w:rPr>
        <w:t>Our management will continue to have broad discretion over the use of the proceeds we received in our public offerings, private placements, warrant exercises and term loans and might not apply the proceeds in ways that increase the value of your investment.</w:t>
      </w:r>
    </w:p>
    <w:p>
      <w:pPr>
        <w:spacing w:after="0" w:line="14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Our management will continue to have broad discretion to use the net proceeds from our public offerings, private placements warrant exercises and term loans and you will be relying on the judgment of our management regarding the application of these proceeds. Our management might not apply our net proceeds in ways that ultimately increase the value of your investment. Because of the number and variability of factors that will determine our use of the remaining net proceeds from our initial public offering, follow-on public offering and other financing transactions, their ultimate use may vary substantially from their currently intended use. If we do not invest or apply the net proceeds from our public offerings, private placements, warrant exercises and term loans in ways that enhance stockholder value, we may fail to achieve the expected financial results, which could cause our stock price to decline.</w:t>
      </w:r>
    </w:p>
    <w:p>
      <w:pPr>
        <w:spacing w:after="0" w:line="16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Future sales and issuances of equity and debt securities could result in additional dilution to our stockholders and could place restrictions on our operations and assets, and such securities could have rights, preferences and privileges senior to those of our common stock.</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expect that significant additional capital will be needed in the future to fund our planned operations, including to complete clinical trials for our product candidates. To raise capital, we may sell common stock, convertible securities or other equity securities in one or more transactions at prices and in a manner we determine from time to time. If we sell common stock, convertible securities or other equity securities, existing stockholders may be materially diluted by subsequent sales, and new investors could gain rights, preferences and privileges senior to the holders of our common stock.</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Pursuant to our Amended and Restated 2013 Equity Incentive Plan, our management is authorized to grant up to 5,781,333 stock options or awards to our employees, directors and consultants, and the number of shares of our common stock reserved for future issuance under the plan will be subject to automatic annual increases in accordance with the terms of the plan. To the extent that new options are granted and exercised or we issue additional shares of common stock in the future, our stockholders may experience additional dilution, which could cause our stock price to fall.</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7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or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year in which we completed our initial public offering, although circumstances could cause us to lose that status earlier, including if the market value of our common stock held by non-affiliates exceeds $700.0 million as of any June 30 before that time or if we have total annual gross revenue of $1.0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and demands upon management as a result of being a public company.</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a public company listed in the United States, we incur significant additional legal, accounting and other costs. We are subject to the reporting requirements of the Exchange Act, which requires, among other things, that we file with the Securities and Exchange Commission, or the SEC, annual, quarterly and current reports with respect to our business and financial condition.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invest resources to comply with evolving laws, regulations and standards, and this investment results in increased general and administrative expenses and a diversion of management’s time and attention. If we do not comply with new laws, regulations and standards, regulatory authorities may initiate legal proceedings against us and our business may be harmed.</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ind w:right="140"/>
        <w:spacing w:after="0" w:line="277" w:lineRule="auto"/>
        <w:rPr>
          <w:sz w:val="20"/>
          <w:szCs w:val="20"/>
          <w:color w:val="auto"/>
        </w:rPr>
      </w:pPr>
      <w:r>
        <w:rPr>
          <w:rFonts w:ascii="Arial" w:cs="Arial" w:eastAsia="Arial" w:hAnsi="Arial"/>
          <w:sz w:val="18"/>
          <w:szCs w:val="18"/>
          <w:color w:val="auto"/>
        </w:rPr>
        <w:t>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ind w:right="100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0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225"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a classified board of directors such that not all members of the board are elected at one time;</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allowing the authorized number of directors to be changed only by resolution of our board of directors;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the removal of directors by the stockholders;</w:t>
      </w:r>
    </w:p>
    <w:p>
      <w:pPr>
        <w:spacing w:after="0" w:line="9" w:lineRule="exact"/>
        <w:rPr>
          <w:rFonts w:ascii="Arial" w:cs="Arial" w:eastAsia="Arial" w:hAnsi="Arial"/>
          <w:sz w:val="18"/>
          <w:szCs w:val="18"/>
          <w:color w:val="auto"/>
        </w:rPr>
      </w:pPr>
    </w:p>
    <w:p>
      <w:pPr>
        <w:ind w:left="1040" w:right="260" w:hanging="519"/>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may be established and shares of which may be issued without stockholder approval;</w:t>
      </w: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20"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w:t>
      </w:r>
    </w:p>
    <w:p>
      <w:pPr>
        <w:spacing w:after="0" w:line="9" w:lineRule="exact"/>
        <w:rPr>
          <w:rFonts w:ascii="Arial" w:cs="Arial" w:eastAsia="Arial" w:hAnsi="Arial"/>
          <w:sz w:val="18"/>
          <w:szCs w:val="18"/>
          <w:color w:val="auto"/>
        </w:rPr>
      </w:pPr>
    </w:p>
    <w:p>
      <w:pPr>
        <w:ind w:left="1040" w:right="100" w:hanging="519"/>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than can be acted upon at stockholder meetings; and</w:t>
      </w:r>
    </w:p>
    <w:p>
      <w:pPr>
        <w:ind w:left="1040" w:right="20" w:hanging="519"/>
        <w:spacing w:after="0" w:line="261"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the approval of the holders of at least 66 2/3% of the votes that all of our stockholders would be entitled to cast to amend or repeal our bylaws.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publish inaccurate or unfavorable research about our business, our stock price and trading volume could decline.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8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We have never paid dividends on our capital stock, and because we do not anticipate paying any cash dividends in the foreseeable future, capital appreciation, if any, of our common stock will be your sole source of gain on an investment in our common stock.</w:t>
      </w:r>
    </w:p>
    <w:p>
      <w:pPr>
        <w:spacing w:after="0" w:line="14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In addition, the terms of our credit facility limit our ability to pay cash dividends on our capital stock. We do not anticipate paying any cash dividends on our common stock in the foreseeable future. As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t>result, capital appreciation, if any, of our common stock will be your sole source of gain for the foreseeable future. There is no guarantee that shares of our common stock will appreciate in value or even maintain the price at which you purchase 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securities during the three months ended September 30,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2080" w:type="dxa"/>
            <w:vAlign w:val="bottom"/>
          </w:tcPr>
          <w:p>
            <w:pPr>
              <w:spacing w:after="0"/>
              <w:rPr>
                <w:sz w:val="13"/>
                <w:szCs w:val="13"/>
                <w:color w:val="auto"/>
              </w:rPr>
            </w:pPr>
          </w:p>
        </w:tc>
        <w:tc>
          <w:tcPr>
            <w:tcW w:w="1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(c) Total Number of Shares</w:t>
            </w:r>
          </w:p>
        </w:tc>
        <w:tc>
          <w:tcPr>
            <w:tcW w:w="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7"/>
              </w:rPr>
              <w:t>(d) Maximum Number (or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Approximate Dollar Value) of</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 Total Number of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(b) Average Price Paid per</w:t>
            </w:r>
          </w:p>
        </w:tc>
        <w:tc>
          <w:tcPr>
            <w:tcW w:w="80" w:type="dxa"/>
            <w:vAlign w:val="bottom"/>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(or Units) Purchased as Part</w:t>
            </w:r>
          </w:p>
        </w:tc>
        <w:tc>
          <w:tcPr>
            <w:tcW w:w="80" w:type="dxa"/>
            <w:vAlign w:val="bottom"/>
          </w:tcPr>
          <w:p>
            <w:pPr>
              <w:spacing w:after="0"/>
              <w:rPr>
                <w:sz w:val="12"/>
                <w:szCs w:val="12"/>
                <w:color w:val="auto"/>
              </w:rPr>
            </w:pPr>
          </w:p>
        </w:tc>
        <w:tc>
          <w:tcPr>
            <w:tcW w:w="2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Shares (or Units) that May</w:t>
            </w:r>
          </w:p>
        </w:tc>
        <w:tc>
          <w:tcPr>
            <w:tcW w:w="0" w:type="dxa"/>
            <w:vAlign w:val="bottom"/>
          </w:tcPr>
          <w:p>
            <w:pPr>
              <w:spacing w:after="0"/>
              <w:rPr>
                <w:sz w:val="1"/>
                <w:szCs w:val="1"/>
                <w:color w:val="auto"/>
              </w:rPr>
            </w:pPr>
          </w:p>
        </w:tc>
      </w:tr>
      <w:tr>
        <w:trPr>
          <w:trHeight w:val="149"/>
        </w:trPr>
        <w:tc>
          <w:tcPr>
            <w:tcW w:w="20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Period</w:t>
            </w:r>
          </w:p>
        </w:tc>
        <w:tc>
          <w:tcPr>
            <w:tcW w:w="1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Publicly Announced Plans</w:t>
            </w:r>
          </w:p>
        </w:tc>
        <w:tc>
          <w:tcPr>
            <w:tcW w:w="80" w:type="dxa"/>
            <w:vAlign w:val="bottom"/>
          </w:tcPr>
          <w:p>
            <w:pPr>
              <w:spacing w:after="0"/>
              <w:rPr>
                <w:sz w:val="12"/>
                <w:szCs w:val="12"/>
                <w:color w:val="auto"/>
              </w:rPr>
            </w:pPr>
          </w:p>
        </w:tc>
        <w:tc>
          <w:tcPr>
            <w:tcW w:w="2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Yet Be Purchased Under the</w:t>
            </w:r>
          </w:p>
        </w:tc>
        <w:tc>
          <w:tcPr>
            <w:tcW w:w="0" w:type="dxa"/>
            <w:vAlign w:val="bottom"/>
          </w:tcPr>
          <w:p>
            <w:pPr>
              <w:spacing w:after="0"/>
              <w:rPr>
                <w:sz w:val="1"/>
                <w:szCs w:val="1"/>
                <w:color w:val="auto"/>
              </w:rPr>
            </w:pPr>
          </w:p>
        </w:tc>
      </w:tr>
      <w:tr>
        <w:trPr>
          <w:trHeight w:val="171"/>
        </w:trPr>
        <w:tc>
          <w:tcPr>
            <w:tcW w:w="2080" w:type="dxa"/>
            <w:vAlign w:val="bottom"/>
            <w:vMerge w:val="continue"/>
          </w:tcPr>
          <w:p>
            <w:pPr>
              <w:spacing w:after="0"/>
              <w:rPr>
                <w:sz w:val="14"/>
                <w:szCs w:val="14"/>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(or Units) Purchased</w:t>
            </w:r>
            <w:r>
              <w:rPr>
                <w:rFonts w:ascii="Arial" w:cs="Arial" w:eastAsia="Arial" w:hAnsi="Arial"/>
                <w:sz w:val="12"/>
                <w:szCs w:val="12"/>
                <w:b w:val="1"/>
                <w:bCs w:val="1"/>
                <w:color w:val="auto"/>
                <w:w w:val="93"/>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Share (or Unit)</w:t>
            </w:r>
          </w:p>
        </w:tc>
        <w:tc>
          <w:tcPr>
            <w:tcW w:w="80" w:type="dxa"/>
            <w:vAlign w:val="bottom"/>
          </w:tcPr>
          <w:p>
            <w:pPr>
              <w:spacing w:after="0"/>
              <w:rPr>
                <w:sz w:val="14"/>
                <w:szCs w:val="14"/>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or Programs</w:t>
            </w:r>
          </w:p>
        </w:tc>
        <w:tc>
          <w:tcPr>
            <w:tcW w:w="80" w:type="dxa"/>
            <w:vAlign w:val="bottom"/>
          </w:tcPr>
          <w:p>
            <w:pPr>
              <w:spacing w:after="0"/>
              <w:rPr>
                <w:sz w:val="14"/>
                <w:szCs w:val="14"/>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23"/>
        </w:trPr>
        <w:tc>
          <w:tcPr>
            <w:tcW w:w="2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7/01/17 to 7/31/17</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8/01/17 to 8/31/17</w:t>
            </w:r>
          </w:p>
        </w:tc>
        <w:tc>
          <w:tcPr>
            <w:tcW w:w="1880" w:type="dxa"/>
            <w:vAlign w:val="bottom"/>
          </w:tcPr>
          <w:p>
            <w:pPr>
              <w:jc w:val="right"/>
              <w:spacing w:after="0"/>
              <w:rPr>
                <w:sz w:val="20"/>
                <w:szCs w:val="20"/>
                <w:color w:val="auto"/>
              </w:rPr>
            </w:pPr>
            <w:r>
              <w:rPr>
                <w:rFonts w:ascii="Arial" w:cs="Arial" w:eastAsia="Arial" w:hAnsi="Arial"/>
                <w:sz w:val="18"/>
                <w:szCs w:val="18"/>
                <w:color w:val="auto"/>
              </w:rPr>
              <w:t>3,892,256</w:t>
            </w:r>
          </w:p>
        </w:tc>
        <w:tc>
          <w:tcPr>
            <w:tcW w:w="1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0.0001</w:t>
            </w:r>
          </w:p>
        </w:tc>
        <w:tc>
          <w:tcPr>
            <w:tcW w:w="10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spacing w:after="0"/>
              <w:rPr>
                <w:sz w:val="20"/>
                <w:szCs w:val="20"/>
                <w:color w:val="auto"/>
              </w:rPr>
            </w:pPr>
            <w:r>
              <w:rPr>
                <w:rFonts w:ascii="Arial" w:cs="Arial" w:eastAsia="Arial" w:hAnsi="Arial"/>
                <w:sz w:val="18"/>
                <w:szCs w:val="18"/>
                <w:color w:val="auto"/>
              </w:rPr>
              <w:t>9/01/17 to 9/30/17</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3,892,256</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64" w:lineRule="auto"/>
        <w:tabs>
          <w:tab w:leader="none" w:pos="223" w:val="left"/>
        </w:tabs>
        <w:numPr>
          <w:ilvl w:val="0"/>
          <w:numId w:val="27"/>
        </w:numPr>
        <w:rPr>
          <w:rFonts w:ascii="Arial" w:cs="Arial" w:eastAsia="Arial" w:hAnsi="Arial"/>
          <w:sz w:val="15"/>
          <w:szCs w:val="15"/>
          <w:color w:val="auto"/>
        </w:rPr>
      </w:pPr>
      <w:r>
        <w:rPr>
          <w:rFonts w:ascii="Arial" w:cs="Arial" w:eastAsia="Arial" w:hAnsi="Arial"/>
          <w:sz w:val="18"/>
          <w:szCs w:val="18"/>
          <w:color w:val="auto"/>
        </w:rPr>
        <w:t>On August 29, 2017, the European Commission approved an amendment to the Company’s Co-Development and License Agreement with Janssen (the “Amendment). In connection with the Amendment, the Company repurchased all of the 3,892,256 shares of its stock previously owned by Johnson &amp; Johnson Innovation-JJDC Inc. at a per share price of $0.0001.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240" w:top="557" w:right="51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60" w:type="dxa"/>
            <w:vAlign w:val="bottom"/>
            <w:gridSpan w:val="11"/>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1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SEC File No.</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60" w:type="dxa"/>
            <w:vAlign w:val="bottom"/>
            <w:tcBorders>
              <w:bottom w:val="single" w:sz="8" w:color="auto"/>
            </w:tcBorders>
            <w:gridSpan w:val="11"/>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8380" w:type="dxa"/>
            <w:vAlign w:val="bottom"/>
            <w:tcBorders>
              <w:bottom w:val="single" w:sz="8" w:color="0000EE"/>
            </w:tcBorders>
            <w:gridSpan w:val="8"/>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Amended and Restated Certificate of Incorporation of the Registrant (incorporated by reference to Exhibit 3.1 to the</w:t>
              </w:r>
            </w:hyperlink>
          </w:p>
        </w:tc>
        <w:tc>
          <w:tcPr>
            <w:tcW w:w="860" w:type="dxa"/>
            <w:vAlign w:val="bottom"/>
            <w:gridSpan w:val="7"/>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5"/>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 xml:space="preserve">Registrant’s registration statement on Form </w:t>
              </w:r>
              <w:r>
                <w:rPr>
                  <w:rFonts w:ascii="Arial" w:cs="Arial" w:eastAsia="Arial" w:hAnsi="Arial"/>
                  <w:sz w:val="18"/>
                  <w:szCs w:val="18"/>
                  <w:color w:val="0000EE"/>
                  <w:highlight w:val="white"/>
                </w:rPr>
                <w:t>S-1/A</w:t>
              </w:r>
              <w:r>
                <w:rPr>
                  <w:rFonts w:ascii="Arial" w:cs="Arial" w:eastAsia="Arial" w:hAnsi="Arial"/>
                  <w:sz w:val="18"/>
                  <w:szCs w:val="18"/>
                  <w:color w:val="0000EE"/>
                </w:rPr>
                <w:t xml:space="preserve"> filed with the SEC on June 10, 2014)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w w:val="96"/>
              </w:rPr>
            </w:pPr>
            <w:hyperlink r:id="rId80">
              <w:r>
                <w:rPr>
                  <w:rFonts w:ascii="Arial" w:cs="Arial" w:eastAsia="Arial" w:hAnsi="Arial"/>
                  <w:sz w:val="18"/>
                  <w:szCs w:val="18"/>
                  <w:color w:val="0000EE"/>
                  <w:w w:val="96"/>
                </w:rPr>
                <w:t xml:space="preserve">Amended and </w:t>
              </w:r>
              <w:r>
                <w:rPr>
                  <w:rFonts w:ascii="Arial" w:cs="Arial" w:eastAsia="Arial" w:hAnsi="Arial"/>
                  <w:sz w:val="18"/>
                  <w:szCs w:val="18"/>
                  <w:color w:val="0000EE"/>
                  <w:highlight w:val="white"/>
                  <w:w w:val="96"/>
                </w:rPr>
                <w:t>Restated Bylaws of</w:t>
              </w:r>
              <w:r>
                <w:rPr>
                  <w:rFonts w:ascii="Arial" w:cs="Arial" w:eastAsia="Arial" w:hAnsi="Arial"/>
                  <w:sz w:val="18"/>
                  <w:szCs w:val="18"/>
                  <w:color w:val="0000EE"/>
                  <w:w w:val="96"/>
                </w:rPr>
                <w:t xml:space="preserve"> the Registrant (incorporated by reference to Exhibit </w:t>
              </w:r>
              <w:r>
                <w:rPr>
                  <w:rFonts w:ascii="Arial" w:cs="Arial" w:eastAsia="Arial" w:hAnsi="Arial"/>
                  <w:sz w:val="18"/>
                  <w:szCs w:val="18"/>
                  <w:color w:val="0000EE"/>
                  <w:highlight w:val="white"/>
                  <w:w w:val="96"/>
                </w:rPr>
                <w:t>3.2 to</w:t>
              </w:r>
              <w:r>
                <w:rPr>
                  <w:rFonts w:ascii="Arial" w:cs="Arial" w:eastAsia="Arial" w:hAnsi="Arial"/>
                  <w:sz w:val="18"/>
                  <w:szCs w:val="18"/>
                  <w:color w:val="0000EE"/>
                  <w:w w:val="96"/>
                </w:rPr>
                <w:t xml:space="preserve"> the Registrant’s registration</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 xml:space="preserve">statement on Form </w:t>
              </w:r>
              <w:r>
                <w:rPr>
                  <w:rFonts w:ascii="Arial" w:cs="Arial" w:eastAsia="Arial" w:hAnsi="Arial"/>
                  <w:sz w:val="18"/>
                  <w:szCs w:val="18"/>
                  <w:color w:val="0000EE"/>
                  <w:highlight w:val="white"/>
                </w:rPr>
                <w:t>S-1/A</w:t>
              </w:r>
              <w:r>
                <w:rPr>
                  <w:rFonts w:ascii="Arial" w:cs="Arial" w:eastAsia="Arial" w:hAnsi="Arial"/>
                  <w:sz w:val="18"/>
                  <w:szCs w:val="18"/>
                  <w:color w:val="0000EE"/>
                </w:rPr>
                <w:t xml:space="preserve"> filed with the SEC on </w:t>
              </w:r>
              <w:r>
                <w:rPr>
                  <w:rFonts w:ascii="Arial" w:cs="Arial" w:eastAsia="Arial" w:hAnsi="Arial"/>
                  <w:sz w:val="18"/>
                  <w:szCs w:val="18"/>
                  <w:color w:val="0000EE"/>
                  <w:highlight w:val="white"/>
                </w:rPr>
                <w:t>June 10, 2014</w:t>
              </w:r>
              <w:r>
                <w:rPr>
                  <w:rFonts w:ascii="Arial" w:cs="Arial" w:eastAsia="Arial" w:hAnsi="Arial"/>
                  <w:sz w:val="18"/>
                  <w:szCs w:val="18"/>
                  <w:color w:val="0000EE"/>
                </w:rPr>
                <w:t>)</w:t>
              </w:r>
            </w:hyperlink>
          </w:p>
        </w:tc>
        <w:tc>
          <w:tcPr>
            <w:tcW w:w="54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80" w:type="dxa"/>
            <w:vAlign w:val="bottom"/>
            <w:tcBorders>
              <w:bottom w:val="single" w:sz="8" w:color="0000EE"/>
            </w:tcBorders>
            <w:gridSpan w:val="13"/>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Sublease Agreement dated October 2, 2017 by and between Minerva Neurosciences, Inc. and Profitect, Inc. NV (incorporated</w:t>
              </w:r>
            </w:hyperlink>
          </w:p>
        </w:tc>
        <w:tc>
          <w:tcPr>
            <w:tcW w:w="160" w:type="dxa"/>
            <w:vAlign w:val="bottom"/>
            <w:gridSpan w:val="2"/>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5"/>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by reference to Exhibit 10.1 to the Registrant’s Current Report on Form 8-K filed with the SEC on October 6, 2017)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20" w:type="dxa"/>
            <w:vAlign w:val="bottom"/>
            <w:gridSpan w:val="5"/>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Certification of Chief Executive Officer (Principal Executive Officer) pursuant to Section 302 of Sarbanes-Oxley Act of 2002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9060" w:type="dxa"/>
            <w:vAlign w:val="bottom"/>
            <w:tcBorders>
              <w:top w:val="single" w:sz="8" w:color="0000EE"/>
            </w:tcBorders>
            <w:gridSpan w:val="12"/>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Certification of Chief Financial Officer (Principal Financial Officer) pursuant to Section 302 of Sarbanes-Oxley Act of 2002</w:t>
              </w:r>
            </w:hyperlink>
          </w:p>
        </w:tc>
        <w:tc>
          <w:tcPr>
            <w:tcW w:w="18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r>
              <w:rPr>
                <w:rFonts w:ascii="Arial" w:cs="Arial" w:eastAsia="Arial" w:hAnsi="Arial"/>
                <w:sz w:val="15"/>
                <w:szCs w:val="15"/>
                <w:color w:val="auto"/>
                <w:w w:val="91"/>
              </w:rPr>
              <w:t>+</w:t>
            </w:r>
          </w:p>
        </w:tc>
        <w:tc>
          <w:tcPr>
            <w:tcW w:w="120" w:type="dxa"/>
            <w:vAlign w:val="bottom"/>
          </w:tcPr>
          <w:p>
            <w:pPr>
              <w:spacing w:after="0"/>
              <w:rPr>
                <w:sz w:val="24"/>
                <w:szCs w:val="24"/>
                <w:color w:val="auto"/>
              </w:rPr>
            </w:pPr>
          </w:p>
        </w:tc>
        <w:tc>
          <w:tcPr>
            <w:tcW w:w="85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Certification of Chief Executive Officer (Principal Executive Officer) and Chief Financial Officer (Principal Financial</w:t>
              </w:r>
            </w:hyperlink>
          </w:p>
        </w:tc>
        <w:tc>
          <w:tcPr>
            <w:tcW w:w="440" w:type="dxa"/>
            <w:vAlign w:val="bottom"/>
            <w:tcBorders>
              <w:top w:val="single" w:sz="8" w:color="0000EE"/>
            </w:tcBorders>
            <w:gridSpan w:val="2"/>
          </w:tcPr>
          <w:p>
            <w:pPr>
              <w:spacing w:after="0"/>
              <w:rPr>
                <w:sz w:val="24"/>
                <w:szCs w:val="24"/>
                <w:color w:val="auto"/>
              </w:rPr>
            </w:pPr>
          </w:p>
        </w:tc>
        <w:tc>
          <w:tcPr>
            <w:tcW w:w="280" w:type="dxa"/>
            <w:vAlign w:val="bottom"/>
            <w:gridSpan w:val="4"/>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Officer) pursuant to Section 906 of Sarbanes-Oxley Act of 2002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46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4620" w:type="dxa"/>
            <w:vAlign w:val="bottom"/>
            <w:gridSpan w:val="10"/>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924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924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924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924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924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right="320" w:hanging="512"/>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Geoffrey Race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behalf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2017</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240" w:top="337" w:right="6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right="42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6, 2017</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Remy Luthringer Ph.D.</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2"/>
              </w:rPr>
              <w:t>Remy Luthringer Ph.D.</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33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6, 2017</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Geoffrey Race</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9"/>
              </w:rPr>
              <w:t>Geoffrey Race</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420"/>
          </w:cols>
          <w:pgMar w:left="240" w:top="33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President and Chief Executive Officer (Principal Executive Officer) of Minerva Neurosciences, Inc. (the “Company”) and Geoffrey Race, Chief Financial Officer (Principal Financial Officer) of the Company, each hereby certifies that, to the best of his knowledge:</w:t>
      </w:r>
    </w:p>
    <w:p>
      <w:pPr>
        <w:spacing w:after="0" w:line="79" w:lineRule="exact"/>
        <w:rPr>
          <w:sz w:val="20"/>
          <w:szCs w:val="20"/>
          <w:color w:val="auto"/>
        </w:rPr>
      </w:pPr>
    </w:p>
    <w:p>
      <w:pPr>
        <w:ind w:left="520" w:hanging="512"/>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2017, to which this Certification is attached as Exhibit 32.1 (the “Quarterly Report”) fully complies with the requirements of Section 13(a) or 15(d) of the Exchange Act; and</w:t>
      </w:r>
    </w:p>
    <w:p>
      <w:pPr>
        <w:spacing w:after="0" w:line="62"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Remy Luthringer, Ph.D.</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6"/>
          <w:szCs w:val="16"/>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Geoffrey Race</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6"/>
          <w:szCs w:val="16"/>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Minerva Neurosciences, Inc.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0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79" Type="http://schemas.openxmlformats.org/officeDocument/2006/relationships/hyperlink" Target="http://www.sec.gov/Archives/edgar/data/1598646/000104746914005459/a2219972zex-3_1.htm" TargetMode="External"/><Relationship Id="rId80" Type="http://schemas.openxmlformats.org/officeDocument/2006/relationships/hyperlink" Target="http://www.sec.gov/Archives/edgar/data/1598646/000104746914005459/a2219972zex-3_2.htm" TargetMode="External"/><Relationship Id="rId81" Type="http://schemas.openxmlformats.org/officeDocument/2006/relationships/hyperlink" Target="http://www.sec.gov/Archives/edgar/data/1598646/000119312517305938/d34152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2019-12-29T03:26:12Z</dcterms:created>
  <dcterms:modified xsi:type="dcterms:W3CDTF">2019-12-29T03:26:12Z</dcterms:modified>
</cp:coreProperties>
</file>