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00" w:right="20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18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432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62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Trading Symbol(s)</w:t>
            </w:r>
          </w:p>
        </w:tc>
        <w:tc>
          <w:tcPr>
            <w:tcW w:w="430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Name of each exchange on which registered</w:t>
            </w:r>
          </w:p>
        </w:tc>
      </w:tr>
      <w:tr>
        <w:trPr>
          <w:trHeight w:val="155"/>
        </w:trPr>
        <w:tc>
          <w:tcPr>
            <w:tcW w:w="432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6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43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The Nasdaq Global Market</w:t>
            </w:r>
          </w:p>
        </w:tc>
      </w:tr>
    </w:tbl>
    <w:p>
      <w:pPr>
        <w:spacing w:after="0" w:line="89"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4" w:right="3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November 3, 2021 was 42,721,566.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440"/>
          </w:cols>
          <w:pgMar w:left="320" w:top="58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spacing w:after="0"/>
              <w:rPr>
                <w:sz w:val="14"/>
                <w:szCs w:val="14"/>
                <w:color w:val="auto"/>
              </w:rPr>
            </w:pPr>
          </w:p>
        </w:tc>
        <w:tc>
          <w:tcPr>
            <w:tcW w:w="2560" w:type="dxa"/>
            <w:vAlign w:val="bottom"/>
            <w:gridSpan w:val="6"/>
            <w:vMerge w:val="restart"/>
          </w:tcPr>
          <w:p>
            <w:pPr>
              <w:jc w:val="cente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3480" w:type="dxa"/>
            <w:vAlign w:val="bottom"/>
            <w:gridSpan w:val="6"/>
            <w:vMerge w:val="restart"/>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560" w:type="dxa"/>
            <w:vAlign w:val="bottom"/>
            <w:tcBorders>
              <w:bottom w:val="single" w:sz="8" w:color="0000EE"/>
            </w:tcBorders>
            <w:gridSpan w:val="6"/>
            <w:vMerge w:val="continue"/>
          </w:tcPr>
          <w:p>
            <w:pPr>
              <w:spacing w:after="0"/>
              <w:rPr>
                <w:sz w:val="14"/>
                <w:szCs w:val="14"/>
                <w:color w:val="auto"/>
              </w:rPr>
            </w:pPr>
          </w:p>
        </w:tc>
        <w:tc>
          <w:tcPr>
            <w:tcW w:w="34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9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and December 31, 2020</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 September 30, 2021 and 2020</w:t>
              </w:r>
            </w:hyperlink>
          </w:p>
        </w:tc>
        <w:tc>
          <w:tcPr>
            <w:tcW w:w="9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Stockholders’ Equity for the nine months ended September 30, 2021 and 2020</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520" w:type="dxa"/>
            <w:vAlign w:val="bottom"/>
            <w:tcBorders>
              <w:top w:val="single" w:sz="8" w:color="0000EE"/>
            </w:tcBorders>
            <w:gridSpan w:val="19"/>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Cash Flows for the nine months ended September 30, 2021 and 2020</w:t>
              </w:r>
            </w:hyperlink>
          </w:p>
        </w:tc>
        <w:tc>
          <w:tcPr>
            <w:tcW w:w="9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5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2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29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4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40" w:type="dxa"/>
            <w:vAlign w:val="bottom"/>
            <w:gridSpan w:val="12"/>
          </w:tcPr>
          <w:p>
            <w:pPr>
              <w:jc w:val="center"/>
              <w:ind w:right="3480"/>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5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06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0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76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2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1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2020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65,588,119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1,750,451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1,983,264</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67,438,570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27,440,216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Capitalized software,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51,080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101,786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97,559,049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680" w:type="dxa"/>
            <w:vAlign w:val="bottom"/>
            <w:shd w:val="clear" w:color="auto" w:fill="CFF0FC"/>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1,200,509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995,614</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1,882,251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2,053,409</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3,082,760</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3,160,252</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Liability related to the sale of future royalties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64,594,985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69,481,101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4,963,608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as of September 30, 2021 and December 31, 2020, respectively</w:t>
            </w:r>
          </w:p>
        </w:tc>
        <w:tc>
          <w:tcPr>
            <w:tcW w:w="2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w w:val="94"/>
              </w:rPr>
              <w:t>Common stock; $0.0001 par value; 125,000,000 shares authorized; 42,721,566 shares issued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outstanding as of September 30, 2021 and December 31, 2020</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4,272</w:t>
            </w:r>
          </w:p>
        </w:tc>
        <w:tc>
          <w:tcPr>
            <w:tcW w:w="120" w:type="dxa"/>
            <w:vAlign w:val="bottom"/>
          </w:tcPr>
          <w:p>
            <w:pPr>
              <w:spacing w:after="0"/>
              <w:rPr>
                <w:sz w:val="20"/>
                <w:szCs w:val="20"/>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341,468,426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337,453,776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(313,394,750)</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(284,795,447)</w:t>
            </w: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28,077,948</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52,662,601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97,559,049</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4,512,853</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4,638,614</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13,292,488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18,488,108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3,004,765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3,451,667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10,695,944</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13,541,253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7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7,517,618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8,090,281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23,988,432</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32,029,361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(Loss) gain from operations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(7,517,618)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(8,090,281)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(23,988,432)</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9,146,239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(28,708)</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(40,549)</w:t>
            </w: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0"/>
                <w:szCs w:val="20"/>
                <w:color w:val="auto"/>
              </w:rPr>
            </w:pPr>
            <w:r>
              <w:rPr>
                <w:rFonts w:ascii="Arial" w:cs="Arial" w:eastAsia="Arial" w:hAnsi="Arial"/>
                <w:sz w:val="18"/>
                <w:szCs w:val="18"/>
                <w:color w:val="auto"/>
              </w:rPr>
              <w:t>Non-cash interest expense for the sale of future royalties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(1,687,090)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(4,594,985)</w:t>
            </w:r>
          </w:p>
        </w:tc>
        <w:tc>
          <w:tcPr>
            <w:tcW w:w="2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income</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(9,205,407)</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(8,112,613)</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(28,599,303)</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9,265,598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basic</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basic</w:t>
            </w:r>
          </w:p>
        </w:tc>
        <w:tc>
          <w:tcPr>
            <w:tcW w:w="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tcBorders>
              <w:bottom w:val="single" w:sz="8" w:color="CFF0FC"/>
            </w:tcBorders>
            <w:vMerge w:val="continue"/>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41,917,923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40,199,196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diluted</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(0.67)</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7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41,917,923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40,477,801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3"/>
                <w:szCs w:val="13"/>
                <w:color w:val="auto"/>
              </w:rPr>
            </w:pPr>
          </w:p>
        </w:tc>
        <w:tc>
          <w:tcPr>
            <w:tcW w:w="1420" w:type="dxa"/>
            <w:vAlign w:val="bottom"/>
            <w:gridSpan w:val="2"/>
          </w:tcPr>
          <w:p>
            <w:pPr>
              <w:jc w:val="right"/>
              <w:ind w:right="641"/>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3"/>
                <w:szCs w:val="13"/>
                <w:color w:val="auto"/>
              </w:rPr>
            </w:pPr>
          </w:p>
        </w:tc>
        <w:tc>
          <w:tcPr>
            <w:tcW w:w="118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(286,736,218)</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797,615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(12,151,165)</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(12,151,165)</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39,219,134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317,507,655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(298,887,383</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18,624,194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w w:val="92"/>
              </w:rPr>
              <w:t>Issuance of common stock in a public offering</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1,361,956</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5,178,324</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w w:val="97"/>
              </w:rPr>
              <w:t>Costs related to issuance of common stock</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(219,517)</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(219,517)</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63,749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29,529,376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29,529,376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40,644,839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326,297,963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(269,358,007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56,944,021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w w:val="92"/>
              </w:rPr>
              <w:t>Issuance of common stock in a public offering</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2,019,652</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7,371,408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7,371,609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w w:val="97"/>
              </w:rPr>
              <w:t>Costs related to issuance of common stock</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(236,149)</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(236,149)</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(8,112,613)</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(8,112,613)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2020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42,674,491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335,489,256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(277,470,620</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58,022,903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2021</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337,453,776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b w:val="1"/>
                <w:bCs w:val="1"/>
                <w:color w:val="auto"/>
              </w:rPr>
              <w:t>(284,795,447)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52,662,601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1,516,064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(8,804,733)</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(8,804,733)</w:t>
            </w:r>
          </w:p>
        </w:tc>
        <w:tc>
          <w:tcPr>
            <w:tcW w:w="0" w:type="dxa"/>
            <w:vAlign w:val="bottom"/>
          </w:tcPr>
          <w:p>
            <w:pPr>
              <w:spacing w:after="0"/>
              <w:rPr>
                <w:sz w:val="1"/>
                <w:szCs w:val="1"/>
                <w:color w:val="auto"/>
              </w:rPr>
            </w:pPr>
          </w:p>
        </w:tc>
      </w:tr>
      <w:tr>
        <w:trPr>
          <w:trHeight w:val="26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March 31, 2021</w:t>
            </w:r>
          </w:p>
        </w:tc>
        <w:tc>
          <w:tcPr>
            <w:tcW w:w="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338,969,840</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(293,600,180</w:t>
            </w:r>
          </w:p>
        </w:tc>
        <w:tc>
          <w:tcPr>
            <w:tcW w:w="260" w:type="dxa"/>
            <w:vAlign w:val="bottom"/>
            <w:tcBorders>
              <w:bottom w:val="single" w:sz="8" w:color="CFF0FC"/>
            </w:tcBorders>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45,373,932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1,384,060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21"/>
              <w:spacing w:after="0"/>
              <w:rPr>
                <w:sz w:val="20"/>
                <w:szCs w:val="20"/>
                <w:color w:val="auto"/>
              </w:rPr>
            </w:pPr>
            <w:r>
              <w:rPr>
                <w:rFonts w:ascii="Arial" w:cs="Arial" w:eastAsia="Arial" w:hAnsi="Arial"/>
                <w:sz w:val="18"/>
                <w:szCs w:val="18"/>
                <w:color w:val="auto"/>
              </w:rPr>
              <w:t>(10,589,163)</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(10,589,163)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340,353,900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(304,189,343</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36,168,829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1,114,526</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(9,205,407)</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(9,205,407)</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Balances at September 30, 2021</w:t>
            </w: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42,721,566</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341,468,426</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(313,394,750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28,077,948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(loss) income</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(28,599,303)</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9,265,598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(86,774)</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4,014,650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4,594,985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232,813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(1,191,811)</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(51,080)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(1,615,419)</w:t>
            </w: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(171,158)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(111,229)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(15,945)</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(41,175,600)</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(111,229)</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(19,768,833)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(26,663,142)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(3,871,706)</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24,528,294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Proceeds from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(455,666)</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13,238,058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40,231,167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25,456,952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65,688,119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32,615,833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65,588,119</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32,515,833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65,688,119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32,615,833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September 30, 2021 and for the Nine Months Ended September 30, 2021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and MIN-301, a compound the Company is developing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will be entitled to collect royalties in the mid-single digits on potential future worldwide sales of seltorexant in certain indications, with no further financial obligations to Janssen. In January 2021, the Company sold its rights to these potential royalties to Royalty Pharma (see Notes 5 and 6).</w:t>
      </w:r>
    </w:p>
    <w:p>
      <w:pPr>
        <w:spacing w:after="0" w:line="19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holds the license to roluperidone from Mitsubishi Tanabe Pharma Corporation (“MTPC”) with the rights to develop, sell and import roluperidone globally, excluding most of Asia. The Company also has exclusive rights to develop and commercialize MIN-301.</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2021, the Company has an accumulated deficit of approximately $313.4 million and net cash used in operating activities was approximately $19.8 million during the nine months ended September 30, 2021.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September 30, 2021, the Company had cash, cash equivalents, and restricted cash of $65.7 million. The Company believes that its existing cash, cash equivalents, and restricted cash will be sufficient to meet its cash commitments for at least the next 12 months after the date that the interim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Specifically, management continues to evaluate the MIN-301 program in regards to current liquidity, timing of future development, and potential revenue.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8"/>
          <w:szCs w:val="18"/>
          <w:i w:val="1"/>
          <w:iCs w:val="1"/>
          <w:color w:val="auto"/>
        </w:rPr>
        <w:t>McCoy v. Minerva Neurosciences, Inc., et al., No. 1:20-cv-12176</w:t>
      </w:r>
      <w:r>
        <w:rPr>
          <w:rFonts w:ascii="Arial" w:cs="Arial" w:eastAsia="Arial" w:hAnsi="Arial"/>
          <w:sz w:val="18"/>
          <w:szCs w:val="18"/>
          <w:color w:val="auto"/>
        </w:rPr>
        <w:t xml:space="preserve"> and </w:t>
      </w:r>
      <w:r>
        <w:rPr>
          <w:rFonts w:ascii="Arial" w:cs="Arial" w:eastAsia="Arial" w:hAnsi="Arial"/>
          <w:sz w:val="18"/>
          <w:szCs w:val="18"/>
          <w:i w:val="1"/>
          <w:iCs w:val="1"/>
          <w:color w:val="auto"/>
        </w:rPr>
        <w:t>Ao v. Minerva</w:t>
      </w:r>
      <w:r>
        <w:rPr>
          <w:rFonts w:ascii="Arial" w:cs="Arial" w:eastAsia="Arial" w:hAnsi="Arial"/>
          <w:sz w:val="18"/>
          <w:szCs w:val="18"/>
          <w:color w:val="auto"/>
        </w:rPr>
        <w:t xml:space="preserve"> </w:t>
      </w:r>
      <w:r>
        <w:rPr>
          <w:rFonts w:ascii="Arial" w:cs="Arial" w:eastAsia="Arial" w:hAnsi="Arial"/>
          <w:sz w:val="18"/>
          <w:szCs w:val="18"/>
          <w:i w:val="1"/>
          <w:iCs w:val="1"/>
          <w:color w:val="auto"/>
        </w:rPr>
        <w:t>Neurosciences, Inc. et al., No. 1:21-cv-10051</w:t>
      </w:r>
      <w:r>
        <w:rPr>
          <w:rFonts w:ascii="Arial" w:cs="Arial" w:eastAsia="Arial" w:hAnsi="Arial"/>
          <w:sz w:val="18"/>
          <w:szCs w:val="18"/>
          <w:color w:val="auto"/>
        </w:rPr>
        <w:t>, respectively, against the Company and the Company’s Chairman and Chief Executive Officer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the “Defendants"). The complaints are nearly identical and allege that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color w:val="auto"/>
        </w:rPr>
        <w:t xml:space="preserve">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7"/>
          <w:szCs w:val="17"/>
          <w:i w:val="1"/>
          <w:iCs w:val="1"/>
          <w:color w:val="auto"/>
        </w:rPr>
        <w:t>In re Minerva Neurosciences, Inc. Securities Litigation, No. 1:20-cv-12176</w:t>
      </w:r>
      <w:r>
        <w:rPr>
          <w:rFonts w:ascii="Arial" w:cs="Arial" w:eastAsia="Arial" w:hAnsi="Arial"/>
          <w:sz w:val="17"/>
          <w:szCs w:val="17"/>
          <w:color w:val="auto"/>
        </w:rPr>
        <w:t xml:space="preserve"> and appointing lead plaintiffs and their counsel. On March 19, 2021, the parties filed a 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To support the health and well-being of its employees, partners and communities, the Company implemented work-from-home policies for its employees, which continue to be in effect. While global vaccination efforts are underway and certain jurisdictions, including Massachusetts, have reopened businesses and governmental agencies, there remain limitations on the physical operations of businesses and prohibitions on certain non-essential gatherings, and we are unable to accurately predict the full impact that COVID-19 will have due to numerous uncertainties, including the duration of the outbreak, the result of vaccination efforts, resurgence of the virus, actions that may be taken by governmental authorities, the impact on our business including our clinical programs and timelines, and the impact to the business of our service providers and partners.</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2021, the results of operations for the three and nine months ended September 30, 2021 and 2020 and cash flows for the nine months ended September 30, 2021 and 2020. The results of operations for the three and nine months ended September 30, 2021 are not necessarily indicative of the results to be expected for the full year. The consolidated balance sheet as of December 31, 2020 was derived from the audited annual financial statements. The accompanying unaudited condensed consolidated financial statements and notes thereto should be read in conjunction with the audited consolidated financial statements for the year ended December 31, 2020 included in the Company’s Annual Report on Form 10-K filed with the SEC on March 8, 2021.</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September 30, 2021 and December 31, 2020.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Marketable securities consisted of corporate and U.S. government debt securities. Based on the Company’s intentions regarding its marketable securities, all marketable securities were classified as held-to-maturity and were carried under the amortized cost approach. The Company’s investments in marketable securities were classified as Level 2 within the fair value hierarchy. As of September 30, 2021, all marketable securities have matured.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research projects are recorded as intangible assets on the balance sheet, rather than expensed, regardless of whether these assets have an alternative future use.</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nine months ended September 30, 2021 or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8 for information on the Company’s performance-based restricted stock units (“PRSU”) grants.</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Income per share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(loss) income per share is computed by dividing net (loss) income by the weighted-average number of shares of common stock outstanding for the period. Diluted (loss) income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Software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accounts for capitalized software in accordance with the Financial Accounting Standards Board (“FASB”)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This new guidance requires a customer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(i.e., hosting arrangement) that is a service contract to follow the internal-use software guidance in ASC 350-40 to determine which implementation costs to capitalize as assets or expense as incurred. 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FASB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the Company utilized the remaining lease term of its leases in determining the appropriate incremental borrowing rates.</w:t>
      </w:r>
    </w:p>
    <w:p>
      <w:pPr>
        <w:spacing w:after="0" w:line="233"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380"/>
        <w:spacing w:after="0" w:line="277" w:lineRule="auto"/>
        <w:rPr>
          <w:sz w:val="20"/>
          <w:szCs w:val="20"/>
          <w:color w:val="auto"/>
        </w:rPr>
      </w:pPr>
      <w:r>
        <w:rPr>
          <w:rFonts w:ascii="Arial" w:cs="Arial" w:eastAsia="Arial" w:hAnsi="Arial"/>
          <w:sz w:val="18"/>
          <w:szCs w:val="18"/>
          <w:color w:val="auto"/>
        </w:rPr>
        <w:t>values in the period the impairment becomes known. The Company believes that all long-lived assets are recoverable, and no impairment was deemed necessary at September 30, 2021 and 2020.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2020. There was no impairment of goodwill for the nine months ended September 30, 2021 and 2020.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When the Company enters into an arrangement that meets the definition of a collaboration under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year ended December 31, 2020, the Company recognized $41.2 million in collaborative revenue as a result of opting out of its agreement with Janssen (see Note 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 Under the terms of the agreement, all payments from Royalty Pharma to Minerva, including the initial upfront payment of $60 million as well as amortized interest expense, are not repayable to Royalty Pharma in the event that Janssen discontinues the clinical development of seltorexant or ceases to pursue its commercialization at a future date for any reason.</w:t>
      </w:r>
    </w:p>
    <w:p>
      <w:pPr>
        <w:spacing w:after="0" w:line="1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620"/>
        <w:spacing w:after="0" w:line="277" w:lineRule="auto"/>
        <w:rPr>
          <w:sz w:val="20"/>
          <w:szCs w:val="20"/>
          <w:color w:val="auto"/>
        </w:rPr>
      </w:pPr>
      <w:r>
        <w:rPr>
          <w:rFonts w:ascii="Arial" w:cs="Arial" w:eastAsia="Arial" w:hAnsi="Arial"/>
          <w:sz w:val="18"/>
          <w:szCs w:val="18"/>
          <w:color w:val="auto"/>
        </w:rPr>
        <w:t>payments are greater or less than previous estimates or the estimated timing of such payments is materially different than its previous estimates, the Company will prospectively recognize related non-cash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8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976,635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1,880,552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Accrued bonus</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601,264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140,981</w:t>
            </w:r>
          </w:p>
        </w:tc>
        <w:tc>
          <w:tcPr>
            <w:tcW w:w="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Vacation pay</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31,876</w:t>
            </w:r>
          </w:p>
        </w:tc>
        <w:tc>
          <w:tcPr>
            <w:tcW w:w="8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1,882,251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2,053,409</w:t>
            </w:r>
          </w:p>
        </w:tc>
        <w:tc>
          <w:tcPr>
            <w:tcW w:w="8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INCOME PER SHARE OF COMMON STOCK</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(loss) income per share is calculated by dividing the net (loss) income by the weighted average number of shares of common stock outstanding. Diluted (loss) income per share is computed by dividing the net (loss) income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income per share for common stockholders: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(9,205,407)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(8,112,613)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(28,599,303)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9,265,598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 basic</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41,917,923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40,199,196</w:t>
            </w: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Dilutive effect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278,605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 diluted</w:t>
            </w:r>
          </w:p>
        </w:tc>
        <w:tc>
          <w:tcPr>
            <w:tcW w:w="4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42,721,566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41,917,923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40,477,801</w:t>
            </w: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ordinary share: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(0.67)</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The following securities outstanding at September 30, 2021 and 2020 have been excluded from the calculation of weighted average shares outstanding as their effect on the calculation of (loss) income per share is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0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400" w:type="dxa"/>
            <w:vAlign w:val="bottom"/>
            <w:tcBorders>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r>
      <w:tr>
        <w:trPr>
          <w:trHeight w:val="223"/>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1,794,467</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9,347,054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1,794,467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6,357,500</w:t>
            </w:r>
          </w:p>
        </w:tc>
        <w:tc>
          <w:tcPr>
            <w:tcW w:w="6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6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Performance-based restricted stock units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3,651,403</w:t>
            </w:r>
          </w:p>
        </w:tc>
        <w:tc>
          <w:tcPr>
            <w:tcW w:w="2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3,651,403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Common stock warrants</w:t>
            </w:r>
          </w:p>
        </w:tc>
        <w:tc>
          <w:tcPr>
            <w:tcW w:w="1320" w:type="dxa"/>
            <w:vAlign w:val="bottom"/>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40,790</w:t>
            </w:r>
          </w:p>
        </w:tc>
        <w:tc>
          <w:tcPr>
            <w:tcW w:w="60" w:type="dxa"/>
            <w:vAlign w:val="bottom"/>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granted the Company an exclusive license to certain patent and patent applications to sell products containing any orexin 2 compound, controlled by Janssen and to seltorexant for any use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accounted for the Agreement as a joint risk-sharing collaboration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2017, the Company entered into an amendment (the “Amendment”) to the Agreement whereby Janssen waived its right to royalties on seltorexant insomnia sales in the Minerva Territory, made an upfront payment to the Company of $30 million and agreed to waive development payments from the Company until completion of the Phase 2b development milestone, referred to as “Decision Point 4”.</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results reported from three Phase 2b trials of seltorexant, in June 2020 the Company exercised its right to opt out of the Agreement with Janssen under a Settlement Agreement pursuant to which the Company and Janssen resolved certain disputes under the Agreement. As a result of the exercise of its right to opt out of the Agreement with Janssen, the Company will be entitled to collect a royalty on potential worldwide sales of seltorexant in certain indications in the mid-single digits, with no further financial obligations to Janssen.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would recognize any future royalty revenues in the periods of the sale of the related products. In January 2021, the Company sold its rights to these potential royalties to Royalty Pharma. Please refer to Note 6 further discussion of the sale of future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SALE OF FUTURE ROYALTIES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On January 19, 2021, the Company entered into an agreement with Royalty Pharma under which Royalty Pharma acquired Minerva’s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in facilitating the transfer of royalties to Royalty Pharma and Royalty Pharma has recourse against the Company relating to the payments due from Janssen. As such, the Company applied the debt recognition guidance under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Minerva, including the initial upfront payment of $60 million as well as amortized interest expense, are not repayable to Royalty Pharma in the event that Janssen discontinues the clinical development of seltorexant or ceases to pursue its commercialization at a future date for any reason. In addition, 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the Company will account for any royalties received in the future as non-cash royalty revenue.</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royalties are remitted to the Company from Janssen and subsequently passed onto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million in potential milestone payments will also be recorded as a liability related to the sale of future royalties when they are received and amortized under the interest method over the estimated remaining life of the agreement. At execution, the Company’s estimate of this total interest expense resulted in an effective annual interest rate of approximately 10.5%. As of September 30, 2021, the Company estimated the effective annual interest rate to be approximately 10.7%. This estimate contains significant assumptions that impact both the amount recorded at execution and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September 30, 2021: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Upfront payment from the sale of future royalties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4,594,985</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64,594,985</w:t>
            </w:r>
          </w:p>
        </w:tc>
        <w:tc>
          <w:tcPr>
            <w:tcW w:w="10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September 30,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color w:val="auto"/>
        </w:rPr>
        <w:t>Option Exchange Program</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$4.47 or greater (the “Eligible Options”), in exchange for a grant of performance-based restricted stock units (“PRSUs”) that will settle in shares of the Company’s common stock upon vesting. 50% of the new PRSUs will vest upon the U.S. Food and Drug Administration’s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6, 2021, the Company filed with the SEC a Tender Offer Statement on Schedule TO disclosing the terms and conditions of the Exchange Program. The Exchange Program closed on August 3, 2021. On August 6, 2021, options to purchase 7,631,844 shares of the Company’s common stock were exchanged for 3,813,150 PRSUs. Options surrendered in the Exchange Program were cancelled and shares subject to the cancelled options again became available for issuance under the Plan.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employees and non-employees for the nine months ended September 30, 2021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10,050,523</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Cancelled/Forfeited</w:t>
            </w:r>
            <w:r>
              <w:rPr>
                <w:rFonts w:ascii="Arial" w:cs="Arial" w:eastAsia="Arial" w:hAnsi="Arial"/>
                <w:sz w:val="15"/>
                <w:szCs w:val="15"/>
                <w:color w:val="auto"/>
              </w:rPr>
              <w:t>(1)</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(8,396,056)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2"/>
          </w:tcPr>
          <w:p>
            <w:pPr>
              <w:spacing w:after="0"/>
              <w:rPr>
                <w:sz w:val="20"/>
                <w:szCs w:val="20"/>
                <w:color w:val="auto"/>
              </w:rPr>
            </w:pPr>
            <w:r>
              <w:rPr>
                <w:rFonts w:ascii="Arial" w:cs="Arial" w:eastAsia="Arial" w:hAnsi="Arial"/>
                <w:sz w:val="18"/>
                <w:szCs w:val="18"/>
                <w:color w:val="auto"/>
              </w:rPr>
              <w:t>Outstanding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1,794,467</w:t>
            </w:r>
          </w:p>
        </w:tc>
        <w:tc>
          <w:tcPr>
            <w:tcW w:w="10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913,530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80" w:type="dxa"/>
            <w:vAlign w:val="bottom"/>
            <w:gridSpan w:val="2"/>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4,762,269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7,631,844 shares of the Company’s common stock were cancelled during the Exchange Program.</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September 30, 2021 was $3.13 per share. Total unrecognized compensation costs related to non-vested stock options at September 30, 2021 were approximately $1.5 million and are expected to be recognized within future operating results over a weighted-average period of 1.2 years. The total intrinsic value of the options exercised during the nine months ended September 30, 2021, and 2020 was zero and approximately $0.9 million, respectively.</w:t>
      </w:r>
    </w:p>
    <w:p>
      <w:pPr>
        <w:spacing w:after="0" w:line="2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uses the Black-Scholes model to estimate the fair value of stock options granted. For stock options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the Company utilized the following assumptions: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490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center"/>
              <w:ind w:right="135"/>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89"/>
              </w:rPr>
              <w:t>5.50-6.25</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135"/>
              <w:spacing w:after="0"/>
              <w:rPr>
                <w:sz w:val="20"/>
                <w:szCs w:val="20"/>
                <w:color w:val="auto"/>
              </w:rPr>
            </w:pPr>
            <w:r>
              <w:rPr>
                <w:rFonts w:ascii="Arial" w:cs="Arial" w:eastAsia="Arial" w:hAnsi="Arial"/>
                <w:sz w:val="18"/>
                <w:szCs w:val="18"/>
                <w:color w:val="auto"/>
                <w:w w:val="90"/>
              </w:rPr>
              <w:t>0.86%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0.37%-0.42%</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right="135"/>
              <w:spacing w:after="0"/>
              <w:rPr>
                <w:sz w:val="20"/>
                <w:szCs w:val="20"/>
                <w:color w:val="auto"/>
              </w:rPr>
            </w:pPr>
            <w:r>
              <w:rPr>
                <w:rFonts w:ascii="Arial" w:cs="Arial" w:eastAsia="Arial" w:hAnsi="Arial"/>
                <w:sz w:val="18"/>
                <w:szCs w:val="18"/>
                <w:color w:val="auto"/>
                <w:w w:val="94"/>
              </w:rPr>
              <w:t>75%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92"/>
              </w:rPr>
              <w:t>68%-71%</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11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1.83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The total unrecognized compensation costs related to non-vested RSUs at September 30, 2021 was zero. There were no unvested RSUs as of September 30, 2021 and December 31, 2020, respectively.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6, 2021, the Company granted 3,813,150 PRSUs through the Exchange Program. The Exchange Program was treated as a Type II modification (Probable-to improbable) under ASC 718.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September 30, 2021 were approximately $4.5 million and are expected to be recognized within future operating results over a weighted-average period of 1.6 years. As of September 30, 2021, no PRSUs have vested.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4"/>
                <w:szCs w:val="14"/>
                <w:color w:val="auto"/>
              </w:rPr>
            </w:pPr>
          </w:p>
        </w:tc>
        <w:tc>
          <w:tcPr>
            <w:tcW w:w="21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71"/>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6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541,332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813,443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1,826,881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2,189,595</w:t>
            </w:r>
          </w:p>
        </w:tc>
        <w:tc>
          <w:tcPr>
            <w:tcW w:w="80" w:type="dxa"/>
            <w:vAlign w:val="bottom"/>
            <w:shd w:val="clear" w:color="auto" w:fill="CFF0FC"/>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573,194</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1,242,592</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2,187,769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5,550,109</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1,114,526</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2,056,035</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4,014,650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7,739,704</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 for the Company’s significant risks and uncertainties in regards to litigation.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10 for the Company’s current lease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expired on July 31, 2021 (the “Term”), with a monthly rental rate starting at $14,808 and escalating to a maximum monthly rental rate of $16,288 in the final 12 months of the Term.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98" w:right="419" w:bottom="1440" w:gutter="0" w:footer="0" w:header="0"/>
        </w:sectPr>
      </w:pPr>
    </w:p>
    <w:bookmarkStart w:id="18" w:name="page19"/>
    <w:bookmarkEnd w:id="18"/>
    <w:p>
      <w:pPr>
        <w:ind w:right="800"/>
        <w:spacing w:after="0" w:line="277" w:lineRule="auto"/>
        <w:rPr>
          <w:sz w:val="20"/>
          <w:szCs w:val="20"/>
          <w:color w:val="auto"/>
        </w:rPr>
      </w:pPr>
      <w:r>
        <w:rPr>
          <w:rFonts w:ascii="Arial" w:cs="Arial" w:eastAsia="Arial" w:hAnsi="Arial"/>
          <w:sz w:val="18"/>
          <w:szCs w:val="18"/>
          <w:color w:val="auto"/>
        </w:rPr>
        <w:t>Sublandlord provided the Premises to the Company free of charge for the first two months of the Term. The Company recognized the expense in accordance with ASC 842.</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Throughout the Term, the Company was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nine months ended September 30,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(114,018)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Sublease agreement expired on July 31, 2021 and there were no future minimum payments under the Sublease agreement as of September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Sublease payments under the Company’s non-cancelable operating Sublease as of December 31, 2020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Sublease liabilities at December 31, 2020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May 5, 2021, the Company entered into an office lease agreement with BP Reservoir Place to lease approximately 5,923 rentable square feet of office space located at 1601 Trapelo Road, Waltham, MA 02451. The term of the lease agreement began on August 1, 2021 and will expire on July 31, 2022, with an annual rate of $239,881.50 payable in equal monthly installments. The Company has elected to not recognize the lease agreement on the balance sheet as the term of the agreement is 12 months or less. Please refer to Note 2 for additional information on ASC 842, </w:t>
      </w:r>
      <w:r>
        <w:rPr>
          <w:rFonts w:ascii="Arial" w:cs="Arial" w:eastAsia="Arial" w:hAnsi="Arial"/>
          <w:sz w:val="18"/>
          <w:szCs w:val="18"/>
          <w:i w:val="1"/>
          <w:iCs w:val="1"/>
          <w:color w:val="auto"/>
        </w:rPr>
        <w:t>Leases</w:t>
      </w:r>
      <w:r>
        <w:rPr>
          <w:rFonts w:ascii="Arial" w:cs="Arial" w:eastAsia="Arial" w:hAnsi="Arial"/>
          <w:sz w:val="18"/>
          <w:szCs w:val="18"/>
          <w:color w:val="auto"/>
        </w:rPr>
        <w:t>. The total operating lease costs during the nine months ended September 30, 2021 were $39,980.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 as of September 30, 2021 were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Lease Payments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(excluding the nine months ended September 30, 2021)</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Total operating lease liabilities at September 30, 2021</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2020 as filed with the Securities and Exchange Commission on March 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30, 2020 we received official meeting minutes from our November 10, 2020 Type C meeting with the U.S. Food and Drug Administration (“FDA”) regarding the development of roluperidone for treatment of negative symptoms of schizophrenia. The objective of this meeting was to obtain FDA input regarding the roluperidone data package and its readiness to support a New Drug Application (“NDA”). We summarized FDA’s comments in our 10-K filed on March 8, 2021.</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November 3, 2021 we announced that the FDA denied our request for a pre-NDA meeting for roluperidone and responded that a Type C guidance meeting would be more appropriate to discuss the evidence for use of roluperidone as monotherapy. Subject to the timing of and feedback from the FDA at a Type C guidance meeting, which we plan to request, we have not changed our projected timeline for submission of an NDA in the first half of 2022.</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Label Extension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11, 2021, we announced results from the 40-week open-label extension (OLE) of the Company’s phase 3 trial of roluperidone for the treatment of negative symptoms (NS) of schizophrenia. The OLE followed the 12-week double-blind, placebo-controlled portion of this trial. During the 40-week OLE, both investigators and patients were blinded to the roluperidone dose received. The OLE was designed to evaluate the safety of roluperidone after long-term exposure. Efficacy endpoints were also assessed during the OLE period. As such, efficacy data collected during the OLE are not placebo-controlled and therefore their interpretation is limited.</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Over the 40-week OLE period, 333 patients participated, of whom 166 patients received the 32 mg dose and 167 patients received the 64 mg dose. A total of 202 of the 333 patients completed the 40-week OLE period.</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mean improvement in negative symptoms was 6.8 points in the 32 mg arm and 7.5 points in the 64 mg arm. PSP total score improved by a mean of 12.3 points in the 32 mg arm and 14.5 points in the 64 mg arm, suggesting functional improvement.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mean improvement in positive symptoms, as measured by the Positive and Negative Syndrome Scale (“PANSS”) positive symptom subscore was 1.9 points in the 32 mg arm and 1.8 points in the 64 mg arm.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right="120"/>
        <w:spacing w:after="0" w:line="308" w:lineRule="auto"/>
        <w:rPr>
          <w:sz w:val="20"/>
          <w:szCs w:val="20"/>
          <w:color w:val="auto"/>
        </w:rPr>
      </w:pPr>
      <w:r>
        <w:rPr>
          <w:rFonts w:ascii="Arial" w:cs="Arial" w:eastAsia="Arial" w:hAnsi="Arial"/>
          <w:sz w:val="17"/>
          <w:szCs w:val="17"/>
          <w:color w:val="auto"/>
        </w:rPr>
        <w:t>Reduced emotional experience, as measured by a sub-factor of the Negative Symptoms Factor Score (“NSFS”) that assesses a patient’s motivation to take part in everyday life activities, had a mean improvement of 2.8 points in the 32 mg group and 3.0 points in the 64 mg group.</w:t>
      </w:r>
    </w:p>
    <w:p>
      <w:pPr>
        <w:spacing w:after="0" w:line="14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relapse rate during the OLE, defined as patients being withdrawn from the trial due to worsening of symptoms of psychosis, was 15 patients out of 166 patients (9%) in the 32 mg arm and 10 patients out of 167 patients (6%) in the 64 mg arm. Over the one-year duration the relapse rate was 11.7% overall.</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Roluperidone at both doses was safe and well tolerated and treatment-emergent adverse events (TEAE) were generally mild to moderate in severity. The most frequently reported TEAE in the overall group of 333 patients that participated in the OLE were headaches in 26 patients (7.8%), followed by worsening of schizophrenia in 18 patients (5.4%) and insomnia in 15 patients (4.5%). No other TEAE was reported by more than 4% of the patients. There was one death that occurred after treatment discontinuation (45-year old male) in the 64 mg arm due to treatment-unrelated respiratory failure. Twenty patients (6%) experienced serious adverse events, with the majority of them associated with the disease characteristics, and only 5 were judged by the investigator to be related to roluperidone. In total, 37 patients (11%) did not complete the OLE due to TEAE, with 25 patients (7.5%) due to relapse-related events and the remaining 12 patients due to a variety of other TEAE reported in ≤1% of the patients. Few QT prolongations were observed during the OLE, were generally transient in duration and only one in the 64 mg arm led to discontinuation from the study.</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previously announced on May 29, 2020, the double-blind, placebo-controlled portion of the Phase 3 trial enrolled a total of 515 patients that were randomized in a 1:1:1 ratio to 32 mg/day roluperidone, 64 mg/day roluperidone, or placebo for 12 weeks, and 513 patients received study drugs. The 12-week double-blind, placebo-controlled portion of the trial did not meet its primary or key secondary endpoints in the intent-to-treat population. The 32 mg and 64 mg doses were not statistically significantly different from placebo at week 12 on the primary endpoint of NSFS (p ≤0.259 and p ≤0.064, respectively), or on the key secondary endpoint, PSP total score (p ≤0.542 and nominal p ≤0.021, respectively). The subsequent analysis of the change in baseline in NSFS and PSP total score based on the modified ITT population treated with the 64 mg dose resulted in nominally statistically significant p ≤0.044 and p ≤0.017,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Pivotal Bioequivalence Study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September 30, 2021, we announced results from a pivotal bioequivalence study comparing the roluperidone formulations used in our late-stage Phase 2b, Phase 3 trials, and the planned commercial formulation. The planned commercial formulation was tested under both fasted and fed condition. The study met key pharmacokinetic (PK) objectives, and the data demonstrate bioequivalence across the various formulations. Subject screening in this study was initiated on April 23, 2021, the completion of the enrollment of 48 healthy volunteers was achieved on June 29, 2021, and the last subject assessment took place on July 26, 2021. Subjects were randomized to the four treatment sequences described above in a 1:1:1:1 ratio. Of the 48 subjects randomized, 45 completed all study periods. Male subjects constituted 69% of the participants, and 75% of the subjects were white. Median age was 36 years, and all had negative SARS-CoV2 status at the beginning of the study and of every study period with the exception of 1 subject who tested positive at the beginning of study Period 4 and was discontinued. The mean body mass index was 28.1±4 kg/m</w:t>
      </w:r>
      <w:r>
        <w:rPr>
          <w:rFonts w:ascii="Arial" w:cs="Arial" w:eastAsia="Arial" w:hAnsi="Arial"/>
          <w:sz w:val="13"/>
          <w:szCs w:val="13"/>
          <w:color w:val="auto"/>
        </w:rPr>
        <w:t>2</w:t>
      </w:r>
      <w:r>
        <w:rPr>
          <w:rFonts w:ascii="Arial" w:cs="Arial" w:eastAsia="Arial" w:hAnsi="Arial"/>
          <w:sz w:val="16"/>
          <w:szCs w:val="16"/>
          <w:color w:val="auto"/>
        </w:rPr>
        <w:t>. The results demonstrate the comparability of the formulations used in the late-stage efficacy and safety trials of roluperidone with the planned commercial formulation and allow administration of the drug with or without food.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2020 we exercised our right to opt out of our agreement with Janssen for the future Phase 3 development and commercialization of seltorexant. Under the terms of the opt-out agreement, we are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the Phase 3 program by Jansen and regulatory approvals. As a result of the sale, we will recognize non-cash interest expense related to the amortization of estimated future royalty payments to Royalty Pharma. Accordingly, for the three and nine months ended September 30, 2021, we recognized $1.7 million and $4.6 million in non-cash interest expense related to this agreement.</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$60 million payment received from Royalty Pharma has been included on our balance sheet under Liability related to the sale of future royalties. As we recognize interest expense, the Liability related to the sale of future royalties will increase until such time that we begin to receive the related royalty payments. Under the terms of the agreement, all payments from Royalty Pharma to Minerva, including the initial upfront payment of $60 million as well as amortized interest expense, are not repayable to Royalty Pharma in the event that Janssen discontinues the clinical development of seltorexant or ceases to pursue its commercialization at a future date for any reason.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received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 xml:space="preserve">Collaborative Revenue. </w:t>
      </w:r>
      <w:r>
        <w:rPr>
          <w:rFonts w:ascii="Arial" w:cs="Arial" w:eastAsia="Arial" w:hAnsi="Arial"/>
          <w:sz w:val="18"/>
          <w:szCs w:val="18"/>
          <w:color w:val="auto"/>
        </w:rPr>
        <w:t>During 2020 we exercised our right to opt out of the joint development agreement with Janssen for the future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seltorexant. As a result, we have no future obligations under the agreement and recognized approximately $41.2 million in collaborative revenue during 2020, which we had previously included on our balance sheet under deferred revenue.</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 traded company, including increased audit and legal fees, costs of compliance with securities laws, corporate governance and other regulations, investor relations expenses and higher insurance premiums.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Foreign Exchange (Losses) Gains. </w:t>
      </w:r>
      <w:r>
        <w:rPr>
          <w:rFonts w:ascii="Arial" w:cs="Arial" w:eastAsia="Arial" w:hAnsi="Arial"/>
          <w:sz w:val="17"/>
          <w:szCs w:val="17"/>
          <w:color w:val="auto"/>
        </w:rPr>
        <w:t>Foreign exchange (losses) gains are comprised primarily of losses and gains of foreign currency transactions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Non-cash interest expense for the sale of future royalties. </w:t>
      </w:r>
      <w:r>
        <w:rPr>
          <w:rFonts w:ascii="Arial" w:cs="Arial" w:eastAsia="Arial" w:hAnsi="Arial"/>
          <w:sz w:val="18"/>
          <w:szCs w:val="18"/>
          <w:color w:val="auto"/>
        </w:rPr>
        <w:t>Non-cash interest expense for the sale of future royalties consists of the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Royalty Pharma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versus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were $4.5 million and $4.6 million for the three months ended September 30, 2021 and 2020, respectively, a decrease of approximately $0.1 million. The decrease in research and development expenses was primarily due to a decrease in non-cash stock-based compensation expenses. Non-cash stock compensation expense included in research and development expenses was $0.5 million and $0.8 million for the three months ended September 30, 2021 and 2020,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General and administrative expenses were $3.0 million and $3.5 million for the three months ended September 30, 2021 and 2020, respectively, a decrease of approximately $0.5 million. The decrease in general and administrative expenses was primarily due to a decrease in non-cash stock-based compensation expenses and insurance costs. Non-cash stock compensation expense included in general and administrative expenses was $0.6 million and $1.2 million for the three months ended September 30,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Foreign exchange losses were $5 thousand and $27 thousand for the three months ended September 30, 2021 and 2020, respectively, an increase of $22 thousand. The decrease in foreign exchange losses was primarily due to a lower level of clinical activities in 2021 denominated in Euros.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$4 thousand and $5 thousand for the three months ended September 30, 2021 and 2020, respectively, a decrease of $1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lower interest rates during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Non-cash interest expense for the sale of future royalties was $1.7 million for the three months ended September 30, 2021 and zero for the prior year period. The increase was primarily due to the sale of our royalty interest in seltorexant to Royalty Pharma and the effective interest associated with the agreement, see Note 6 for the sale of future royalties.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2021 versus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Collaborative Revenue was zero and $41.2 million for the nine months ended September 30, 2021 and 2020, respectively, a decrease of $41.2 million. The decrease in collaborative revenue was the result of opting out of our co-development and license agreement with Janssen and recognizing the revenue during the nine months ended September 30, 2020 and no similar activity in the corresponding period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Research and development expenses were $13.3 million and $18.5 million for the nine months ended September 30, 2021 and 2020, respectively, a decrease of approximately $5.2 million. The decrease in research and development expenses was primarily due to a decrease in non-cash stock-based compensation expenses and lower costs for the Phase 3 clinical trial of roluperidone as a result of the completion in May 2020 of the three-month core study portion of the trial. Non-cash stock compensation expense included in research and development expenses was $1.8 million and $2.2 million for the nine months ended September 30,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General and administrative expenses were $10.7 million and $13.5 million for the nine months ended September 30, 2021 and 2020, respectively, a decrease of approximately $2.8 million. The decrease in general and administrative expenses was primarily due to a decrease in non-cash stock-based compensation expenses and severance benefits. Non-cash stock compensation expense included in general and administrative expenses was $2.2 million and $5.6 million for the nine months ended September 30, 2021 and 2020, respectively. The decrease in stock compensation expense of $3.4 million was due primarily to certain stock option awards approved in June 2020 as well as additional stock compensation expense incurred under a severance agreement during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Foreign exchange losses were $29 thousand and $41 thousand for the nine months ended September 30, 2021 and 2020, respectively, an increase of $12 thousand. The decrease in foreign exchange losses was primarily due to a lower level of clinical activities in 2021 denominated in Euros.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620"/>
        <w:spacing w:after="0" w:line="342" w:lineRule="auto"/>
        <w:rPr>
          <w:sz w:val="20"/>
          <w:szCs w:val="20"/>
          <w:color w:val="auto"/>
        </w:rPr>
      </w:pPr>
      <w:r>
        <w:rPr>
          <w:rFonts w:ascii="Arial" w:cs="Arial" w:eastAsia="Arial" w:hAnsi="Arial"/>
          <w:sz w:val="16"/>
          <w:szCs w:val="16"/>
          <w:color w:val="auto"/>
        </w:rPr>
        <w:t>Investment income was $13 thousand and $160 thousand for the nine months ended September 30, 2021 and 2020, respectively, a decrease of $147 thousand. The decrease was primarily due to lower average balances for cash equivalents and marketable securities during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Non-cash interest expense for the sale of future royalties was $4.6 million for the nine months ended September 30, 2021 and zero for the prior year period. The increase was primarily due to the sale of our royalty interest in seltorexant to Royalty Pharma and the effective interest associated with the agreement, see Note 6 for the sale of future royalties.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2021, we had an accumulated deficit of approximately $313.4 million. We anticipate that we will continue to incur net losses for the foreseeable future as we continue the development and potential commercialization of our product candidates and to support our operations as a public company. At September 30, 2021, we had approximately $65.7 million in cash, cash equivalents, and restricted cash. In January 2021, Royalty Pharma acquired our royalty interest in seltorexant for an upfront payment of $60 million and up to an additional $95 million in potential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interim condensed financial statements are issued.</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are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19, 2021, we entered into an agreement with Royalty Pharma under which Royalty Pharma has acquired our royalty interest in seltorexant for an upfront payment of $60 million and up to an additional $95 million in potential milestone payments, contingent upon the achievement of certain clinical, regulatory and commercial milestones for seltorexant by Janssen.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we have not generated any revenue from sales of products. We have only generated collaborative revenue due to opting out of our license and co-development agreement with Janssen, and have only generated revenue from the one-time sale of our royalty interests in seltorexant to Royalty Pharma. We do not know when, or if, we will generate any revenue from sales of our products, or from the potential future royalty streams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380"/>
        <w:spacing w:after="0" w:line="286" w:lineRule="auto"/>
        <w:rPr>
          <w:sz w:val="20"/>
          <w:szCs w:val="20"/>
          <w:color w:val="auto"/>
        </w:rPr>
      </w:pPr>
      <w:r>
        <w:rPr>
          <w:rFonts w:ascii="Arial" w:cs="Arial" w:eastAsia="Arial" w:hAnsi="Arial"/>
          <w:sz w:val="17"/>
          <w:szCs w:val="17"/>
          <w:color w:val="auto"/>
        </w:rPr>
        <w:t>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80" w:type="dxa"/>
            <w:vAlign w:val="bottom"/>
            <w:gridSpan w:val="5"/>
          </w:tcPr>
          <w:p>
            <w:pPr>
              <w:jc w:val="right"/>
              <w:ind w:right="250"/>
              <w:spacing w:after="0" w:line="155" w:lineRule="exact"/>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Operating activities</w:t>
            </w:r>
          </w:p>
        </w:tc>
        <w:tc>
          <w:tcPr>
            <w:tcW w:w="27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9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19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operating activities of approximately $19.8 million during the nine months ended September 30, 2021 was primarily due to our net loss of $28.6 million, a $0.1 million increase in capitalized software, and approximately a $0.1 million decrease in accrued expenses, partially offset by stock-based compensation expense of $4.0 million, non-cash interest expense for the sale of future royalties of $4.6 million, a $0.2 million decrease in prepaid expense, and a $0.2 million increase in accounts payable.</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used in operating activities of approximately $26.7 million during the nine months ended September 30, 2020 was primarily due to our net income of $9.3 million, stock-based compensation expense of $7.7 million, and a $0.4 million increase in accrued expenses, partially offset by a decrease in deferred revenue of $41.2 million, a $1.7 decrease in accounts payable, and an increase prepaid expense of $1.2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nine months ended September 30, 2021.</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 xml:space="preserve">Net cash provided by investing activities of approximately $24.5 million during the nine months ended September 30, 2020 was primarily due to the maturity and redemption of marketable securities of $28.4 million, partially offset by the purchase of marketable securities of $3.9 million. </w:t>
      </w:r>
      <w:r>
        <w:rPr>
          <w:rFonts w:ascii="Arial" w:cs="Arial" w:eastAsia="Arial" w:hAnsi="Arial"/>
          <w:sz w:val="16"/>
          <w:szCs w:val="16"/>
          <w:color w:val="FF0000"/>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provided by financing activities of $60 million during the nine months ended September 30, 2021 was due to the proceeds from the sale of future royalties of $60 million.</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Net cash provided by financing activities of $13.3 million during the nine months ended September 30, 2020 was due to gross proceeds received from the ‘at the market’ stock offering of $12.6 million less costs of $0.4 million, and proceeds from the exercise of common stock options of $1.1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2020, our most critical accounting policies and estimates upon which our financial status depends were identified as those relating to research and development costs; in-process research and development; goodwill; and income taxes. We reviewed our policies and determined that those policies and the accounting policies and estimates relating to the liability related to the sale of future royalties were our most critical accounting policies for the nine months ended September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related to the sale of future royalties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 Under the terms of the agreement, all payments from Royalty Pharma to Minerva, including the initial upfront payment of $60 million as well as amortized interest expense, are not repayable to Royalty Pharma in the event that Janssen discontinues the clinical development of seltorexant or ceases to pursue its commercialization at a future date for any reason.</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2021. Based on the evaluation of our disclosure controls and procedures as of September 30, 2021,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6"/>
          <w:szCs w:val="16"/>
          <w:i w:val="1"/>
          <w:iCs w:val="1"/>
          <w:color w:val="auto"/>
        </w:rPr>
        <w:t>McCoy v. Minerva Neurosciences, Inc., et al., No. 1:20-cv-12176</w:t>
      </w:r>
      <w:r>
        <w:rPr>
          <w:rFonts w:ascii="Arial" w:cs="Arial" w:eastAsia="Arial" w:hAnsi="Arial"/>
          <w:sz w:val="16"/>
          <w:szCs w:val="16"/>
          <w:color w:val="auto"/>
        </w:rPr>
        <w:t xml:space="preserve"> and </w:t>
      </w:r>
      <w:r>
        <w:rPr>
          <w:rFonts w:ascii="Arial" w:cs="Arial" w:eastAsia="Arial" w:hAnsi="Arial"/>
          <w:sz w:val="16"/>
          <w:szCs w:val="16"/>
          <w:i w:val="1"/>
          <w:iCs w:val="1"/>
          <w:color w:val="auto"/>
        </w:rPr>
        <w:t>Ao v.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Neurosciences, Inc. et al., No. 1:21-cv-10051</w:t>
      </w:r>
      <w:r>
        <w:rPr>
          <w:rFonts w:ascii="Arial" w:cs="Arial" w:eastAsia="Arial" w:hAnsi="Arial"/>
          <w:sz w:val="16"/>
          <w:szCs w:val="16"/>
          <w:color w:val="auto"/>
        </w:rPr>
        <w:t>, respectively, against the Company and the Company’s Chairman and Chief Executive Officer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6"/>
          <w:szCs w:val="16"/>
          <w:i w:val="1"/>
          <w:iCs w:val="1"/>
          <w:color w:val="auto"/>
        </w:rPr>
        <w:t>In re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Neurosciences, Inc. Securities Litigation, No. 1:20-cv-12176 </w:t>
      </w:r>
      <w:r>
        <w:rPr>
          <w:rFonts w:ascii="Arial" w:cs="Arial" w:eastAsia="Arial" w:hAnsi="Arial"/>
          <w:sz w:val="16"/>
          <w:szCs w:val="16"/>
          <w:color w:val="auto"/>
        </w:rPr>
        <w:t>and appointing lead plaintiffs and their counsel. On March 19, 2021, the parties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2020, as filed with the SEC on March 8, 2021. The risk factors set forth below are risk factors containing changes, which may be material, from the risk factors previously disclosed in Item 1A of our Annual Report on Form 10-K for the fiscal year ended December 31, 2020, as filed with the SEC.</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an accumulated deficit of $313.4 million.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8" w:name="page29"/>
    <w:bookmarkEnd w:id="28"/>
    <w:p>
      <w:pPr>
        <w:ind w:right="32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September 30, 2021, we had cash, cash equivalents, and restricted cash of $65.7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3" w:lineRule="exact"/>
        <w:rPr>
          <w:sz w:val="20"/>
          <w:szCs w:val="20"/>
          <w:color w:val="auto"/>
        </w:rPr>
      </w:pPr>
    </w:p>
    <w:p>
      <w:pPr>
        <w:ind w:left="1000" w:right="56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ind w:left="1000" w:right="640" w:hanging="493"/>
        <w:spacing w:after="0" w:line="28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To support the health and well-being of our employees, partners and communities, we implemented work-from-home policies for our employees, which continue to be in effect. While global vaccination efforts are underway and certain jurisdictions, including Massachusetts, have reopened businesses and governmental agencies, there remain limitations on the physical operations of businesses and prohibitions on certain non-essential gatherings, and we are unable to accurately predict the full impact that COVID-19 will have due to numerous uncertainties, including the duration of the outbreak, the result of vaccination efforts, resurgence of the virus, actions that may be taken by governmental authorities, the impact on our business including our clinical programs and timelines, and the impact to the business of our service providers and partners. The magnitude of the negative effects of COVID-19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60" w:type="dxa"/>
            <w:vAlign w:val="bottom"/>
            <w:gridSpan w:val="8"/>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8"/>
              </w:rPr>
            </w:pPr>
            <w:hyperlink r:id="rId49">
              <w:r>
                <w:rPr>
                  <w:rFonts w:ascii="Arial" w:cs="Arial" w:eastAsia="Arial" w:hAnsi="Arial"/>
                  <w:sz w:val="18"/>
                  <w:szCs w:val="18"/>
                  <w:color w:val="0000EE"/>
                  <w:w w:val="98"/>
                </w:rPr>
                <w:t>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registration statement on Form S-1/A filed with the SEC on June 10, 2014)</w:t>
              </w:r>
            </w:hyperlink>
          </w:p>
        </w:tc>
        <w:tc>
          <w:tcPr>
            <w:tcW w:w="3860" w:type="dxa"/>
            <w:vAlign w:val="bottom"/>
            <w:tcBorders>
              <w:top w:val="single" w:sz="8" w:color="0000EE"/>
            </w:tcBorders>
            <w:gridSpan w:val="3"/>
          </w:tcPr>
          <w:p>
            <w:pPr>
              <w:spacing w:after="0"/>
              <w:rPr>
                <w:sz w:val="17"/>
                <w:szCs w:val="17"/>
                <w:color w:val="auto"/>
              </w:rPr>
            </w:pPr>
          </w:p>
        </w:tc>
        <w:tc>
          <w:tcPr>
            <w:tcW w:w="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9660" w:type="dxa"/>
            <w:vAlign w:val="bottom"/>
            <w:tcBorders>
              <w:bottom w:val="single" w:sz="8" w:color="0000EE"/>
            </w:tcBorders>
            <w:gridSpan w:val="8"/>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Bylaws of the Registrant (incorporated by reference to Exhibit 3.2 to the Registrant’s registration statement on</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Form S-1/A filed with the SEC on November 4, 2019)</w:t>
              </w:r>
            </w:hyperlink>
          </w:p>
        </w:tc>
        <w:tc>
          <w:tcPr>
            <w:tcW w:w="6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40" w:type="dxa"/>
            <w:vAlign w:val="bottom"/>
          </w:tcPr>
          <w:p>
            <w:pPr>
              <w:spacing w:after="0"/>
              <w:rPr>
                <w:sz w:val="24"/>
                <w:szCs w:val="24"/>
                <w:color w:val="auto"/>
              </w:rPr>
            </w:pPr>
          </w:p>
        </w:tc>
        <w:tc>
          <w:tcPr>
            <w:tcW w:w="10080" w:type="dxa"/>
            <w:vAlign w:val="bottom"/>
            <w:tcBorders>
              <w:bottom w:val="single" w:sz="8" w:color="0000EE"/>
            </w:tcBorders>
            <w:gridSpan w:val="10"/>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Transition, Separation, and Consulting Agreement by and between Minerva Neurosciences, Inc. and Jay B. Saoud, dated September 2, 2021</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(incorporated by reference to Exhibit 10.1 to the Registrant’s current report on Form 8-K filed with the SEC on September 8, 2021)</w:t>
              </w:r>
            </w:hyperlink>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90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(Principal Executive Officer) pursuant to Section 302 of Sarbanes-Oxley Act of 2002</w:t>
              </w:r>
            </w:hyperlink>
          </w:p>
        </w:tc>
        <w:tc>
          <w:tcPr>
            <w:tcW w:w="1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89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Financial Officer (Principal Financial Officer) pursuant to Section 302 of Sarbanes-Oxley Act of 2002</w:t>
              </w:r>
            </w:hyperlink>
          </w:p>
        </w:tc>
        <w:tc>
          <w:tcPr>
            <w:tcW w:w="1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r>
              <w:rPr>
                <w:rFonts w:ascii="Arial" w:cs="Arial" w:eastAsia="Arial" w:hAnsi="Arial"/>
                <w:sz w:val="15"/>
                <w:szCs w:val="15"/>
                <w:color w:val="auto"/>
                <w:w w:val="91"/>
              </w:rPr>
              <w:t>+</w:t>
            </w:r>
          </w:p>
        </w:tc>
        <w:tc>
          <w:tcPr>
            <w:tcW w:w="14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Executive Officer (Principal Executive Officer) and Chief Financial Officer (Principal Financial Officer) pursuant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906 of Sarbanes-Oxley Act of 2002</w:t>
              </w:r>
            </w:hyperlink>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24"/>
                <w:szCs w:val="24"/>
                <w:color w:val="auto"/>
              </w:rPr>
            </w:pPr>
          </w:p>
        </w:tc>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69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right="60" w:hanging="78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cover page from Minerva Neuroscience’s Quarterly Report on Form 10-Q for the three months ended September 30, 2021 is formatted in Inline XBRL and it is contained in Exhibit 101</w:t>
      </w:r>
    </w:p>
    <w:p>
      <w:pPr>
        <w:spacing w:after="0" w:line="210"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50" w:lineRule="exact"/>
        <w:rPr>
          <w:sz w:val="20"/>
          <w:szCs w:val="20"/>
          <w:color w:val="auto"/>
        </w:rPr>
      </w:pPr>
    </w:p>
    <w:p>
      <w:pPr>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Frederick Ahlholm</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320" w:top="553" w:right="5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46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Executive Chairman and</w:t>
      </w:r>
    </w:p>
    <w:p>
      <w:pPr>
        <w:spacing w:after="0" w:line="22"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Executive Office</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Frederick Ahlholm, certify that:</w:t>
      </w:r>
    </w:p>
    <w:p>
      <w:pPr>
        <w:spacing w:after="0" w:line="11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Frederick Ahlholm</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9"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2021, to which this Certification is attached as Exhibit 32.1 (the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right="2800" w:hanging="6749"/>
        <w:spacing w:after="0" w:line="306" w:lineRule="auto"/>
        <w:tabs>
          <w:tab w:leader="none" w:pos="67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7"/>
          <w:szCs w:val="17"/>
          <w:color w:val="auto"/>
        </w:rPr>
        <w:t>Frederick Ahlholm Chief Financial Officer</w:t>
      </w:r>
    </w:p>
    <w:p>
      <w:pPr>
        <w:spacing w:after="0" w:line="3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04"/>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49" Type="http://schemas.openxmlformats.org/officeDocument/2006/relationships/hyperlink" Target="http://www.sec.gov/Archives/edgar/data/0001598646/000104746914005459/a2219972zex-3_1.htm" TargetMode="External"/><Relationship Id="rId50" Type="http://schemas.openxmlformats.org/officeDocument/2006/relationships/hyperlink" Target="http://www.sec.gov/Archives/edgar/data/0001598646/000156459019039496/nerv-ex32_112.htm" TargetMode="External"/><Relationship Id="rId51" Type="http://schemas.openxmlformats.org/officeDocument/2006/relationships/hyperlink" Target="http://www.sec.gov/Archives/edgar/data/1598646/000119312521267364/d19607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2021-11-08T06:03:59Z</dcterms:created>
  <dcterms:modified xsi:type="dcterms:W3CDTF">2021-11-08T06:03:59Z</dcterms:modified>
</cp:coreProperties>
</file>