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3820" w:right="1700" w:hanging="3812"/>
        <w:spacing w:after="0" w:line="375" w:lineRule="auto"/>
        <w:tabs>
          <w:tab w:leader="none" w:pos="3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3674745</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2" w:lineRule="exact"/>
        <w:rPr>
          <w:sz w:val="24"/>
          <w:szCs w:val="24"/>
          <w:color w:val="auto"/>
        </w:rPr>
      </w:pPr>
    </w:p>
    <w:tbl>
      <w:tblPr>
        <w:tblLayout w:type="fixed"/>
        <w:tblInd w:w="1220" w:type="dxa"/>
        <w:tblCellMar>
          <w:top w:w="0" w:type="dxa"/>
          <w:left w:w="0" w:type="dxa"/>
          <w:bottom w:w="0" w:type="dxa"/>
          <w:right w:w="0" w:type="dxa"/>
        </w:tblCellMar>
      </w:tblPr>
      <w:tr>
        <w:trPr>
          <w:trHeight w:val="238"/>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221"/>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8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64"/>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1500 District Avenue</w:t>
            </w:r>
          </w:p>
        </w:tc>
        <w:tc>
          <w:tcPr>
            <w:tcW w:w="3120" w:type="dxa"/>
            <w:vAlign w:val="bottom"/>
          </w:tcPr>
          <w:p>
            <w:pPr>
              <w:spacing w:after="0"/>
              <w:rPr>
                <w:sz w:val="24"/>
                <w:szCs w:val="24"/>
                <w:color w:val="auto"/>
              </w:rPr>
            </w:pPr>
          </w:p>
        </w:tc>
      </w:tr>
      <w:tr>
        <w:trPr>
          <w:trHeight w:val="238"/>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Burlington, MA</w:t>
            </w:r>
          </w:p>
        </w:tc>
        <w:tc>
          <w:tcPr>
            <w:tcW w:w="3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43"/>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600-7373</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6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r>
      <w:tr>
        <w:trPr>
          <w:trHeight w:val="237"/>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NERV</w:t>
            </w: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9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Accelerated filer</w:t>
            </w:r>
          </w:p>
        </w:tc>
        <w:tc>
          <w:tcPr>
            <w:tcW w:w="17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7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88"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6840" w:val="left"/>
          <w:tab w:leader="none" w:pos="74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$0.0001 par value per share, outstanding as of April 26, 2024 was 6,993,406.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950595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00" w:type="dxa"/>
            <w:vAlign w:val="bottom"/>
            <w:gridSpan w:val="13"/>
          </w:tcPr>
          <w:p>
            <w:pPr>
              <w:jc w:val="center"/>
              <w:ind w:right="2540"/>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660" w:type="dxa"/>
            <w:vAlign w:val="bottom"/>
          </w:tcPr>
          <w:p>
            <w:pPr>
              <w:spacing w:after="0"/>
              <w:rPr>
                <w:sz w:val="15"/>
                <w:szCs w:val="15"/>
                <w:color w:val="auto"/>
              </w:rPr>
            </w:pPr>
          </w:p>
        </w:tc>
      </w:tr>
      <w:tr>
        <w:trPr>
          <w:trHeight w:val="46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100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354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5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2024 and 2023</w:t>
            </w:r>
          </w:p>
        </w:tc>
        <w:tc>
          <w:tcPr>
            <w:tcW w:w="2000" w:type="dxa"/>
            <w:vAlign w:val="bottom"/>
            <w:gridSpan w:val="3"/>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3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Deficit for the three months ended March 31, 2024 and 2023</w:t>
            </w: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190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EE"/>
            </w:tcBorders>
            <w:gridSpan w:val="5"/>
          </w:tcPr>
          <w:p>
            <w:pPr>
              <w:spacing w:after="0"/>
              <w:rPr>
                <w:sz w:val="19"/>
                <w:szCs w:val="19"/>
                <w:color w:val="auto"/>
              </w:rPr>
            </w:pPr>
          </w:p>
        </w:tc>
        <w:tc>
          <w:tcPr>
            <w:tcW w:w="3080" w:type="dxa"/>
            <w:vAlign w:val="bottom"/>
            <w:gridSpan w:val="4"/>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64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r>
      <w:tr>
        <w:trPr>
          <w:trHeight w:val="46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EE"/>
            </w:tcBorders>
            <w:gridSpan w:val="2"/>
          </w:tcPr>
          <w:p>
            <w:pPr>
              <w:spacing w:after="0"/>
              <w:rPr>
                <w:sz w:val="19"/>
                <w:szCs w:val="19"/>
                <w:color w:val="auto"/>
              </w:rPr>
            </w:pPr>
          </w:p>
        </w:tc>
        <w:tc>
          <w:tcPr>
            <w:tcW w:w="8200" w:type="dxa"/>
            <w:vAlign w:val="bottom"/>
            <w:gridSpan w:val="16"/>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180" w:type="dxa"/>
            <w:vAlign w:val="bottom"/>
            <w:gridSpan w:val="8"/>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200" w:type="dxa"/>
            <w:vAlign w:val="bottom"/>
            <w:gridSpan w:val="14"/>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760" w:type="dxa"/>
            <w:vAlign w:val="bottom"/>
            <w:gridSpan w:val="15"/>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20" w:type="dxa"/>
            <w:vAlign w:val="bottom"/>
            <w:gridSpan w:val="17"/>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940" w:type="dxa"/>
            <w:vAlign w:val="bottom"/>
            <w:gridSpan w:val="1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898"/>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20" w:type="dxa"/>
            <w:vAlign w:val="bottom"/>
            <w:gridSpan w:val="13"/>
          </w:tcPr>
          <w:p>
            <w:pPr>
              <w:jc w:val="right"/>
              <w:ind w:right="12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2023 under Part I, Item IA, “Risk Factors.”</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and service marks appearing in this Quarterly Report on Form 10-Q are the property of their respective owners.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0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540" w:type="dxa"/>
            <w:vAlign w:val="bottom"/>
            <w:shd w:val="clear" w:color="auto" w:fill="CFF0FC"/>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34,818,304</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40,912,575</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702,546</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989,865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35,620,850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42,002,440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net</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tcPr>
          <w:p>
            <w:pPr>
              <w:spacing w:after="0"/>
              <w:rPr>
                <w:sz w:val="20"/>
                <w:szCs w:val="20"/>
                <w:color w:val="auto"/>
              </w:rPr>
            </w:pPr>
          </w:p>
        </w:tc>
      </w:tr>
      <w:tr>
        <w:trPr>
          <w:trHeight w:val="281"/>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50,510,415</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56,899,750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540" w:type="dxa"/>
            <w:vAlign w:val="bottom"/>
            <w:shd w:val="clear" w:color="auto" w:fill="CFF0FC"/>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1,435,568</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1,805,320</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1,395,227</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1,535,097</w:t>
            </w:r>
          </w:p>
        </w:tc>
        <w:tc>
          <w:tcPr>
            <w:tcW w:w="100" w:type="dxa"/>
            <w:vAlign w:val="bottom"/>
          </w:tcPr>
          <w:p>
            <w:pPr>
              <w:spacing w:after="0"/>
              <w:rPr>
                <w:sz w:val="20"/>
                <w:szCs w:val="20"/>
                <w:color w:val="auto"/>
              </w:rPr>
            </w:pPr>
          </w:p>
        </w:tc>
      </w:tr>
      <w:tr>
        <w:trPr>
          <w:trHeight w:val="241"/>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2,830,795</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3,340,417</w:t>
            </w: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84,267,066</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82,016,823</w:t>
            </w:r>
          </w:p>
        </w:tc>
        <w:tc>
          <w:tcPr>
            <w:tcW w:w="100" w:type="dxa"/>
            <w:vAlign w:val="bottom"/>
          </w:tcPr>
          <w:p>
            <w:pPr>
              <w:spacing w:after="0"/>
              <w:rPr>
                <w:sz w:val="20"/>
                <w:szCs w:val="20"/>
                <w:color w:val="auto"/>
              </w:rPr>
            </w:pPr>
          </w:p>
        </w:tc>
      </w:tr>
      <w:tr>
        <w:trPr>
          <w:trHeight w:val="237"/>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87,097,861</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85,357,240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100,000,000 shares authorized; none issued or outstanding as of</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3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125,000,000 shares authorized; 6,993,406 shares issued and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March 31, 2024 and December 31, 2023</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0"/>
                <w:szCs w:val="20"/>
                <w:color w:val="auto"/>
              </w:rPr>
            </w:pPr>
          </w:p>
        </w:tc>
      </w:tr>
      <w:tr>
        <w:trPr>
          <w:trHeight w:val="250"/>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368,796,088</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368,357,239</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(405,384,233 )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(396,815,428 )</w:t>
            </w:r>
          </w:p>
        </w:tc>
      </w:tr>
      <w:tr>
        <w:trPr>
          <w:trHeight w:val="20"/>
        </w:trPr>
        <w:tc>
          <w:tcPr>
            <w:tcW w:w="7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(36,587,446 )</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(28,457,490 )</w:t>
            </w:r>
          </w:p>
        </w:tc>
      </w:tr>
      <w:tr>
        <w:trPr>
          <w:trHeight w:val="241"/>
        </w:trPr>
        <w:tc>
          <w:tcPr>
            <w:tcW w:w="75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50,510,415</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56,899,750</w:t>
            </w:r>
          </w:p>
        </w:tc>
        <w:tc>
          <w:tcPr>
            <w:tcW w:w="100" w:type="dxa"/>
            <w:vAlign w:val="bottom"/>
            <w:tcBorders>
              <w:top w:val="single" w:sz="8" w:color="CFF0FC"/>
            </w:tcBorders>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-3933825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-2991485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-2973705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-2991485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-1713865</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2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3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4,167,287</w:t>
            </w:r>
          </w:p>
        </w:tc>
        <w:tc>
          <w:tcPr>
            <w:tcW w:w="3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2,653,553</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2,514,676</w:t>
            </w:r>
          </w:p>
        </w:tc>
        <w:tc>
          <w:tcPr>
            <w:tcW w:w="3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2,694,965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6,681,963</w:t>
            </w:r>
          </w:p>
        </w:tc>
        <w:tc>
          <w:tcPr>
            <w:tcW w:w="3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5,348,518</w:t>
            </w:r>
          </w:p>
        </w:tc>
        <w:tc>
          <w:tcPr>
            <w:tcW w:w="100" w:type="dxa"/>
            <w:vAlign w:val="bottom"/>
          </w:tcPr>
          <w:p>
            <w:pPr>
              <w:spacing w:after="0"/>
              <w:rPr>
                <w:sz w:val="20"/>
                <w:szCs w:val="20"/>
                <w:color w:val="auto"/>
              </w:rPr>
            </w:pPr>
          </w:p>
        </w:tc>
      </w:tr>
      <w:tr>
        <w:trPr>
          <w:trHeight w:val="241"/>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(6,681,963 )</w:t>
            </w:r>
          </w:p>
        </w:tc>
        <w:tc>
          <w:tcPr>
            <w:tcW w:w="4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(5,348,518 )</w:t>
            </w:r>
          </w:p>
        </w:tc>
      </w:tr>
      <w:tr>
        <w:trPr>
          <w:trHeight w:val="243"/>
        </w:trPr>
        <w:tc>
          <w:tcPr>
            <w:tcW w:w="7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(8,686 )</w:t>
            </w: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357,908</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364,218</w:t>
            </w:r>
          </w:p>
        </w:tc>
        <w:tc>
          <w:tcPr>
            <w:tcW w:w="100" w:type="dxa"/>
            <w:vAlign w:val="bottom"/>
          </w:tcPr>
          <w:p>
            <w:pPr>
              <w:spacing w:after="0"/>
              <w:rPr>
                <w:sz w:val="20"/>
                <w:szCs w:val="20"/>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4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(2,250,243 )</w:t>
            </w:r>
          </w:p>
        </w:tc>
        <w:tc>
          <w:tcPr>
            <w:tcW w:w="4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(1,977,426 )</w:t>
            </w:r>
          </w:p>
        </w:tc>
      </w:tr>
      <w:tr>
        <w:trPr>
          <w:trHeight w:val="20"/>
        </w:trPr>
        <w:tc>
          <w:tcPr>
            <w:tcW w:w="7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(8,568,805 )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(6,970,412 )</w:t>
            </w:r>
          </w:p>
        </w:tc>
      </w:tr>
      <w:tr>
        <w:trPr>
          <w:trHeight w:val="20"/>
        </w:trPr>
        <w:tc>
          <w:tcPr>
            <w:tcW w:w="7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(1.31 )</w:t>
            </w:r>
          </w:p>
        </w:tc>
      </w:tr>
      <w:tr>
        <w:trPr>
          <w:trHeight w:val="20"/>
        </w:trPr>
        <w:tc>
          <w:tcPr>
            <w:tcW w:w="7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4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3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5,340,193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-1645285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-702310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320" w:type="dxa"/>
            <w:vAlign w:val="bottom"/>
          </w:tcPr>
          <w:p>
            <w:pPr>
              <w:spacing w:after="0"/>
              <w:rPr>
                <w:sz w:val="14"/>
                <w:szCs w:val="14"/>
                <w:color w:val="auto"/>
              </w:rPr>
            </w:pPr>
          </w:p>
        </w:tc>
        <w:tc>
          <w:tcPr>
            <w:tcW w:w="14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5,340,193</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346,785,322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(366,810,075 )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(20,024,219 )</w:t>
            </w:r>
          </w:p>
        </w:tc>
      </w:tr>
      <w:tr>
        <w:trPr>
          <w:trHeight w:val="23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376,459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376,459</w:t>
            </w:r>
          </w:p>
        </w:tc>
        <w:tc>
          <w:tcPr>
            <w:tcW w:w="100" w:type="dxa"/>
            <w:vAlign w:val="bottom"/>
          </w:tcPr>
          <w:p>
            <w:pPr>
              <w:spacing w:after="0"/>
              <w:rPr>
                <w:sz w:val="20"/>
                <w:szCs w:val="20"/>
                <w:color w:val="auto"/>
              </w:rPr>
            </w:pPr>
          </w:p>
        </w:tc>
      </w:tr>
      <w:tr>
        <w:trPr>
          <w:trHeight w:val="247"/>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(6,970,412 )</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(6,970,412 )</w:t>
            </w:r>
          </w:p>
        </w:tc>
      </w:tr>
      <w:tr>
        <w:trPr>
          <w:trHeight w:val="20"/>
        </w:trPr>
        <w:tc>
          <w:tcPr>
            <w:tcW w:w="33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5,340,193</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347,161,781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(373,780,487 )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(26,618,172 )</w:t>
            </w:r>
          </w:p>
        </w:tc>
      </w:tr>
      <w:tr>
        <w:trPr>
          <w:trHeight w:val="20"/>
        </w:trPr>
        <w:tc>
          <w:tcPr>
            <w:tcW w:w="33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3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-342265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-342265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-342265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-342265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p>
      <w:pPr>
        <w:ind w:left="20" w:right="120"/>
        <w:spacing w:after="0" w:line="303" w:lineRule="auto"/>
        <w:rPr>
          <w:sz w:val="20"/>
          <w:szCs w:val="20"/>
          <w:color w:val="auto"/>
        </w:rPr>
      </w:pPr>
      <w:r>
        <w:rPr>
          <w:rFonts w:ascii="Times New Roman" w:cs="Times New Roman" w:eastAsia="Times New Roman" w:hAnsi="Times New Roman"/>
          <w:sz w:val="17"/>
          <w:szCs w:val="17"/>
          <w:b w:val="1"/>
          <w:bCs w:val="1"/>
          <w:color w:val="auto"/>
        </w:rPr>
        <w:t xml:space="preserve">Balances at January 1, 2024 </w:t>
      </w:r>
      <w:r>
        <w:rPr>
          <w:rFonts w:ascii="Times New Roman" w:cs="Times New Roman" w:eastAsia="Times New Roman" w:hAnsi="Times New Roman"/>
          <w:sz w:val="17"/>
          <w:szCs w:val="17"/>
          <w:color w:val="auto"/>
        </w:rPr>
        <w:t>Stock-based compensation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20" w:type="dxa"/>
        <w:tblCellMar>
          <w:top w:w="0" w:type="dxa"/>
          <w:left w:w="0" w:type="dxa"/>
          <w:bottom w:w="0" w:type="dxa"/>
          <w:right w:w="0" w:type="dxa"/>
        </w:tblCellMar>
      </w:tblPr>
      <w:tr>
        <w:trPr>
          <w:trHeight w:val="238"/>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8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368,357,239</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(396,815,428 )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(28,457,490 )</w:t>
            </w:r>
          </w:p>
        </w:tc>
      </w:tr>
      <w:tr>
        <w:trPr>
          <w:trHeight w:val="23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60" w:type="dxa"/>
            <w:vAlign w:val="bottom"/>
          </w:tcPr>
          <w:p>
            <w:pPr>
              <w:spacing w:after="0"/>
              <w:rPr>
                <w:sz w:val="20"/>
                <w:szCs w:val="20"/>
                <w:color w:val="auto"/>
              </w:rPr>
            </w:pPr>
          </w:p>
        </w:tc>
      </w:tr>
      <w:tr>
        <w:trPr>
          <w:trHeight w:val="250"/>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(8,568,805 )</w:t>
            </w: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(8,568,805 )</w:t>
            </w:r>
          </w:p>
        </w:tc>
      </w:tr>
      <w:tr>
        <w:trPr>
          <w:trHeight w:val="241"/>
        </w:trPr>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2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368,796,088</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(405,384,233</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(36,587,446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-496570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-179070</wp:posOffset>
            </wp:positionV>
            <wp:extent cx="713232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3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80" w:space="720"/>
            <w:col w:w="8240"/>
          </w:cols>
          <w:pgMar w:left="320" w:top="1012" w:right="339" w:bottom="1440" w:gutter="0" w:footer="0" w:header="0"/>
          <w:type w:val="continuous"/>
        </w:sectPr>
      </w:pPr>
    </w:p>
    <w:bookmarkStart w:id="6" w:name="page7"/>
    <w:bookmarkEnd w:id="6"/>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6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(8,568,805 )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(6,970,412 )</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376,459</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2,250,243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1,977,426</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Refundable regulatory fee</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3,117,218</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287,319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252,072</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(369,752 )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(8,669 )</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(139,870 )</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1,132,754</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(6,094,271 )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(115,407 )</w:t>
            </w:r>
          </w:p>
        </w:tc>
      </w:tr>
      <w:tr>
        <w:trPr>
          <w:trHeight w:val="241"/>
        </w:trPr>
        <w:tc>
          <w:tcPr>
            <w:tcW w:w="766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1"/>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6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(6,094,271 )</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(115,407 )</w:t>
            </w:r>
          </w:p>
        </w:tc>
      </w:tr>
      <w:tr>
        <w:trPr>
          <w:trHeight w:val="247"/>
        </w:trPr>
        <w:tc>
          <w:tcPr>
            <w:tcW w:w="7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41,012,575</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36,193,606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34,918,304</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36,078,199</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766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the Condensed Consolidated Statements of Cash Flows to the</w:t>
            </w:r>
          </w:p>
        </w:tc>
        <w:tc>
          <w:tcPr>
            <w:tcW w:w="3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52"/>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34,818,304</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35,978,199</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34,918,304</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36,078,199</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-2562225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-2245360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-1602105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-976630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of March 31, 2024 and for the Three Months Ended March 31, 2024 and 2023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proprietary product candidates to treat patients suffering from central nervous system diseases. The Company’s lead product candidate is roluperidone, a compound the Company is developing for the treatment of negative symptoms in patients with schizophrenia. The Company previously submitted a New Drug Application (“NDA”) with the U.S. Food and Drug Administration (“FDA”) for roluperidone for the treatment of negative symptoms in schizophrenia in August 2022. On February 26, 2024, the FDA issued a Complete Response Letter regarding such NDA for roluperidone.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also has exclusive rights to develop and commercialize MIN-301, a compound for the treatment of Parkinson’s disease. In addition, Minerva previously co-developed seltorexant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up front payment and up to an additional $95 million in potential future milestone payments.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March 31, 2024, the Company had an accumulated deficit of approximately $405.4 million and net cash used in operating activities was approximately $6.1 million during the three months ended March 31, 2024.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March 31, 2024, the Company had cash, cash equivalents, and restricted cash of $34.9 million, which it believes will be sufficient to meet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operating commitments for the next 12 months from the date its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will need to raise additional capital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if the Company does not satisfy The Nasdaq Capital Market continued listing requirements, its common stock may be subject to delisting, which could impact the Company’s ability to complete additional equity financings on terms acceptable to the Company. On April 10, 2024, the Company received a deficiency letter from The Nasdaq Stock Market LLC (“Nasdaq”) notifying the Company that for the last 31 consecutive business days, the market value of listed securities (“MVLS requirement”) for its common stock had been below the minimum MVLS requirement of $35 million pursuant to Nasdaq Listing Rule 5550(b)(2). In accordance with the listing rules of Nasdaq, the Company has been provided with a grace period of 180 calendar days, or until October 7, 2024, to regain compliance. If the Company does not regain compliance within the grace period, the Company expects that Nasdaq would provide notice that its securities are subject to delisting.</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March 31, 2024, the results of operations for the three months ended March 31, 2024 and 2023 and cash flows for the three months ended March 31, 2024 and 2023. The results of operations for the three months ended March 31, 2024 are not necessarily indicative of the results to be expected for the full year. The consolidated balance sheet as of December 31, 2023 was derived from the audited annual financial statements. The accompanying unaudited condensed consolidated financial statements and notes thereto should be read in conjunction with the audited consolidated financial statements for the year ended December 31, 2023 included in the Company’s Annual Report on Form 10-K filed with the SEC on February 22, 2024.</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each of March 31, 2024 and December 31, 2023.</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and are adopted by the Company as of the specified effective date. The Company believes that the impact of recently issued, but not yet adopted, accounting pronouncements will not have a material impact on the condensed consolidated financial statements or do not apply to the Company.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496,403</w:t>
            </w:r>
          </w:p>
        </w:tc>
        <w:tc>
          <w:tcPr>
            <w:tcW w:w="5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777,680</w:t>
            </w:r>
          </w:p>
        </w:tc>
        <w:tc>
          <w:tcPr>
            <w:tcW w:w="80" w:type="dxa"/>
            <w:vAlign w:val="bottom"/>
            <w:shd w:val="clear" w:color="auto" w:fill="CFF0FC"/>
          </w:tcPr>
          <w:p>
            <w:pPr>
              <w:spacing w:after="0"/>
              <w:rPr>
                <w:sz w:val="20"/>
                <w:szCs w:val="20"/>
                <w:color w:val="auto"/>
              </w:rPr>
            </w:pP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379,234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363,650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590,769</w:t>
            </w:r>
          </w:p>
        </w:tc>
        <w:tc>
          <w:tcPr>
            <w:tcW w:w="80" w:type="dxa"/>
            <w:vAlign w:val="bottom"/>
            <w:shd w:val="clear" w:color="auto" w:fill="CFF0FC"/>
          </w:tcPr>
          <w:p>
            <w:pPr>
              <w:spacing w:after="0"/>
              <w:rPr>
                <w:sz w:val="21"/>
                <w:szCs w:val="21"/>
                <w:color w:val="auto"/>
              </w:rPr>
            </w:pP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166,648</w:t>
            </w:r>
          </w:p>
        </w:tc>
        <w:tc>
          <w:tcPr>
            <w:tcW w:w="80" w:type="dxa"/>
            <w:vAlign w:val="bottom"/>
          </w:tcPr>
          <w:p>
            <w:pPr>
              <w:spacing w:after="0"/>
              <w:rPr>
                <w:sz w:val="20"/>
                <w:szCs w:val="20"/>
                <w:color w:val="auto"/>
              </w:rPr>
            </w:pPr>
          </w:p>
        </w:tc>
      </w:tr>
      <w:tr>
        <w:trPr>
          <w:trHeight w:val="247"/>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Vacation pay</w:t>
            </w: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36,126</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1,395,227</w:t>
            </w:r>
          </w:p>
        </w:tc>
        <w:tc>
          <w:tcPr>
            <w:tcW w:w="5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1,535,097</w:t>
            </w:r>
          </w:p>
        </w:tc>
        <w:tc>
          <w:tcPr>
            <w:tcW w:w="8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-187960</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LOSS PER SHARE OF COMMON STOCK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 average number of shares of common stock outstanding, plus potential outstanding common stock for the period. Potential outstanding common stock includes stock options and shares underlying RSUs, but only to the extent that their inclusion is dilutive.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2023, in connection with the Private Placement (as defined and described in Note 6, Stockholders’ Deficit), the Company issued and sold pre-funded warrants exercisable for an aggregate of 575,575 shares of common stock. The purchase price of the pre-funded warrants was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loss per share as of March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for common stockholders: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58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(8,568,805 )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(6,970,412 )</w:t>
            </w: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5,340,193</w:t>
            </w:r>
          </w:p>
        </w:tc>
        <w:tc>
          <w:tcPr>
            <w:tcW w:w="80" w:type="dxa"/>
            <w:vAlign w:val="bottom"/>
          </w:tcPr>
          <w:p>
            <w:pPr>
              <w:spacing w:after="0"/>
              <w:rPr>
                <w:sz w:val="20"/>
                <w:szCs w:val="20"/>
                <w:color w:val="auto"/>
              </w:rPr>
            </w:pPr>
          </w:p>
        </w:tc>
      </w:tr>
      <w:tr>
        <w:trPr>
          <w:trHeight w:val="24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(1.13 )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5298440</wp:posOffset>
            </wp:positionH>
            <wp:positionV relativeFrom="paragraph">
              <wp:posOffset>-603250</wp:posOffset>
            </wp:positionV>
            <wp:extent cx="8572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-603250</wp:posOffset>
            </wp:positionV>
            <wp:extent cx="7683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54305"/>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March 31, 2024 and 2023 have been excluded from the calculation of weighted average shares outstanding as their effect on the calculation of loss per share is antidilutive:</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312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56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1,115,357</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700,929</w:t>
            </w:r>
          </w:p>
        </w:tc>
        <w:tc>
          <w:tcPr>
            <w:tcW w:w="80" w:type="dxa"/>
            <w:vAlign w:val="bottom"/>
            <w:shd w:val="clear" w:color="auto" w:fill="CFF0FC"/>
          </w:tcPr>
          <w:p>
            <w:pPr>
              <w:spacing w:after="0"/>
              <w:rPr>
                <w:sz w:val="20"/>
                <w:szCs w:val="20"/>
                <w:color w:val="auto"/>
              </w:rPr>
            </w:pPr>
          </w:p>
        </w:tc>
      </w:tr>
      <w:tr>
        <w:trPr>
          <w:trHeight w:val="239"/>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456,422</w:t>
            </w:r>
          </w:p>
        </w:tc>
        <w:tc>
          <w:tcPr>
            <w:tcW w:w="80" w:type="dxa"/>
            <w:vAlign w:val="bottom"/>
          </w:tcPr>
          <w:p>
            <w:pPr>
              <w:spacing w:after="0"/>
              <w:rPr>
                <w:sz w:val="20"/>
                <w:szCs w:val="20"/>
                <w:color w:val="auto"/>
              </w:rPr>
            </w:pPr>
          </w:p>
        </w:tc>
      </w:tr>
      <w:tr>
        <w:trPr>
          <w:trHeight w:val="247"/>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5212715</wp:posOffset>
            </wp:positionH>
            <wp:positionV relativeFrom="paragraph">
              <wp:posOffset>-603250</wp:posOffset>
            </wp:positionV>
            <wp:extent cx="8572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-603250</wp:posOffset>
            </wp:positionV>
            <wp:extent cx="7683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543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joint development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as Royalty Pharma has recourse against the Company relating to the payments due from Janssen. As such, the Company applied the debt recognition guidance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recorded the upfront payment of $60 million as a liability related to the sale of future royalties (“Royalty Obligation”), which will be amortized under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0" w:name="page11"/>
    <w:bookmarkEnd w:id="10"/>
    <w:p>
      <w:pPr>
        <w:ind w:right="80"/>
        <w:spacing w:after="0" w:line="261" w:lineRule="auto"/>
        <w:rPr>
          <w:sz w:val="20"/>
          <w:szCs w:val="20"/>
          <w:color w:val="auto"/>
        </w:rPr>
      </w:pPr>
      <w:r>
        <w:rPr>
          <w:rFonts w:ascii="Times New Roman" w:cs="Times New Roman" w:eastAsia="Times New Roman" w:hAnsi="Times New Roman"/>
          <w:sz w:val="18"/>
          <w:szCs w:val="18"/>
          <w:color w:val="auto"/>
        </w:rPr>
        <w:t>interest method over the estimated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 In addition, in accordance with ASC 470, Debt, the Company will account for any royalties received in the future as non-cash royalty revenue.</w:t>
      </w:r>
    </w:p>
    <w:p>
      <w:pPr>
        <w:spacing w:after="0" w:line="19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royalties are remitted from Janssen 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potential milestone payments will also be recorded as a liability related to the sale of future royalties and amortized as interest expense over the estimated remaining life of the agreement. At execution, the Company’s estimate of this total interest expense resulted in an effective annual interest rate of approximately 10.5%. As of March 31, 2024, the Company estimated the effective annual interest rate to be approximately 10.97%. This estimate contains significant assumptions, which are considered Level 3 fair value inputs, regarding the timing and amount of expected royalty and milestone payments that impact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regulatory authority imposed restrictions on the use of the drug products, significant changes in foreign exchange rates as the royalties remitted to Royalty Pharma are made in U.S. dollars (“USD”) while the underlying sales of seltorexant will be made in currencies other than USD and other events or circumstances that are not currently foreseen. Changes to any of these factors could result in increases or decreases to both royalty revenues and interest expense. Janssen is currently conducting one Phase 3 study with seltorexant, completed a Phase 3 study during 2023, and discontinued a Phase 3 study during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of the Royalty Obligation since the transaction inception through March 31, 2024:</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7"/>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payment from the sale of future royalties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80" w:type="dxa"/>
            <w:vAlign w:val="bottom"/>
            <w:shd w:val="clear" w:color="auto" w:fill="CFF0FC"/>
          </w:tcPr>
          <w:p>
            <w:pPr>
              <w:spacing w:after="0"/>
              <w:rPr>
                <w:sz w:val="20"/>
                <w:szCs w:val="20"/>
                <w:color w:val="auto"/>
              </w:rPr>
            </w:pPr>
          </w:p>
        </w:tc>
      </w:tr>
      <w:tr>
        <w:trPr>
          <w:trHeight w:val="24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24,267,066</w:t>
            </w:r>
          </w:p>
        </w:tc>
        <w:tc>
          <w:tcPr>
            <w:tcW w:w="80" w:type="dxa"/>
            <w:vAlign w:val="bottom"/>
          </w:tcPr>
          <w:p>
            <w:pPr>
              <w:spacing w:after="0"/>
              <w:rPr>
                <w:sz w:val="21"/>
                <w:szCs w:val="21"/>
                <w:color w:val="auto"/>
              </w:rPr>
            </w:pPr>
          </w:p>
        </w:tc>
      </w:tr>
      <w:tr>
        <w:trPr>
          <w:trHeight w:val="276"/>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84,267,066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and Warrants</w:t>
      </w:r>
    </w:p>
    <w:p>
      <w:pPr>
        <w:spacing w:after="0" w:line="22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On June 27, 2023, the Company entered into a securities purchase agreement (the “Securities Purchase Agreement”) with certain institutional accredited investors (the “Investors”), pursuant to which the Company agreed to issue and sell to the Investors in a private placement (the “Private Placement”) (i) an aggregate of 1,425,000 shares (the “Shares”) of the Company’s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pre-funded warrants issued in the Private Placement provide that a holder of the pre-funded warrants will not have the right to exercise any portion of its pre-funded warrants to the extent such holder, together with its affiliates, after giving effect to such exercise, would beneficially own in excess of the beneficial ownership limitation, as elected by such Investor, immediately after giving effect to such exercise (the “Beneficial Ownership Limitation”); provided, however, that each pre-funded warrant holder may increase or decrease the Beneficial Ownership Limitation by giving 61 days’ notice to the Company, but not to any percentage in excess of 19.99%.</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June 30, 2023, the Private Placement closed and the Company received aggregate gross proceeds from the Private Placement of $20.0 million. The Company incurred approximately $0.4 million in offering expenses during 2023, which were included as a component of additional paid-in capital, resulting in net proceeds of $19.6 million from the Private Placement.</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11" w:name="page12"/>
    <w:bookmarkEnd w:id="11"/>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Securities Purchase Agreement, the Company filed a registration statement on Form S-3 (File No. 333-273686), which was declared effective by the SEC on August 9, 2023, covering the resale of the Registrable Securities (as such term is defined in the Securities Purchase Agreement). The Company has agreed to use its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Securities Purchase Agreement).</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Securities Purchase Agreement, in connection with the Private Placement, Boehringer Ingelheim International GmbH (“BI”), an Investor in the Private Placement, has the right to designate an observer to attend, subject to certain exceptions, meetings of the Company’s board of directors and its committees, until the earlier of (i) the occurrence of a Change of Control and (ii) the date that it and its affiliates collectively hold less than 10% of the Company’s common stock (which shall be calculated by including in the amount of common stock held by such Investor and its affiliates any shares of common stock issuable upon exercise of any portion of the pre-funded warrant issued to such Investor and not yet exercised). BI designated a board observer on August 29, 2023.</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2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the three months ended March 31, 2024, no shares of the Company’s common stock were issued or sold under the Sales Agreement. As of March 31, 2024, an aggregate of $22.6 million was eligible for sale pursuant to the Sales Agreement under the Company’s effective registration statement on Form S-3 (File No. 333-267424).</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Term Loan Warrants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5,099 shares of common stock at a per share exercise price of $44.13. The warrants were immediately exercisable upon issuance, and other than in connection with certain mergers or acquisitions, will expire on the ten-year anniversary of the date of issuance. The term loans were repaid in August 2018. All related warrants were outstanding and exercisable as of March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AWARD PLAN AND STOCK-BASED COMPENSATION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three months ended March 31, 2024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140" w:type="dxa"/>
            <w:vAlign w:val="bottom"/>
          </w:tcPr>
          <w:p>
            <w:pPr>
              <w:spacing w:after="0"/>
              <w:rPr>
                <w:sz w:val="12"/>
                <w:szCs w:val="12"/>
                <w:color w:val="auto"/>
              </w:rPr>
            </w:pPr>
          </w:p>
        </w:tc>
        <w:tc>
          <w:tcPr>
            <w:tcW w:w="8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Terms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2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1,157,229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(41,872 )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March 31, 2024</w:t>
            </w:r>
          </w:p>
        </w:tc>
        <w:tc>
          <w:tcPr>
            <w:tcW w:w="1640" w:type="dxa"/>
            <w:vAlign w:val="bottom"/>
            <w:tcBorders>
              <w:top w:val="single" w:sz="8" w:color="CFF0FC"/>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1,115,357</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March 31, 2024</w:t>
            </w:r>
          </w:p>
        </w:tc>
        <w:tc>
          <w:tcPr>
            <w:tcW w:w="16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450,498</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future grant</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404,238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-1447800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-1104900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-1087755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 w:name="page13"/>
    <w:bookmarkEnd w:id="12"/>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March 31, 2024 was $8.41 per share. Total unrecognized compensation costs related to non-vested stock options at March 31, 2024 were approximately $2.9 million and are expected to be recognized within future operating results over a weighted-average period of 2.9 years.</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volatility of the Company and volatilities for industry peer companies.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the purposes of estimating the fair value of the options.</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There were no stock options granted during the three months ended March 31, 2024 and 2023.</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Company used the pre-modification stock options for determining the compensation cost related to the PRSUs as the vesting conditions remain uncertain for the outstanding PRSUs. All expense related to the non-vested pre-modification stock options was fully recognized as of December 31, 2023.</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28, 2023, the Compensation Committee of the Company’s board of directors certified the achievement of a performance condition occurring upon FDA acceptance of the NDA for roluperidone. As a result, 50% of the shares of common stock underlying the Company’s PRSUs vested and the Company recognized approximately $0.2 million in non-cash compensation expense, representing 50% of the incremental cost of the PRSUs granted under the Exchange Program. The incremental cost was measured as the excess of the fair value of each new PRSU, measured as of the date the new PRSUs were granted, over the fair value of the stock options surrendered in exchange for the new PRSU, measured immediately prior to the cancellation. The remaining PRSUs vest upon roluperidone receiving FDA marketing approval, provided that such approval occurs within five years after the August 6, 2021 grant date. As of March 31, 2024, 228,213 PRSUs have vested, 20,218 have been cancelled, and 228,209 remain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3420" w:type="dxa"/>
            <w:vAlign w:val="bottom"/>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192,385</w:t>
            </w:r>
          </w:p>
        </w:tc>
        <w:tc>
          <w:tcPr>
            <w:tcW w:w="148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184,727</w:t>
            </w:r>
          </w:p>
        </w:tc>
        <w:tc>
          <w:tcPr>
            <w:tcW w:w="80" w:type="dxa"/>
            <w:vAlign w:val="bottom"/>
            <w:shd w:val="clear" w:color="auto" w:fill="CFF0FC"/>
          </w:tcPr>
          <w:p>
            <w:pPr>
              <w:spacing w:after="0"/>
              <w:rPr>
                <w:sz w:val="20"/>
                <w:szCs w:val="20"/>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246,464</w:t>
            </w:r>
          </w:p>
        </w:tc>
        <w:tc>
          <w:tcPr>
            <w:tcW w:w="3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191,732</w:t>
            </w:r>
          </w:p>
        </w:tc>
        <w:tc>
          <w:tcPr>
            <w:tcW w:w="80" w:type="dxa"/>
            <w:vAlign w:val="bottom"/>
          </w:tcPr>
          <w:p>
            <w:pPr>
              <w:spacing w:after="0"/>
              <w:rPr>
                <w:sz w:val="20"/>
                <w:szCs w:val="20"/>
                <w:color w:val="auto"/>
              </w:rPr>
            </w:pPr>
          </w:p>
        </w:tc>
      </w:tr>
      <w:tr>
        <w:trPr>
          <w:trHeight w:val="281"/>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3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376,459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4964430</wp:posOffset>
            </wp:positionH>
            <wp:positionV relativeFrom="paragraph">
              <wp:posOffset>-638175</wp:posOffset>
            </wp:positionV>
            <wp:extent cx="7683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-638175</wp:posOffset>
            </wp:positionV>
            <wp:extent cx="7683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51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11, 2022, the Company entered into an office lease agreement with Regus to lease approximately 491 rentable square feet of office space located at 1500 District Avenue, Burlington, MA 01803. In January 2024, the Company renewed the month-to-month lease agreement commencing on February 1, 2024, with a monthly payment of $8,697. The Company has elected to not recognize the lease agreement on the balance sheet as the term of the agreement is 12 months or less.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2023 as filed with the Securities and Exchange Commission on February 22, 2024. This discussion and analysis contains forward-looking statements that involve significant risks and uncertainties. Our actual results, performance or experience could differ materially from what is indicated by any forward-looking statement due to various important factors, risks and uncertainties, including, but not limited to, those set forth under “Risk Factors” included elsewhere in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developing roluperidone for the treatment of negative symptoms in patients with schizophrenia and have exclusive rights to develop and commercialize MIN-301 for the treatment of Parkinson’s disease. In addition, we previously co-developed seltorexant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Phase 3 development of seltorexant and as a result,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On February 26, 2024, the FDA issued a Complete Response Letter regarding our NDA for roluperidone.</w:t>
      </w:r>
    </w:p>
    <w:p>
      <w:pPr>
        <w:spacing w:after="0" w:line="17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March 31, 2024 and December 31, 2023, we had an accumulated deficit of $405.4 million and $396.8 million, respectively. For the three months ended March 31, 2024 and 2023, we recorded net losses of $8.6 million and $7.0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Regulatory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Response Letter</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February 26, 2024, the FDA issued a Complete Response Letter (“CRL”) to our NDA for roluperidone for the treatment of negative symptoms in patients with schizophrenia. In the CRL, the FDA cited the following clinical deficiencies:</w:t>
      </w:r>
    </w:p>
    <w:p>
      <w:pPr>
        <w:spacing w:after="0" w:line="54" w:lineRule="exact"/>
        <w:rPr>
          <w:sz w:val="20"/>
          <w:szCs w:val="20"/>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one study (MIN-101C03) demonstrated statistical significance on the primary efficacy endpoint, it is insufficient on its own to establish substantial evidence of effectiveness.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on concomitant antipsychotic administration.</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needed to establish that the change in negative symptoms of schizophrenia with roluperidone treatment was clinically meaningful.</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submitted safety database included an inadequate number of subjects exposed to roluperidone at the proposed dose (64 mg) for at least 12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ind w:right="20"/>
        <w:spacing w:after="0" w:line="261" w:lineRule="auto"/>
        <w:rPr>
          <w:sz w:val="20"/>
          <w:szCs w:val="20"/>
          <w:color w:val="auto"/>
        </w:rPr>
      </w:pPr>
      <w:r>
        <w:rPr>
          <w:rFonts w:ascii="Times New Roman" w:cs="Times New Roman" w:eastAsia="Times New Roman" w:hAnsi="Times New Roman"/>
          <w:sz w:val="18"/>
          <w:szCs w:val="18"/>
          <w:color w:val="auto"/>
        </w:rPr>
        <w:t>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the observed effect on negative symptoms with roluperidone treatment corresponds to a clinically meaningful change, and to demonstrate the long-term safety of the proposed dose.</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to the clinical deficiencies described above, the FDA also provided comments on, among other items, clinical pharmacology, product quality, biopharmaceutics, and nonclinical issues.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1b Clinical Trial (MIN-101C18)</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first quarter of 2024, we completed a clinical trial initiated in October 2023 to evaluate the safety, tolerability, pharmacodynamics and pharmacokinetics of the co-administration of roluperidone and olanzapine in adult subjects with moderate to severe negative symptoms of schizophrenia. This clinical trial (NCT06107803) was designed to investigate the pharmacodynamic and pharmacokinetic effects and safety of the concomitant therapy of roluperidone with an established and widely used antipsychotic.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Results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enrolled 17 patients for this study who received at least one dose of roluperidone at 64 mg. Out of the 17 patients enrolled, 13 patients completed all 17 days of daily dosing. Two patients withdrew consent after enrollment, one patient was discontinued due to a major protocol deviation, and one was discontinued due to a treatment-unrelated serious adverse event. We observed no new safety signals during the study, with few treatment-emergent adverse events (TEAEs), most of which were mild and all resolved without sequelae. We observed no emergent clinically significant electrocardiogram or laboratory abnormalities during the study. We observed no symptomatic worsening during the administration of roluperidone alone (7 days) or when administered in combination with olanzapine at 10 mg (10 days). The study demonstrated that pharmacokinetic interactions between the two drugs were not relevant.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 license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Gains (Losses)</w:t>
      </w:r>
    </w:p>
    <w:p>
      <w:pPr>
        <w:spacing w:after="0" w:line="2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Foreign exchange gains (losses) are comprised primarily of gains and (losses)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gain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 consists of the non-cash interest expense associated with the Royalty Pharma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versus March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$4.2 million and $2.7 million for the three months ended March 31, 2024 and 2023, respectively, an increase of approximately $1.5 million. The increase in research and development expenses was primarily due to costs associated with the FDA’s review of our NDA and the conduct of the MIN-101C18 study. Non-cash stock compensation costs included in research and development expenses were $0.2 million for both the three months ended March 31, 2024 and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$2.5 million and $2.7 million for the three months ended March 31, 2024 and 2023, respectively, a decrease of approximately $0.2 million. The decrease in general and administrative expenses was primarily due to lower professional service fees. Non-cash stock compensation costs included in general and administrative expenses were $0.2 million for both the three months ended March 31, 2024 and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Gains (Losses)</w:t>
      </w:r>
    </w:p>
    <w:p>
      <w:pPr>
        <w:spacing w:after="0" w:line="22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Foreign exchange gains were $5 thousand and foreign exchange losses were $9 thousand for the three months ended March 31, 2024 and 2023, respectively, an increase of $14 thousand, primarily due to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Investment income was $358 thousand and $364 thousand for the three months ended March 31, 2024 and 2023, respectively, a decrease of approximately $6 thousand, primarily due to cash and cash equivalents balances and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$2.3 million and $2.0 million for the three months ended March 31, 2024 and 2023, respectively, an increase of $0.3 million. The increase was primarily due to the amortization of non-cash interest expense for the difference between the balance of the liability related to the sale of future royalties and the estimated amount of future royalties to be received over the royalty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March 31, 2024, we had an accumulated deficit of approximately $405.4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March 31, 2024, we had</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16" w:name="page17"/>
    <w:bookmarkEnd w:id="16"/>
    <w:p>
      <w:pPr>
        <w:ind w:right="180"/>
        <w:spacing w:after="0" w:line="266" w:lineRule="auto"/>
        <w:rPr>
          <w:sz w:val="20"/>
          <w:szCs w:val="20"/>
          <w:color w:val="auto"/>
        </w:rPr>
      </w:pPr>
      <w:r>
        <w:rPr>
          <w:rFonts w:ascii="Times New Roman" w:cs="Times New Roman" w:eastAsia="Times New Roman" w:hAnsi="Times New Roman"/>
          <w:sz w:val="18"/>
          <w:szCs w:val="18"/>
          <w:color w:val="auto"/>
        </w:rPr>
        <w:t>approximately $34.9 million in cash, cash equivalents, and restricted cash, which we believe will be sufficient to meet our operating commitments for the next 12 months from the date our financial statements are issued. Our cash requirements primarily relate to expenditures to support the development of roluperidone, which includes advancing the program through the regulatory process.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Common Stock and Warrants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27, 2023, we entered into a securities purchase agreement with certain institutional accredited investors, pursuant to which we agreed to issue and sell in a private placement (i) an aggregate of 1,425,000 shares of our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30, 2023, we received aggregate gross proceeds under the Private Placement of $20.0 million and incurred approximately $0.4 million in offering expenses. Pursuant to the securities purchase agreement, we filed a registration statement on Form S-3 (File No. 333-273686), which was declared effective by the SEC on August 9, 2023, covering the resale of the Registrable Securities (as defined in the securities purchase agreement). In connection with the private placement, on August 29, 2023, Boehringer Ingelheim International GmbH, an investor in the private placement, designated an observer to attend, subject to certain exceptions, meetings of our board of directors and our committees, until the earlier of (i) the occurrence of a Change of Control and (ii) the date that it and its affiliates collectively hold less than 10%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 shares of our common stock were issued or sold under the Sales Agreement. As of March 31, 2024, an aggregate of $22.6 million was eligible for sale pursuant to the Sales Agreement under our effective registration statement on Form S-3 (File No. 333-267424).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2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January 19, 2021, we sold our royalty interest in seltorexant to Royalty Pharma for an upfront payment of $60 million and up to an additional $95 million in potential future milestone payments, contingent upon the achievement of certain clinical, regulatory and commercial milestones for seltorexant by Janssen.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 w:name="page18"/>
    <w:bookmarkEnd w:id="17"/>
    <w:p>
      <w:pPr>
        <w:ind w:right="480"/>
        <w:spacing w:after="0" w:line="261" w:lineRule="auto"/>
        <w:rPr>
          <w:sz w:val="20"/>
          <w:szCs w:val="20"/>
          <w:color w:val="auto"/>
        </w:rPr>
      </w:pPr>
      <w:r>
        <w:rPr>
          <w:rFonts w:ascii="Times New Roman" w:cs="Times New Roman" w:eastAsia="Times New Roman" w:hAnsi="Times New Roman"/>
          <w:sz w:val="18"/>
          <w:szCs w:val="18"/>
          <w:color w:val="auto"/>
        </w:rPr>
        <w:t>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including the recent disruptions to and volatility in the credit and financial markets in the U.S. and worldwide resulting from the COVID-19 pandemic, geopolitical conflicts, such as the war in Ukraine and hostilities in the Middle East, and other factors.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1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4"/>
                <w:szCs w:val="14"/>
                <w:color w:val="auto"/>
              </w:rPr>
            </w:pPr>
          </w:p>
        </w:tc>
      </w:tr>
      <w:tr>
        <w:trPr>
          <w:trHeight w:val="169"/>
        </w:trPr>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4"/>
              </w:rPr>
              <w:t>millions)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(6.1 )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4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5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(6.1 )</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$6.1 million during the three months ended March 31, 2024 was primarily due to our net loss of $8.6 million, a $0.4 million decrease in accounts payable, and a $0.1 million decrease in accrued expenses, partially offset by non-cash interest expense for the sale of future royalties of $2.3 million, stock-based compensation expense of $0.4 million, and a $0.3 million decrease in prepaid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$0.1 million during the three months ended March 31, 2023 was primarily due to our net loss of $7.0 million, partially offset by a $3.1 million decrease in refundable regulatory fees, non-cash interest expense for the sale of future royalties of $2.0 million, an increase in accrued expenses of $1.1 million, stock-based compensation expense of $0.4 million, and a $0.3 million decrease in prepaid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zero during the three months ended March 31, 2024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three months ended March 31, 2024 and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our Annual Report on Form 10-K for the fiscal year ended December 31, 2023, our most critical accounting policies and estimates upon which our financial status depends were identified as those relating to research and development costs; in-process research and development; goodwill; income taxes; and the liability related to the sale of future royalties. We reviewed our policies and determined that those policies were our most critical accounting policies for the three months ended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us as of the specified effective date. See Note 2 of our Annual Report on Form 10-K for the fiscal year ended December 31, 2023 and Note 2 in our condensed consolidated financial statements appearing elsewhere in this Form 10-Q for a description of recent accounting pronouncements applicable to our financial statements. We believe that the impact of recently issued, but not yet adopted, accounting pronouncements will not have a material impact on the condensed consolidated financial statements or do not apply to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Rule12b-2 of the Exchange Act and are not required to provide the information required under this item.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March 31, 2024. Based on the evaluation of our disclosure controls and procedures as of March 31, 2024,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such term is defined in Rules 13a-15(f) and 15d-15(f) promulgated under the Exchange Act, during our latest fiscal quarter that would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2023, as filed with the Securities and Exchange Commission (“SEC”) on February 22, 2024. The risk factors set forth below are risk factors containing changes, which may be material, from the risk factors previously disclosed in Item 1A of our Annual Report on Form 10-K for the fiscal year ended December 31, 2023, as filed with the SEC.</w:t>
      </w:r>
    </w:p>
    <w:p>
      <w:pPr>
        <w:spacing w:after="0" w:line="1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from product sales to date, and we may never generate product revenue or achieve profitability. As of March 31, 2024, we had an accumulated deficit of approximately $405.4 million.</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The FDA subsequently notified us that they would not accept the file for review, issuing a refusal to file letter (“RTF”) in October 2022. In December 2022, following a Type A meeting held on November 30, 2022, the FDA confirmed the RTF remained in effect with respect to our NDA for roluperidone. On May 1, 2023, we announced that the FDA filed our NDA for roluperidone on April 27, 2023. The decision to file the NDA followed our request for formal dispute resolution and appeal of the October 2022 RTF. On May 8, 2023, we received confirmation from the FDA that the NDA for roluperidone has been assigned a standard review classification, and that the FDA has assigned a Prescription Drug User Fee Act (“PDUFA”) goal date of February 26, 2024. The FDA advised that it identified potential review issues that had been previously cited in the RTF decision letter, which included those discussed at the Type C meeting in March 2022.</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26, 2024, the FDA issued a Complete Response Letter (the “CRL”) to our NDA for roluperidone for the treatment of negative symptoms in schizophrenia. The CRL provided that the FDA had completed its review of the NDA and had determined that it could not approve the NDA in its present form. Specifically, the FDA cited the following clinical deficiencies: (i) although one study (MIN-101C03) demonstrated statistical significance on the primary efficacy endpoint, it is insufficient on its own to establish substantial evidence of effectiveness; (ii) the NDA submission lacks data on concomitant antipsychotic administration; (iii) the NDA submission lacks data needed to establish that the change in negative symptoms of schizophrenia with roluperidone treatment was clinically meaningful; and (iv) the submitted safety database included an inadequate number of subjects exposed to roluperidone at the proposed dose (64 mg) for at least 12 months. 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that observed effect on negative symptoms with roluperidone treatment corresponds to a clinically meaningful change, and to demonstrate the long-term safety of the proposed dose. See the section titled “Item 2. Management’s Discussion and Analysis of Financial Condition and Results of Operations—Clinical and Regulatory Updates—Complete Response Letter” for more information. There can be no assurances that we will obtain approval for roluperidone in a timely manner, on favorable terms, or at all. As a result, the regulatory approval process for roluperidone in the United States is highly uncertain. If we do not obtain approval of roluperidone in the United States, or if the approval is delayed, it would have a material adverse impact on our business. Even if we are able to obtain approval, the expense and time to do so could adversely impact our</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ability to successfully commercialize roluperidone or conduct our other business operations and our financial condition could be materially harmed.</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March 31, 2024, we had cash, cash equivalents, and restricted cash of $34.9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are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will require additional capital to continue advancing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or on reasonable terms, if at all, and our ability to raise additional capital may be adversely impacted by global economic conditions, including the recent disruptions to and volatility in the credit and financial markets in the U.S. and worldwide resulting from the COVID-19 pandemic, geopolitical conflicts, such as the war in Ukraine and hostilities in the Middle East, and other factors. Our future funding requirements, both short and long-term, will depend on many factors, including:</w:t>
      </w:r>
    </w:p>
    <w:p>
      <w:pPr>
        <w:spacing w:after="0" w:line="81" w:lineRule="exact"/>
        <w:rPr>
          <w:sz w:val="20"/>
          <w:szCs w:val="20"/>
          <w:color w:val="auto"/>
        </w:rPr>
      </w:pPr>
    </w:p>
    <w:p>
      <w:pPr>
        <w:ind w:left="1020" w:right="5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terms acceptable to us, we may have to delay, limit or terminate the development or commercialization of one or more of our product candidates or other operations, including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1" w:name="page22"/>
    <w:bookmarkEnd w:id="21"/>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regulatory approval process is expensive and the time required to obtain approval from the European Commission (following the opinion of the Committee of Medicinal Products for Human Use of the European Medicines Agency (“EMA”)), FDA or other comparable regulatory authorities in other jurisdictions to sell any product is uncertain and may take years.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Whether regulatory approval will be granted is unpredictable and depends upon numerous factors, including the substantial discretion of the regulatory authorities. Moreover, the filing of an application for regulatory approval, including an NDA, or Biologics License Application (“BLA”), a Marketing Authorization Application (“MAA”) in the EEA, or comparable foreign regulatory applications for approval, requires a payment of a significant user fee upon submission. The filing of applications for regulatory approval of our product candidates may be delayed due to our lack of financial resources to pay such user fee.</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If, following submission, our application is not accepted for substantive review or approved,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On October 14, 2022, we received a refusal-to-file communication from the FDA for our NDA submission for roluperidone, our lead product candidate, which decision was confirmed by the FDA in a subsequent Type A meeting. On April 27, 2023, the FDA filed our NDA for roluperidone following our request for formal dispute resolution and appeal of the refusal-to-file letter. On May 8, 2023, we received confirmation from the FDA that our NDA for roluperidone had been assigned a standard review classification and a PDUFA goal date of February 26, 2024. The FDA also advised that it identified potential review issues that had been previously cited in the RTF decision letter, which included those discussed at the Type C meeting in March 2022. See the section titled “Item 2. Management’s Discussion and Analysis of Financial Condition and Results of Operations—Clinical and Regulatory Updates—Type C Meeting” for more information. On February 26, 2024, the FDA issued a CRL to our NDA for roluperidone. See the section titled “Item 2. Management’s Discussion and Analysis of Financial Condition and Results of Operations—Clinical and Regulatory Updates—Complete Response Letter” for more information. See also the risk factor above titled </w:t>
      </w:r>
      <w:r>
        <w:rPr>
          <w:rFonts w:ascii="Times New Roman" w:cs="Times New Roman" w:eastAsia="Times New Roman" w:hAnsi="Times New Roman"/>
          <w:sz w:val="18"/>
          <w:szCs w:val="18"/>
          <w:i w:val="1"/>
          <w:iCs w:val="1"/>
          <w:color w:val="auto"/>
        </w:rPr>
        <w:t>“We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incurred significant losses since our inception. We expect to continue to incur losses over the next several years and may never achieve or maintain profitability.” </w:t>
      </w:r>
      <w:r>
        <w:rPr>
          <w:rFonts w:ascii="Times New Roman" w:cs="Times New Roman" w:eastAsia="Times New Roman" w:hAnsi="Times New Roman"/>
          <w:sz w:val="18"/>
          <w:szCs w:val="18"/>
          <w:color w:val="auto"/>
        </w:rPr>
        <w:t>As a result of the CRL, we potentially need additional studies. Additional studies and data would impose increased costs and delays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19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EMA, the European Commission, the FDA or other comparable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right="20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EMA, the European Commission, FDA or other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any safety risks.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European Commission, the FDA or other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an NDA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competent authorities of EU Member States, FDA or other regulatory authorities may fail to approve the manufacturing processes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European Commission, FDA or other regulatory authorities may significantly change in a manner rendering our clinical data insufficient for approval.</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22" w:name="page23"/>
    <w:bookmarkEnd w:id="22"/>
    <w:p>
      <w:pPr>
        <w:ind w:right="60"/>
        <w:spacing w:after="0" w:line="256" w:lineRule="auto"/>
        <w:rPr>
          <w:sz w:val="20"/>
          <w:szCs w:val="20"/>
          <w:color w:val="auto"/>
        </w:rPr>
      </w:pPr>
      <w:r>
        <w:rPr>
          <w:rFonts w:ascii="Times New Roman" w:cs="Times New Roman" w:eastAsia="Times New Roman" w:hAnsi="Times New Roman"/>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boxed warning, may grant approval contingent on the performance of costly post-marketing clinical trials or other post-market requirements, including risk evaluation and mitigation strategies (“REMS”) or comparable foreign strategies,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Capital Market which could negatively impact the price of our common stock, liquidity and our ability to access the capital markets.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“NERV.” The listing standards of The Nasdaq Capital Market provide that a company, in order to qualify for continued listing, must maintain a minimum stock price of $1.00 and satisfy standards relative to minimum stockholders’ equity, minimum market value of publicly held shares and various additional requirements. If Nasdaq delists our securities from trading on its exchange for failure to meet the listing standards, we and our stockholders could face significant negative consequences including:</w:t>
      </w:r>
    </w:p>
    <w:p>
      <w:pPr>
        <w:spacing w:after="0" w:line="7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Delisting from The Nasdaq Capital Market could also result in other negative consequences, including the potential loss of confidence by suppliers, customers and employees, the loss of institutional investor interest and fewer business development opportunities.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reported, on April 10, 2024, we received a deficiency letter from Nasdaq notifying us that for the last 31 consecutive business days, the market value of listed securities (“MVLS requirement”) for our common stock had been below the minimum MVLS requirement of $35 million pursuant to Nasdaq Listing Rule 5550(b)(2). In accordance with the listing rules of Nasdaq, we have been provided with a grace period of 180 calendar days, or until October 7, 2024, to regain compliance. If we do not regain compliance within the grace period, we expect that Nasdaq would provide notice that our securities are subject to delisting.</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While we will continue to monitor our market value of listed securities and consider available options to regain compliance with the MVLS requirements, which may include applying for an extension of the compliance period or appealing to a Nasdaq Hearings Panel, there can be no assurance that we will be able to regain compliance with the MVLS requirements or otherwise maintain compliance with the other Nasdaq listing requirements.</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particular, our share price may continue to decline for a number of reasons, including many that are beyond our control. See the risk factor captioned “</w:t>
      </w:r>
      <w:r>
        <w:rPr>
          <w:rFonts w:ascii="Times New Roman" w:cs="Times New Roman" w:eastAsia="Times New Roman" w:hAnsi="Times New Roman"/>
          <w:sz w:val="18"/>
          <w:szCs w:val="18"/>
          <w:i w:val="1"/>
          <w:iCs w:val="1"/>
          <w:color w:val="auto"/>
        </w:rPr>
        <w:t>The market price of our stock may be volatile, and you could lose all or part of your investment,</w:t>
      </w:r>
      <w:r>
        <w:rPr>
          <w:rFonts w:ascii="Times New Roman" w:cs="Times New Roman" w:eastAsia="Times New Roman" w:hAnsi="Times New Roman"/>
          <w:sz w:val="18"/>
          <w:szCs w:val="18"/>
          <w:color w:val="auto"/>
        </w:rPr>
        <w:t>” described in our Annual Report on Form 10-K for the year ended December 31, 2023.</w:t>
      </w:r>
    </w:p>
    <w:p>
      <w:pPr>
        <w:spacing w:after="0" w:line="17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If we fail to comply with the continued listing standards of The Nasdaq Capital Market, we may seek to list our common stock on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16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and rules, contractual obligations, policies, industry standards,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3" w:name="page24"/>
    <w:bookmarkEnd w:id="23"/>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recover significant statutory damages. Although the CCPA and other state laws exempt some data processed in the context of clinical trials, these developments further complicate compliance efforts and increase legal risk and compliance costs for us and the third parties with whom we work.</w:t>
      </w:r>
    </w:p>
    <w:p>
      <w:pPr>
        <w:spacing w:after="0" w:line="19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addition, data privacy and security laws have been proposed at the federal, state, and local levels in recent years, which could further complicate compliance efforts, and we expect more states to pass similar laws in the future.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including the European Union’s General Data Protection Regulation (“EU GDPR”) and the United Kingdom’s GDPR (“UK GDPR”) (collectively, “GDPR”), which impose strict requirements for processing personal data. Violators of these laws face significant penalties. For example, under the GDPR, companies may face temporary or definitive bans on data processing and other corrective actions; fines of up to 20 million Euros under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Swiss Federal Act on Data Protection, or the FADP, also applies to the collection and processing of personal data, including health-related information, by companies located in Switzerland, or in certain circumstances, by companies located outside of Switzerland. Compliance with the FADP and its revised ordinances may result in an increase of costs of compliance, risks of noncompliance and penalties for noncompliance.</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injunctions against processing or transferring personal data, as well as other adverse consequences. In particular we may be unable to import personal data to the United States, which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4" w:name="page25"/>
    <w:bookmarkEnd w:id="24"/>
    <w:p>
      <w:pPr>
        <w:spacing w:after="0" w:line="261" w:lineRule="auto"/>
        <w:rPr>
          <w:sz w:val="20"/>
          <w:szCs w:val="20"/>
          <w:color w:val="auto"/>
        </w:rPr>
      </w:pPr>
      <w:r>
        <w:rPr>
          <w:rFonts w:ascii="Times New Roman" w:cs="Times New Roman" w:eastAsia="Times New Roman" w:hAnsi="Times New Roman"/>
          <w:sz w:val="18"/>
          <w:szCs w:val="18"/>
          <w:color w:val="auto"/>
        </w:rPr>
        <w:t>increase our personal data processing capabilities and infrastructure in foreign countries at significant expense.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information technologies, systems, and data processing practices and to those of any third parties that process personal data on our behalf.</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data, including personal data (such as health-related data and data related to clinical trials), intellectual property, and trade secrets (collectively, sensitive information).</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p>
      <w:pPr>
        <w:ind w:right="180"/>
        <w:spacing w:after="0" w:line="266" w:lineRule="auto"/>
        <w:rPr>
          <w:sz w:val="20"/>
          <w:szCs w:val="20"/>
          <w:color w:val="auto"/>
        </w:rPr>
      </w:pPr>
      <w:r>
        <w:rPr>
          <w:rFonts w:ascii="Times New Roman" w:cs="Times New Roman" w:eastAsia="Times New Roman" w:hAnsi="Times New Roman"/>
          <w:sz w:val="18"/>
          <w:szCs w:val="18"/>
          <w:color w:val="auto"/>
        </w:rPr>
        <w:t>malware (including as a result of advanced persistent threat intrusions), denial-of-service attacks, credential stuffing,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particular, ransomware attacks, including by organized criminal threat actors, nation-states, and nation-state-supported actors, are becoming increasingly prevalent and severe and can lead to significant interruptions in our operations,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We also share or receive sensitive information with or from third parties. Our ability to monitor these third parties’ information security practices is limited, and these third parties may not have adequate information security measures in place. While we may be entitled to damages if our third-party service providers or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or those of the third parties with whom we work, will be effective. For example, an external contractor experienced a cyberattack in 2019, which resulted in a disruption to patient recruitment in our Phase 3 clinical trial of roluperidone. We take steps designed to detect, mitigate, and remediate vulnerabilities in our information systems (such as our hardware and/or software, including that of third parties with whom we work), but we may not be able to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18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services.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or to implement other requirements, such as providing credit monitoring. Such disclosures and compliance with such requirements are costly, and the disclosure or the failure to comply with such requirements could lead to adverse consequences. If we (or a third party with whom we work)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negatively impact our ability to grow and operate our business or disrupt our ability to develop and provide our products and services.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8"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7"/>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6600" w:type="dxa"/>
            <w:vAlign w:val="bottom"/>
            <w:tcBorders>
              <w:bottom w:val="single" w:sz="8" w:color="auto"/>
            </w:tcBorders>
            <w:gridSpan w:val="12"/>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93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and Restated Certificate of Incorporation of the Registrant (incorporated by reference to Exhibit 3.1 to the Registrant’s</w:t>
              </w:r>
            </w:hyperlink>
          </w:p>
        </w:tc>
        <w:tc>
          <w:tcPr>
            <w:tcW w:w="66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registration statement on Form S-1/A (File No. 333-195169) filed with the SEC on June 10, 2014).</w:t>
              </w:r>
            </w:hyperlink>
          </w:p>
        </w:tc>
        <w:tc>
          <w:tcPr>
            <w:tcW w:w="20" w:type="dxa"/>
            <w:vAlign w:val="bottom"/>
            <w:tcBorders>
              <w:bottom w:val="single" w:sz="8" w:color="0000EE"/>
            </w:tcBorders>
          </w:tcPr>
          <w:p>
            <w:pPr>
              <w:spacing w:after="0"/>
              <w:rPr>
                <w:sz w:val="17"/>
                <w:szCs w:val="17"/>
                <w:color w:val="auto"/>
              </w:rPr>
            </w:pPr>
          </w:p>
        </w:tc>
        <w:tc>
          <w:tcPr>
            <w:tcW w:w="2840" w:type="dxa"/>
            <w:vAlign w:val="bottom"/>
            <w:gridSpan w:val="9"/>
          </w:tcPr>
          <w:p>
            <w:pPr>
              <w:spacing w:after="0"/>
              <w:rPr>
                <w:sz w:val="17"/>
                <w:szCs w:val="17"/>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Amended and Restated Bylaws of the Registrant (incorporated by reference to Exhibit 3.2 to the Registrant’s quarterly report on Form 10-</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Q (File No. 001-36517) filed with the SEC on November 4, 2019).</w:t>
              </w:r>
            </w:hyperlink>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24"/>
                <w:szCs w:val="24"/>
                <w:color w:val="auto"/>
              </w:rPr>
            </w:pPr>
          </w:p>
        </w:tc>
        <w:tc>
          <w:tcPr>
            <w:tcW w:w="99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Certificate of Amendment to Amended and Restated Certificate of Incorporation of Minerva Neurosciences, Inc., effective June 17, 2022</w:t>
              </w:r>
            </w:hyperlink>
          </w:p>
        </w:tc>
        <w:tc>
          <w:tcPr>
            <w:tcW w:w="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(incorporated by reference to Exhibit 3.1 to the Registration’s current report on Form 8-K (File No. 001-36517) filed with the SEC on</w:t>
              </w:r>
            </w:hyperlink>
          </w:p>
        </w:tc>
        <w:tc>
          <w:tcPr>
            <w:tcW w:w="32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80" w:type="dxa"/>
            <w:vAlign w:val="bottom"/>
            <w:gridSpan w:val="14"/>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June 17, 2022).</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60" w:type="dxa"/>
            <w:vAlign w:val="bottom"/>
          </w:tcPr>
          <w:p>
            <w:pPr>
              <w:spacing w:after="0"/>
              <w:rPr>
                <w:sz w:val="24"/>
                <w:szCs w:val="24"/>
                <w:color w:val="auto"/>
              </w:rPr>
            </w:pPr>
          </w:p>
        </w:tc>
        <w:tc>
          <w:tcPr>
            <w:tcW w:w="9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(Principal Executive Officer) pursuant to Section 302 of Sarbanes-Oxley Act of 2002.</w:t>
            </w:r>
          </w:p>
        </w:tc>
        <w:tc>
          <w:tcPr>
            <w:tcW w:w="880" w:type="dxa"/>
            <w:vAlign w:val="bottom"/>
            <w:gridSpan w:val="6"/>
          </w:tcPr>
          <w:p>
            <w:pPr>
              <w:spacing w:after="0"/>
              <w:rPr>
                <w:sz w:val="24"/>
                <w:szCs w:val="24"/>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60" w:type="dxa"/>
            <w:vAlign w:val="bottom"/>
          </w:tcPr>
          <w:p>
            <w:pPr>
              <w:spacing w:after="0"/>
              <w:rPr>
                <w:sz w:val="24"/>
                <w:szCs w:val="24"/>
                <w:color w:val="auto"/>
              </w:rPr>
            </w:pPr>
          </w:p>
        </w:tc>
        <w:tc>
          <w:tcPr>
            <w:tcW w:w="9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(Principal Financial Officer) pursuant to Section 302 of Sarbanes-Oxley Act of 2002.</w:t>
            </w:r>
          </w:p>
        </w:tc>
        <w:tc>
          <w:tcPr>
            <w:tcW w:w="20" w:type="dxa"/>
            <w:vAlign w:val="bottom"/>
            <w:tcBorders>
              <w:bottom w:val="single" w:sz="8" w:color="0000EE"/>
            </w:tcBorders>
          </w:tcPr>
          <w:p>
            <w:pPr>
              <w:spacing w:after="0"/>
              <w:rPr>
                <w:sz w:val="24"/>
                <w:szCs w:val="24"/>
                <w:color w:val="auto"/>
              </w:rPr>
            </w:pPr>
          </w:p>
        </w:tc>
        <w:tc>
          <w:tcPr>
            <w:tcW w:w="960" w:type="dxa"/>
            <w:vAlign w:val="bottom"/>
            <w:gridSpan w:val="7"/>
          </w:tcPr>
          <w:p>
            <w:pPr>
              <w:spacing w:after="0"/>
              <w:rPr>
                <w:sz w:val="24"/>
                <w:szCs w:val="24"/>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32.1</w:t>
            </w:r>
            <w:r>
              <w:rPr>
                <w:rFonts w:ascii="Times New Roman" w:cs="Times New Roman" w:eastAsia="Times New Roman" w:hAnsi="Times New Roman"/>
                <w:sz w:val="24"/>
                <w:szCs w:val="24"/>
                <w:color w:val="auto"/>
                <w:w w:val="93"/>
                <w:vertAlign w:val="superscript"/>
              </w:rPr>
              <w:t>+</w:t>
            </w:r>
          </w:p>
        </w:tc>
        <w:tc>
          <w:tcPr>
            <w:tcW w:w="160" w:type="dxa"/>
            <w:vAlign w:val="bottom"/>
          </w:tcPr>
          <w:p>
            <w:pPr>
              <w:spacing w:after="0"/>
              <w:rPr>
                <w:sz w:val="24"/>
                <w:szCs w:val="24"/>
                <w:color w:val="auto"/>
              </w:rPr>
            </w:pPr>
          </w:p>
        </w:tc>
        <w:tc>
          <w:tcPr>
            <w:tcW w:w="9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 Executive Officer) and Chief Financial Officer (Principal Financial Officer) pursuant</w:t>
            </w:r>
          </w:p>
        </w:tc>
        <w:tc>
          <w:tcPr>
            <w:tcW w:w="14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906 of Sarbanes-Oxley Act of 2002.</w:t>
            </w:r>
          </w:p>
        </w:tc>
        <w:tc>
          <w:tcPr>
            <w:tcW w:w="6600" w:type="dxa"/>
            <w:vAlign w:val="bottom"/>
            <w:gridSpan w:val="12"/>
          </w:tcPr>
          <w:p>
            <w:pPr>
              <w:spacing w:after="0"/>
              <w:rPr>
                <w:sz w:val="17"/>
                <w:szCs w:val="17"/>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101.SCH*</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r>
      <w:tr>
        <w:trPr>
          <w:trHeight w:val="39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120" w:firstLine="8"/>
        <w:spacing w:after="0" w:line="255" w:lineRule="auto"/>
        <w:tabs>
          <w:tab w:leader="none" w:pos="1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28" w:name="page29"/>
    <w:bookmarkEnd w:id="28"/>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30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26035</wp:posOffset>
            </wp:positionV>
            <wp:extent cx="2922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0"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3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08" w:right="5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802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3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818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3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72" w:lineRule="exact"/>
        <w:rPr>
          <w:sz w:val="20"/>
          <w:szCs w:val="20"/>
          <w:color w:val="auto"/>
        </w:rPr>
      </w:pPr>
    </w:p>
    <w:p>
      <w:pPr>
        <w:ind w:left="520" w:right="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2024, to which this Certification is attached as Exhibit 32.1 (the “Quarterly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0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289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7"/>
          <w:szCs w:val="17"/>
          <w:color w:val="auto"/>
        </w:rPr>
        <w:t>Remy Luthringer, Ph.D.</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289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7"/>
          <w:szCs w:val="17"/>
          <w:color w:val="auto"/>
        </w:rPr>
        <w:t>Frederick Ahlholm</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03" Type="http://schemas.openxmlformats.org/officeDocument/2006/relationships/hyperlink" Target="https://www.sec.gov/Archives/edgar/data/0001598646/000104746914005459/a2219972zex-3_1.htm" TargetMode="External"/><Relationship Id="rId104" Type="http://schemas.openxmlformats.org/officeDocument/2006/relationships/hyperlink" Target="https://www.sec.gov/Archives/edgar/data/0001598646/000156459019039496/nerv-ex32_112.htm" TargetMode="External"/><Relationship Id="rId105" Type="http://schemas.openxmlformats.org/officeDocument/2006/relationships/hyperlink" Target="https://www.sec.gov/Archives/edgar/data/1598646/000119312522176540/d31407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2024-05-01T06:11:17Z</dcterms:created>
  <dcterms:modified xsi:type="dcterms:W3CDTF">2024-05-01T06:11:17Z</dcterms:modified>
</cp:coreProperties>
</file>