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9"/>
        </w:trPr>
        <w:tc>
          <w:tcPr>
            <w:tcW w:w="444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1601 Trapelo Road, Suite 286</w:t>
            </w:r>
          </w:p>
        </w:tc>
        <w:tc>
          <w:tcPr>
            <w:tcW w:w="3120" w:type="dxa"/>
            <w:vAlign w:val="bottom"/>
          </w:tcPr>
          <w:p>
            <w:pPr>
              <w:spacing w:after="0"/>
              <w:rPr>
                <w:sz w:val="24"/>
                <w:szCs w:val="24"/>
                <w:color w:val="auto"/>
              </w:rPr>
            </w:pPr>
          </w:p>
        </w:tc>
      </w:t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6"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36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Registrant’s Common Stock, $0.0001 par value per share, outstanding as of May 1, 2018 was 38,749,343.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restart"/>
          </w:tcPr>
          <w:p>
            <w:pPr>
              <w:jc w:val="center"/>
              <w:ind w:right="3600"/>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 Financial Information</w:t>
              </w:r>
            </w:hyperlink>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106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6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2018 and December 31, 2017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2018 and 2017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0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Changes in Stockholders’ Equity for the three months ended March 31, 2018 and 2017</w:t>
              </w:r>
            </w:hyperlink>
          </w:p>
        </w:tc>
        <w:tc>
          <w:tcPr>
            <w:tcW w:w="6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5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2018 and 2017</w:t>
              </w:r>
            </w:hyperlink>
          </w:p>
        </w:tc>
        <w:tc>
          <w:tcPr>
            <w:tcW w:w="206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64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320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64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1"/>
          </w:tcPr>
          <w:p>
            <w:pPr>
              <w:jc w:val="center"/>
              <w:ind w:right="3700"/>
              <w:spacing w:after="0"/>
              <w:rPr>
                <w:rFonts w:ascii="Arial" w:cs="Arial" w:eastAsia="Arial" w:hAnsi="Arial"/>
                <w:sz w:val="18"/>
                <w:szCs w:val="18"/>
                <w:b w:val="1"/>
                <w:bCs w:val="1"/>
                <w:color w:val="0000EE"/>
                <w:w w:val="96"/>
              </w:rPr>
            </w:pPr>
            <w:hyperlink w:anchor="page27">
              <w:r>
                <w:rPr>
                  <w:rFonts w:ascii="Arial" w:cs="Arial" w:eastAsia="Arial" w:hAnsi="Arial"/>
                  <w:sz w:val="18"/>
                  <w:szCs w:val="18"/>
                  <w:b w:val="1"/>
                  <w:bCs w:val="1"/>
                  <w:color w:val="0000EE"/>
                  <w:w w:val="96"/>
                </w:rPr>
                <w:t>PART II —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360" w:type="dxa"/>
            <w:vAlign w:val="bottom"/>
            <w:tcBorders>
              <w:top w:val="single" w:sz="8" w:color="0000EE"/>
            </w:tcBorders>
            <w:gridSpan w:val="4"/>
          </w:tcPr>
          <w:p>
            <w:pPr>
              <w:spacing w:after="0"/>
              <w:rPr>
                <w:sz w:val="24"/>
                <w:szCs w:val="24"/>
                <w:color w:val="auto"/>
              </w:rPr>
            </w:pPr>
          </w:p>
        </w:tc>
        <w:tc>
          <w:tcPr>
            <w:tcW w:w="37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3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30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732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Mine Safety Disclosures</w:t>
              </w:r>
            </w:hyperlink>
          </w:p>
        </w:tc>
        <w:tc>
          <w:tcPr>
            <w:tcW w:w="78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64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3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right="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00" w:type="dxa"/>
            <w:vAlign w:val="bottom"/>
            <w:tcBorders>
              <w:bottom w:val="single" w:sz="8" w:color="CFF0FC"/>
            </w:tcBorders>
          </w:tcPr>
          <w:p>
            <w:pPr>
              <w:spacing w:after="0"/>
              <w:rPr>
                <w:sz w:val="16"/>
                <w:szCs w:val="16"/>
                <w:color w:val="auto"/>
              </w:rPr>
            </w:pPr>
          </w:p>
        </w:tc>
        <w:tc>
          <w:tcPr>
            <w:tcW w:w="6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45,125,725</w:t>
            </w:r>
          </w:p>
        </w:tc>
        <w:tc>
          <w:tcPr>
            <w:tcW w:w="3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26,051,821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75,871,095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102,109,419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4,243,406</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1,299,184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125,340,226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129,540,424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 noncurrent</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Equipment, net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46,578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34,200,000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174,471,011</w:t>
            </w:r>
          </w:p>
        </w:tc>
        <w:tc>
          <w:tcPr>
            <w:tcW w:w="3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183,698,558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Notes payable</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2,697,034</w:t>
            </w:r>
          </w:p>
        </w:tc>
        <w:tc>
          <w:tcPr>
            <w:tcW w:w="3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3,962,664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2,824,931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2,392,568</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1,439,848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7,914,533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6,838,148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Deferred taxes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4,057,488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4,057,488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noncurrent liabilities</w:t>
            </w:r>
          </w:p>
        </w:tc>
        <w:tc>
          <w:tcPr>
            <w:tcW w:w="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30,273</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53,177,894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52,101,114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or outstanding as of March 31, 2018 and December 31, 2017, respectively</w:t>
            </w: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w w:val="98"/>
              </w:rPr>
              <w:t>Common stock; $0.0001 par value; 125,000,000 shares authorized; 38,749,343 shares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issued and outstanding as of March 31, 2018 and December 31, 2017.</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298,088,946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295,975,010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(176,799,704)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(164,381,441)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stockholders’ equity</w:t>
            </w:r>
          </w:p>
        </w:tc>
        <w:tc>
          <w:tcPr>
            <w:tcW w:w="6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121,293,117</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131,597,444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6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174,471,011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183,698,558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jc w:val="center"/>
        <w:ind w:left="7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86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8,449,267</w:t>
            </w:r>
          </w:p>
        </w:tc>
        <w:tc>
          <w:tcPr>
            <w:tcW w:w="180" w:type="dxa"/>
            <w:vAlign w:val="bottom"/>
          </w:tcPr>
          <w:p>
            <w:pPr>
              <w:spacing w:after="0"/>
              <w:rPr>
                <w:sz w:val="19"/>
                <w:szCs w:val="19"/>
                <w:color w:val="auto"/>
              </w:rPr>
            </w:pP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7,614,331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9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4,294,545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19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12,743,812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10,485,073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(12,743,812)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1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(18,109)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Investment income</w:t>
            </w: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414,307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(70,649)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(201,502)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loss</w:t>
            </w:r>
          </w:p>
        </w:tc>
        <w:tc>
          <w:tcPr>
            <w:tcW w:w="190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(12,418,263)</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(10,644,596)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9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38,749,343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35,369,601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4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Paid-In Capital</w:t>
            </w:r>
          </w:p>
        </w:tc>
        <w:tc>
          <w:tcPr>
            <w:tcW w:w="13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Deficit</w:t>
            </w:r>
          </w:p>
        </w:tc>
        <w:tc>
          <w:tcPr>
            <w:tcW w:w="116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2017</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35,024,002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3,502</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$ 238,836,940</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 (132,858,234)</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$ 105,982,208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040" w:type="dxa"/>
            <w:vAlign w:val="bottom"/>
          </w:tcPr>
          <w:p>
            <w:pPr>
              <w:jc w:val="right"/>
              <w:spacing w:after="0"/>
              <w:rPr>
                <w:sz w:val="20"/>
                <w:szCs w:val="20"/>
                <w:color w:val="auto"/>
              </w:rPr>
            </w:pPr>
            <w:r>
              <w:rPr>
                <w:rFonts w:ascii="Arial" w:cs="Arial" w:eastAsia="Arial" w:hAnsi="Arial"/>
                <w:sz w:val="18"/>
                <w:szCs w:val="18"/>
                <w:color w:val="auto"/>
              </w:rPr>
              <w:t>1,621,073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9,356,671</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9,356,833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281,758</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1,310,043</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1,310,043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(10,644,596)</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(10,644,596)</w:t>
            </w:r>
          </w:p>
        </w:tc>
        <w:tc>
          <w:tcPr>
            <w:tcW w:w="0" w:type="dxa"/>
            <w:vAlign w:val="bottom"/>
          </w:tcPr>
          <w:p>
            <w:pPr>
              <w:spacing w:after="0"/>
              <w:rPr>
                <w:sz w:val="1"/>
                <w:szCs w:val="1"/>
                <w:color w:val="auto"/>
              </w:rPr>
            </w:pPr>
          </w:p>
        </w:tc>
      </w:tr>
      <w:tr>
        <w:trPr>
          <w:trHeight w:val="26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2017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36,704,872</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w:t>
            </w:r>
          </w:p>
        </w:tc>
        <w:tc>
          <w:tcPr>
            <w:tcW w:w="2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$ 249,785,412</w:t>
            </w:r>
          </w:p>
        </w:tc>
        <w:tc>
          <w:tcPr>
            <w:tcW w:w="24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(143,502,830</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$ 106,286,253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Balances at January 1, 2018</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38,749,343</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3,875</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$ 295,975,010</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 (164,381,441)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86"/>
              </w:rPr>
              <w:t>$ 131,597,444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2,113,936</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(12,418,263)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(12,418,263)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38,749,343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$ 298,088,946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(176,799,704</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$ 121,293,117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(12,418,263)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(10,644,596)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 recorded as interest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(Accretion) Amortization of marketable securities premium</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(54,212)</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2,113,936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(2,944,222)</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1,389,295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1,807,101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952,720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Accrued collaborative expenses</w:t>
            </w: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530,298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(10,931,732)</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(6,044,597)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(7,934,482)</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(16,477,461)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31,315,518</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(16,477,461)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exercise of common stock warrants</w:t>
            </w: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9,356,833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Repayments of notes payable</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(1,289,882)</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(1,202,325)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(1,289,882)</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8,436,273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19,093,904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(14,085,785)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26,131,821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83,060,609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2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45,225,725</w:t>
            </w:r>
          </w:p>
        </w:tc>
        <w:tc>
          <w:tcPr>
            <w:tcW w:w="28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68,974,824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53,975</w:t>
            </w:r>
          </w:p>
        </w:tc>
        <w:tc>
          <w:tcPr>
            <w:tcW w:w="2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141,532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Condensed Consolidated Balance Sheets</w:t>
            </w: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45,125,725</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68,894,824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45,225,725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68,974,824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March 31, 2018 and for the Three Months Ended March 31,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or CNS,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March 31, 2018, the Company has an accumulated deficit of approximately $176.8 million and net cash used in operating activities was approximately $10.9 million during the three months ended March 31, 2018. Management expects to continue to incur operating losses and negative cash flows from operations. The Company has financed its operations to date from proceeds from the sale of common stock, warrants, loans and convertible promissory notes.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31, 2018, the Company had cash, cash equivalents, restricted cash and marketable securities of $121.1 million. The Company believes that its existing cash, cash equivalents, restricted cash and marketable securities will be sufficient to meet its cash commitments for at least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10-01.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March 31, 2018, the results of operations for the three months ended March 31, 2018 and 2017 and cash flows for the three months ended March 31, 2018 and 2017. The results of operations for the three months ended March 31, 2018,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2017 was derived from the audited annual financial statements. The accompanying unaudited condensed consolidated financial statements and notes thereto should be read in conjunction with the audited consolidated financial statements for the year ended December 31, 2017 included in the Company’s Annual Report on Form 10-K filed with the SEC on March 12, 2018.</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$100,000 and $80,000 at March 31, 2018 and December 31,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Marketable securities consists of corporate and U.S. government debt securities maturing in eleven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March 31, 2018, remaining final maturities of marketable securities ranged from April 2018 to February 2019, with a weighted average remaining maturity of approximately 4 months. The following table provides the amortized cost basis, aggregate fair value, net unrealized (gains)/losses and the net carrying value of investments in held-to-maturity securities as of March 31, 2018:</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3"/>
              </w:rPr>
              <w:t>March 31, 2018</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Amortized</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2"/>
              </w:rPr>
              <w:t>Aggregate</w:t>
            </w:r>
          </w:p>
        </w:tc>
        <w:tc>
          <w:tcPr>
            <w:tcW w:w="1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Gains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w w:val="83"/>
              </w:rPr>
              <w:t>Losses</w:t>
            </w:r>
          </w:p>
        </w:tc>
        <w:tc>
          <w:tcPr>
            <w:tcW w:w="18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2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5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Corporate bonds/notes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$45,470,090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$45,314,041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156,049</w:t>
            </w:r>
          </w:p>
        </w:tc>
        <w:tc>
          <w:tcPr>
            <w:tcW w:w="1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$45,470,090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15,456,258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15,456,258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15,456,258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U.S. government agency securities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14,944,747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14,927,400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14,944,747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current total</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75,871,095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75,697,699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173,396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75,871,095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expected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 lived intangible asset with the asset’s carrying amount. There was no impairment of IPR&amp;D for the three months ended March 31, 2018 or 2017.</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220"/>
        <w:spacing w:after="0" w:line="302" w:lineRule="auto"/>
        <w:rPr>
          <w:sz w:val="20"/>
          <w:szCs w:val="20"/>
          <w:color w:val="auto"/>
        </w:rPr>
      </w:pPr>
      <w:r>
        <w:rPr>
          <w:rFonts w:ascii="Arial" w:cs="Arial" w:eastAsia="Arial" w:hAnsi="Arial"/>
          <w:sz w:val="16"/>
          <w:szCs w:val="16"/>
          <w:color w:val="auto"/>
        </w:rPr>
        <w:t>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expected forfeiture rate and expected life of the options. The fair value of restricted stock units (“RSU’s”) is equal to the closing price of the Company’s common stock on the date of grant.</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 and the fair value of each unvested award is adjusted at the end of each period for any change in fair value from the previous valuation until the award vests.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cash equivalents and marketable securities (current and non-current).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Equipment is stated at cost less accumulated depreciation. Equipment is depreciated on the straight-line basis over their estimated useful lives of three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March 31, 2018 and 2017.</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impact those judgments in the future and require an adjustment to the recorded balances. The Company tests its goodwill for impairment as of November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impairment of goodwill for the three months ended March 31, 2018 and 2017.</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applies the revenue recognition guidance in accordance with Financial Accounting Standards Board (FASB) Accounting Standards Codification (ASC)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When the Company enters into an arrangement that meets the definition of a collaboration under ASC 808, Collaboration Arrangements,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applies the revenue recognition guidance in accordance with Financial Accounting Standards Board (FASB) Accounting Standards Codification (ASC) 606, Revenue from Contracts with Customers. Using FASB ASC 606, Revenue that is unearned is deferred. Deferred revenue expected to be recognized as revenue more than one year subsequent to the balance sheet date is classified as long-term deferred revenue.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the Company as of the specified effective date.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Subsequently, the FASB also issued ASU 2015-14,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 which adjusted the effective date of ASU 2014-09; ASU No. 2016-08,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(Topic 606): Principal versus Agent Considerations (Reporting Revenue Gross versus Net) </w:t>
      </w:r>
      <w:r>
        <w:rPr>
          <w:rFonts w:ascii="Arial" w:cs="Arial" w:eastAsia="Arial" w:hAnsi="Arial"/>
          <w:sz w:val="17"/>
          <w:szCs w:val="17"/>
          <w:color w:val="auto"/>
        </w:rPr>
        <w:t xml:space="preserve">, which amends the principal-versus-agent implementation guidance and illustrations in ASU 2014-09; ASU No. 2016-10,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Identifying Performance Obligations and Licensing </w:t>
      </w:r>
      <w:r>
        <w:rPr>
          <w:rFonts w:ascii="Arial" w:cs="Arial" w:eastAsia="Arial" w:hAnsi="Arial"/>
          <w:sz w:val="17"/>
          <w:szCs w:val="17"/>
          <w:color w:val="auto"/>
        </w:rPr>
        <w:t>, which clarifies identifying performance obligation and licensing implementation guidance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illustrations in ASU 2014-09; and ASU No. 2016-12, </w:t>
      </w:r>
      <w:r>
        <w:rPr>
          <w:rFonts w:ascii="Arial" w:cs="Arial" w:eastAsia="Arial" w:hAnsi="Arial"/>
          <w:sz w:val="17"/>
          <w:szCs w:val="17"/>
          <w:i w:val="1"/>
          <w:iCs w:val="1"/>
          <w:color w:val="auto"/>
        </w:rPr>
        <w:t>Revenue from Contracts with Customers (Topic 606): Narrow-Scope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 w:name="page13"/>
    <w:bookmarkEnd w:id="12"/>
    <w:p>
      <w:pPr>
        <w:ind w:right="500"/>
        <w:spacing w:after="0" w:line="277" w:lineRule="auto"/>
        <w:rPr>
          <w:sz w:val="20"/>
          <w:szCs w:val="20"/>
          <w:color w:val="auto"/>
        </w:rPr>
      </w:pPr>
      <w:r>
        <w:rPr>
          <w:rFonts w:ascii="Arial" w:cs="Arial" w:eastAsia="Arial" w:hAnsi="Arial"/>
          <w:sz w:val="18"/>
          <w:szCs w:val="18"/>
          <w:i w:val="1"/>
          <w:iCs w:val="1"/>
          <w:color w:val="auto"/>
        </w:rPr>
        <w:t xml:space="preserve">Improvements and Practical Expedients </w:t>
      </w:r>
      <w:r>
        <w:rPr>
          <w:rFonts w:ascii="Arial" w:cs="Arial" w:eastAsia="Arial" w:hAnsi="Arial"/>
          <w:sz w:val="18"/>
          <w:szCs w:val="18"/>
          <w:color w:val="auto"/>
        </w:rPr>
        <w:t>, which addresses implementation issues and is intended to reduce the cost and complexity of applying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standard in ASU 2014-09 (collectively, the “Revenue ASUs”).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with an option to early adopt for interim and annual periods beginning after December 15, 2016.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performed a detailed review of its collaboration agreements and assessed the differences in accounting for such contracts under this guidance compared with current revenue accounting standards. The Company adopted the new standard on January 1, 2018 using the modified retrospective method. The adoption of this standard did not have a material impact on the Company’s consolidated financial statements.</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 Classification of Certain Cash Receipts and Cash Payments (Topic 230).</w:t>
      </w:r>
      <w:r>
        <w:rPr>
          <w:rFonts w:ascii="Arial" w:cs="Arial" w:eastAsia="Arial" w:hAnsi="Arial"/>
          <w:sz w:val="18"/>
          <w:szCs w:val="18"/>
          <w:color w:val="auto"/>
        </w:rPr>
        <w:t xml:space="preserve"> The new standard clarifies the treatment of several cash flow categories. In addition, ASU 2016-15 clarifies that when cash receipts and cash payments have aspects of more than one class of cash flows and cannot be separated, classification will depend on the predominant source or use. This update is effective for annual periods beginning after December 15, 2017, and interim periods within those fiscal years, with early adoption permitted, including adoption in an interim period. The Company adopted the new standard on January 1, 2018. The adoption of this standard did not have a material impact on the Company’s consolidated financial statements.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Restricted Cash (Topic 230).</w:t>
      </w:r>
      <w:r>
        <w:rPr>
          <w:rFonts w:ascii="Arial" w:cs="Arial" w:eastAsia="Arial" w:hAnsi="Arial"/>
          <w:sz w:val="18"/>
          <w:szCs w:val="18"/>
          <w:color w:val="auto"/>
        </w:rPr>
        <w:t xml:space="preserve"> The new standard requires an entity to include amounts described as restricted cash and restricted cash equivalents with cash and cash equivalents when reconciling the beginning-of-period and end-of-period total amounts shown on the statement of cash flows. The Company adopted the new standard on January 1, 2018. The adoption of this standard did not have a material impact on the Company’s consolidated financial statements. Cash, cash equivalents, and restricted cash reported on the Consolidated Statements of Cash Flows includes restricted cash of $80 thousand as of December 31, 2016, March 31, 2017, December 31, 2017 and $100 thousand as of March 31, 2018.</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Although the Company is currently assessing the impact of adoption of ASU 2016-02 on its consolidated financial statements, the Company currently believes the most significant changes will be related to the recognition of new right-of-use assets and lease liabilities on the Company’s balance sheet for operating leases. Refer to Note 9, Commitments and Contingencies, for the Company's current lease commitments.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January 2017, the FASB issued ASU No 2017-4,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March 2017, the FASB issued ASU No 2017-8,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The new standard is intended to enhance the accounting for the amortization of premiums for purchased callable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This update is effective for annual periods beginning after December 15, 2018,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1,720,813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1,162,441</w:t>
            </w:r>
          </w:p>
        </w:tc>
        <w:tc>
          <w:tcPr>
            <w:tcW w:w="60" w:type="dxa"/>
            <w:vAlign w:val="bottom"/>
            <w:shd w:val="clear" w:color="auto" w:fill="CFF0FC"/>
          </w:tcPr>
          <w:p>
            <w:pPr>
              <w:spacing w:after="0"/>
              <w:rPr>
                <w:sz w:val="20"/>
                <w:szCs w:val="20"/>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bonus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355,892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5,899</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251,000</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Interest payable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20,508</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Vacation pay</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2,392,568</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1,439,848</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(12,418,263)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(10,644,596)</w:t>
            </w:r>
          </w:p>
        </w:tc>
        <w:tc>
          <w:tcPr>
            <w:tcW w:w="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38,749,343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35,369,601</w:t>
            </w:r>
          </w:p>
        </w:tc>
        <w:tc>
          <w:tcPr>
            <w:tcW w:w="8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(0.32)</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(0.30)</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securities outstanding at March 31, 2018 and 2017 have been excluded from the calculation of weighted average shares outstanding as their effect on the calculation of loss per share is antidilutive:</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6,555,150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4,059,346</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185,950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219,600</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6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drew down the initial Term Loans in the aggregate principal amount of $10 million (the “Term A Loans”), on January 16, 2015. The Term A Loans bear interest at a fixed rate of 7.05% per annum. The Company believes that the Company's debt obligations accrue interest at rates which approximate prevailing market rates for instruments with similar characteristics and, accordingly, the carrying values for these instruments approximate fair value.</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August 2015, the Lenders and the Company entered into a First Amendment to the Loan Agreement, amending certain milestones related to the six month extension of the interest-only repayment period of the Term A Loans. By raising at least $30.0 million in gross capital (including at least $20.0 million from the sale of equity securities) and completing the first dosing of its Phase 1/Phase 2 clinical trial for MIN-117 prior to December 31, 2015, the Company achieved the interest-only milestones under the Loan Agreement and elected to extend the interest-only period an additional six months and reduce the repayment term by six months. Through August 1, 2016, the Company was obligated only to make monthly interest payments on the outstanding principal balance on the Term A Loans, followed by 24 months of equal principal and interest payments.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14" w:name="page15"/>
    <w:bookmarkEnd w:id="14"/>
    <w:p>
      <w:pPr>
        <w:ind w:right="80"/>
        <w:spacing w:after="0" w:line="286" w:lineRule="auto"/>
        <w:rPr>
          <w:sz w:val="20"/>
          <w:szCs w:val="20"/>
          <w:color w:val="auto"/>
        </w:rPr>
      </w:pPr>
      <w:r>
        <w:rPr>
          <w:rFonts w:ascii="Arial" w:cs="Arial" w:eastAsia="Arial" w:hAnsi="Arial"/>
          <w:sz w:val="17"/>
          <w:szCs w:val="17"/>
          <w:color w:val="auto"/>
        </w:rPr>
        <w:t>On or prior to March 31, 2016, the Company was permitted to borrow additional term loans in the aggregate principal amount up to $5 million, subject to the satisfaction of certain borrowing conditions, including the Company’s achievement of primary endpoints on its Phase 2a trials for MIN-117 and seltorexant programs. In June 2016, the Company irrevocably elected not to borrow the additional $5 million available under the Term Loans.</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paid a facility fee at the time of borrowing of $75,000 for access to the Term Loans and will be required to pay a final payment of 5.1% of the total amount borrowed, which has been included as a component of the debt discount and is amortized to interest expense over the term of the loans. The outstanding Term A Loans and debt discount are as follows:</w:t>
      </w:r>
    </w:p>
    <w:p>
      <w:pPr>
        <w:spacing w:after="0" w:line="254"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March 31, 2018</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A Loans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2,200,822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Less: debt discount and financing costs</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(5,639)</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(2,697,034)</w:t>
            </w: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portion of final payment</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501,851</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months ended March 31, 2018 and 2017, the Company recognized interest expense of $0.1 million and $0.2 million respectively, including $24 thousand and $0.1 million, respectively, related to the debt discount.</w:t>
      </w:r>
    </w:p>
    <w:p>
      <w:pPr>
        <w:spacing w:after="0" w:line="170"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Term Loans mature on August 1, 2018. The Company may prepay all, but not less than all, of the loaned amount upon 30 days’ advance notice to the Lenders, provided that the Company will be obligated to pay a prepayment fee equal to (i) 3% of the outstanding balance, if the loan is prepaid within</w:t>
      </w:r>
    </w:p>
    <w:p>
      <w:pPr>
        <w:ind w:right="400"/>
        <w:spacing w:after="0" w:line="255" w:lineRule="auto"/>
        <w:rPr>
          <w:sz w:val="20"/>
          <w:szCs w:val="20"/>
          <w:color w:val="auto"/>
        </w:rPr>
      </w:pPr>
      <w:r>
        <w:rPr>
          <w:rFonts w:ascii="Arial" w:cs="Arial" w:eastAsia="Arial" w:hAnsi="Arial"/>
          <w:sz w:val="18"/>
          <w:szCs w:val="18"/>
          <w:color w:val="auto"/>
        </w:rPr>
        <w:t>24 months of the funding date, (ii) 2% of the outstanding balance, if the loan is prepaid between 24 and 36 months of the funding date and (iii) 1% of the outstanding balance, if the loan is prepaid thereafter (each, a “Prepayment Fee”). The expected remaining repayment of the $10.0 million Term A loan principal is $2,200,822 during 2018.</w:t>
      </w:r>
    </w:p>
    <w:p>
      <w:pPr>
        <w:spacing w:after="0" w:line="2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obligations under the Loan Agreement are secured by a first priority security interest in substantially all of its assets, other than its intellectual property. The Company has also agreed not to pledge or otherwise encumber its intellectual property assets, except that it may grant certain exclusive and non-exclusive licenses of its intellectual property as set forth in the Loan Agreement. In addition, the Company pledged all of its equity interests in Minerva Neurosciences Securities Corporation and 65% of its equity interests in Mind-NRG, Sarl as security for its obligations under the Loan Agreement.</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Upon the occurrence of certain events, including but not limited to the Company’s failure to satisfy its payment obligations under the Loan Agreement, the breach of certain of its other covenants under the Loan Agreement, or the occurrence of a material adverse change, the Lenders will have the right, among other remedies, to declare all principal and interest immediately due and payable, to take control of the Company’s cash in its SVB deposit account, and will have the right to receive the final payment fee and, if the payment of principal and interest is due prior to maturity, the applicable Prepayment Fee. As of March 31, 2018, the Company was in compliance with all covenants set forth in the Loan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CO-DEVELOPMENT AND LICENSE AGREEMENT</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the payment of a $22.0 million license fee.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 (ii) 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related to seltorexant to sell seltorexant outside the Minerva Territory. In consideration of the licenses granted on July 7, 2014, the Company made a license fee payment of $22.0 million, which was included as a component of research and development expense in 2014.</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original Agreement contains certain provisions, which include the Company’s ability to opt-out of the Agreement upon completion of certain milestones. If the Company elects to participate in the development program through to the potential commercial approval of seltorexant, the Company will pay a quarterly royalty percentage to the licensor in the high single digits on aggregate net sales for seltorexant products sold by the Company, its affiliates and sublicensees in the Minerva Territory. The licensor will pay a quarterly royalty percentage to the Company in the high single digits on aggregate net sales for seltorexant products sold by the licensor outside the Minerva Territory. In accordance with the development agreement, the Company will pay 40% of seltorexant development costs related to the joint development of any seltorexant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right="140"/>
        <w:spacing w:after="0" w:line="255" w:lineRule="auto"/>
        <w:rPr>
          <w:sz w:val="20"/>
          <w:szCs w:val="20"/>
          <w:color w:val="auto"/>
        </w:rPr>
      </w:pPr>
      <w:r>
        <w:rPr>
          <w:rFonts w:ascii="Arial" w:cs="Arial" w:eastAsia="Arial" w:hAnsi="Arial"/>
          <w:sz w:val="18"/>
          <w:szCs w:val="18"/>
          <w:color w:val="auto"/>
        </w:rPr>
        <w:t>The Company’s share of aggregate development costs shall not exceed (i) $5.0 million for the period beginning from the effective date of the license and ending following the completion of certain Phase 1b clinical trials and animal toxicology studies, and (ii) $24.0 million for the period beginning from the effective date of the license and ending following the completion of certain Phase 2 clinical trials. Janssen has a right to opt out at the end of certain development milestones, after which Janssen will not have to fund further development of seltorexant and the Minerva Territory will be expanded to also include all of North America. The Company would then owe Janssen a reduced royalty in the mid-single digits for all sales in the Minerva Territory. Janssen may also terminate the Agreement for the Company’s material breach or certain insolvency events, including if the Company is unable to fund its portion of the development costs.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accounts for the Agreement as a joint risk-sharing collaboration in accordance with ASC 808, </w:t>
      </w:r>
      <w:r>
        <w:rPr>
          <w:rFonts w:ascii="Arial" w:cs="Arial" w:eastAsia="Arial" w:hAnsi="Arial"/>
          <w:sz w:val="18"/>
          <w:szCs w:val="18"/>
          <w:i w:val="1"/>
          <w:iCs w:val="1"/>
          <w:color w:val="auto"/>
        </w:rPr>
        <w:t>Collaboration Arrangements</w:t>
      </w:r>
      <w:r>
        <w:rPr>
          <w:rFonts w:ascii="Arial" w:cs="Arial" w:eastAsia="Arial" w:hAnsi="Arial"/>
          <w:sz w:val="18"/>
          <w:szCs w:val="18"/>
          <w:color w:val="auto"/>
        </w:rPr>
        <w:t>.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 The Company has included zero in accrued collaborative expenses, as of March 31, 2018 and December 31, 2017, respectively, related to the Agreement. The Company made no payments in the three months ended March 31, 2018 and 2017, related to development activities under the Agreement.</w:t>
      </w:r>
    </w:p>
    <w:p>
      <w:pPr>
        <w:spacing w:after="0" w:line="19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July 6, 2016, the Company and Janssen agreed that “Decision Point 2” had been reached as defined under the Agreement. As neither party has exercised their right to withdraw from the Agreement, the Company has paid Janssen $3.5 million and have incurred direct expenses of $0.3 million related to development activities under the current phase of development. During the three months ended March 31, 2018 and 2017, the Company recorded an expense of zero and $3.2 million and a cost offset of $0.1 million, respectively, for certain development activities in accordance with the terms of the Agreement.</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June 2017, the Company entered into an amendment to the Agreement (“the Amendment”). The effectiveness of the Amendment was contingent upon approval of its terms by the European Commission and the closing of the acquisition of Actelion by affiliates of Janssen. These conditions were subsequently met, and the Agreement became effective on August 29, 2017. Under the amended Agreement, Janssen has waived its right to royalties on seltorexant insomnia sales in the European Union, Switzerland, Liechtenstein, Iceland and Norway (the “Minerva Territory”). The Company retains all of its rights to seltorexant, including commercialization of the molecule for the treatment of insomnia and as an as adjunctive therapy for MDD, which include an exclusive license in the Minerva Territory, with royalties payable by the Company to Janssen on seltorexant MDD sales.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the remaining payments due from the Company until completion of the Phase 2 development of seltorexant. The $30 million payment and $11.2 million in previously accrued collaborative expenses, which were forgiven upon the effective date of the Agreement, will be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March 31, 2018 and December 31, 2017, respectively.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the Amendment, the Company assumed strategic control of the clinical development of seltorexant for insomnia and has no further financial obligations until the Phase 2b development milestone has been completed, which is expected to occur in the second half of 2019. Upon completion of this development milestone, referred to as “Decision Point 4”, Minerva has the right to opt-out of the Agreement and collect a royalty on worldwide sales of seltorexant in the single digits with no further obligations to Janssen. If the Company elects to continue past “Decision Point 4” into Phase 3, the Company would be obligated to fund the clinical trials related to insomnia, and receive $40 million in milestone payments from Janssen, and would also be responsible for 40% of all costs incurred in the Phase 3 MDD program.</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solely dependent on future developments and therefore are considered non-substantive and will recognize such revenue in the periods in which the milestones are achieved. Similarly, the Company will recognize royalty revenues in the periods of the sale of the related products, provided that the reported sales are reliably measurable, collectability is reasonably assured and the Company has no further performance obligations.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July 5, 2017, the Company closed a public offering of its common stock, in which the Company issued and sold 5,750,000 shares of its common stock, including 750,000 shares sold pursuant to the underwriters’ full exercise of their option to purchase additional shares, at a public offering price of $7.75, for aggregate gross proceeds to the Company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$3.0 million in underwriting discounts and commissions and transaction costs, which will be included as a component of additional paid-in capital, resulting in net proceeds of approximately $41.6 million.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August 2017, in connection with the Amendment (see Note 6), the Company repurchased all of the approximately 3.9 million shares of its common stock previously owned by Johnson &amp; Johnson Innovation-JJDC Inc. at a per share price of $0.0001, for an aggregate purchase price of approximately $389.</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March 2017, certain investors in the Company’s March 2015 private placement exercised their warrants at an exercise price of $5.772 per share and received an aggregate of 1,621,073 shares of the Company’s common stock. The Company received gross proceeds of approximately $9.4 million from the exercise of these warrants. As of March 31, 2018, there are no remaining warrants outstanding under the Company’s March 2015 private placement.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Loan Agreement, the Company issued the Lenders warrants to purchase shares of its common stock upon its draw of each tranche of the Term Loans (see Note 5). The aggregate number of shares of common stock issuable upon exercise of the warrants is equal to 2.25% of the amount drawn of such tranche, divided by the average closing price per share of the Company’s common stock reported on the Nasdaq Global Market for the 10 consecutive trading days prior to the applicable draw. Upon the draw of the Term A Loans,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A Loans and also as a component of additional paid-in capital and will be amortized to interest expense over the term of the loan. All such warrants were outstanding as of March 31, 2018.</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December 2013, the Company adopted the 2013 Equity Incentive Plan (as subsequently amended and restated, the “Plan”), which provides for the issuance of options, stock appreciation rights, stock awards and stock units. On January 1, 2018, in accordance with the terms of the Plan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total shares authorized for issuance under the plan increased by 750,000 to 6,531,333. This increase represents the lesser of 750,000 shares or 4% of the total shares outstanding calculated as of the end of the most recent fiscal year. The exercise price per share shall not be less than the fair value of the Company’s underlying common stock on the grant date and no option may have a term in excess of ten years. Further, pursuant to Nasdaq listing rules, the Company issued inducement awards in December 2017 outside of the Plan in the form of an option to purchase 775,000 shares of the Company’s common stock and a restricted stock unit award to purchase 40,000 shares of the Company’s common stock. Stock option activity for employees and non-employees under the Plan for the three months ended March 31, 2018 is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8"/>
              </w:rPr>
              <w:t>Shares Issuable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Pursuant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8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88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2018</w:t>
            </w:r>
          </w:p>
        </w:tc>
        <w:tc>
          <w:tcPr>
            <w:tcW w:w="10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6,132,650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430,000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Exercised</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40" w:type="dxa"/>
            <w:vAlign w:val="bottom"/>
            <w:gridSpan w:val="2"/>
          </w:tcPr>
          <w:p>
            <w:pPr>
              <w:spacing w:after="0"/>
              <w:rPr>
                <w:sz w:val="20"/>
                <w:szCs w:val="20"/>
                <w:color w:val="auto"/>
              </w:rPr>
            </w:pPr>
            <w:r>
              <w:rPr>
                <w:rFonts w:ascii="Arial" w:cs="Arial" w:eastAsia="Arial" w:hAnsi="Arial"/>
                <w:sz w:val="18"/>
                <w:szCs w:val="18"/>
                <w:color w:val="auto"/>
              </w:rPr>
              <w:t>Outstanding March 31, 2018</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6,555,150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March 31, 2018</w:t>
            </w:r>
          </w:p>
        </w:tc>
        <w:tc>
          <w:tcPr>
            <w:tcW w:w="10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2,760,612</w:t>
            </w: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gridSpan w:val="2"/>
            <w:vMerge w:val="continue"/>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342,654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March 31, 2018 was $4.95 per share. Total unrecognized compensation costs related to non-vested stock options at March 31, 2018 was approximately $16.9 million and is expected to be recognized within future operating results over a weighted-average period of 3.2 years. The total intrinsic value of the options exercised during the three months ended March 31, 2017 was approximately $0.2 million.</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the Black Scholes model to estimate the fair value of stock options granted. For stock options granted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 the Company utilized the following assumptions: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gridSpan w:val="4"/>
          </w:tcPr>
          <w:p>
            <w:pPr>
              <w:ind w:left="100"/>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820" w:type="dxa"/>
            <w:vAlign w:val="bottom"/>
            <w:tcBorders>
              <w:top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6.25</w:t>
            </w: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2.33%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83%</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Dividend yield</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center"/>
              <w:ind w:left="13"/>
              <w:spacing w:after="0"/>
              <w:rPr>
                <w:sz w:val="20"/>
                <w:szCs w:val="20"/>
                <w:color w:val="auto"/>
              </w:rPr>
            </w:pPr>
            <w:r>
              <w:rPr>
                <w:rFonts w:ascii="Arial" w:cs="Arial" w:eastAsia="Arial" w:hAnsi="Arial"/>
                <w:sz w:val="18"/>
                <w:szCs w:val="18"/>
                <w:color w:val="auto"/>
                <w:w w:val="92"/>
              </w:rPr>
              <w:t>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Weighted average grant date fair value per share of</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4.47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-281305</wp:posOffset>
            </wp:positionV>
            <wp:extent cx="5797550"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There were no stock options granted to employees during the three months ended March 31, 2017</w:t>
      </w:r>
    </w:p>
    <w:p>
      <w:pPr>
        <w:spacing w:after="0" w:line="2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Stock-Based Awards Granted to Non-employees-</w:t>
      </w:r>
      <w:r>
        <w:rPr>
          <w:rFonts w:ascii="Arial" w:cs="Arial" w:eastAsia="Arial" w:hAnsi="Arial"/>
          <w:sz w:val="18"/>
          <w:szCs w:val="18"/>
          <w:color w:val="333333"/>
        </w:rPr>
        <w:t>The Company from time to time grants options to purchase common stock to non-employees for services</w:t>
      </w:r>
      <w:r>
        <w:rPr>
          <w:rFonts w:ascii="Arial" w:cs="Arial" w:eastAsia="Arial" w:hAnsi="Arial"/>
          <w:sz w:val="18"/>
          <w:szCs w:val="18"/>
          <w:color w:val="auto"/>
        </w:rPr>
        <w:t xml:space="preserve"> </w:t>
      </w:r>
      <w:r>
        <w:rPr>
          <w:rFonts w:ascii="Arial" w:cs="Arial" w:eastAsia="Arial" w:hAnsi="Arial"/>
          <w:sz w:val="18"/>
          <w:szCs w:val="18"/>
          <w:color w:val="333333"/>
        </w:rPr>
        <w:t>rendered and records expense ratably over the vesting period of each award. The Company estimates the fair value of the stock options using the Black-Scholes valuation model at each reporting date. The Company granted 40,000 stock options to non-employees during the three months ended March 31, 2018. The Company recorded stock-based compensation expense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333333"/>
        </w:rPr>
        <w:t>stock options granted to non-employees of $0.2 million and $0.1 million during the three months ended March 31, 2018 and 2017,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stock options granted to non-employees, the Company utilized the following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54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left="173"/>
              <w:spacing w:after="0" w:line="155"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ind w:left="212"/>
              <w:spacing w:after="0" w:line="155" w:lineRule="exact"/>
              <w:rPr>
                <w:sz w:val="20"/>
                <w:szCs w:val="20"/>
                <w:color w:val="auto"/>
              </w:rPr>
            </w:pPr>
            <w:r>
              <w:rPr>
                <w:rFonts w:ascii="Arial" w:cs="Arial" w:eastAsia="Arial" w:hAnsi="Arial"/>
                <w:sz w:val="14"/>
                <w:szCs w:val="14"/>
                <w:b w:val="1"/>
                <w:bCs w:val="1"/>
                <w:color w:val="auto"/>
                <w:w w:val="89"/>
              </w:rPr>
              <w:t>2017</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92"/>
              </w:rPr>
              <w:t>9.4-9.8</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left="13"/>
              <w:spacing w:after="0"/>
              <w:rPr>
                <w:sz w:val="20"/>
                <w:szCs w:val="20"/>
                <w:color w:val="auto"/>
              </w:rPr>
            </w:pPr>
            <w:r>
              <w:rPr>
                <w:rFonts w:ascii="Arial" w:cs="Arial" w:eastAsia="Arial" w:hAnsi="Arial"/>
                <w:sz w:val="18"/>
                <w:szCs w:val="18"/>
                <w:color w:val="auto"/>
                <w:w w:val="91"/>
              </w:rPr>
              <w:t>2.71-2.74%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2.37-2.39%</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center"/>
              <w:ind w:left="13"/>
              <w:spacing w:after="0"/>
              <w:rPr>
                <w:sz w:val="20"/>
                <w:szCs w:val="20"/>
                <w:color w:val="auto"/>
              </w:rPr>
            </w:pPr>
            <w:r>
              <w:rPr>
                <w:rFonts w:ascii="Arial" w:cs="Arial" w:eastAsia="Arial" w:hAnsi="Arial"/>
                <w:sz w:val="18"/>
                <w:szCs w:val="18"/>
                <w:color w:val="auto"/>
                <w:w w:val="88"/>
              </w:rPr>
              <w:t>85-113%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center"/>
              <w:ind w:right="220"/>
              <w:spacing w:after="0"/>
              <w:rPr>
                <w:sz w:val="20"/>
                <w:szCs w:val="20"/>
                <w:color w:val="auto"/>
              </w:rPr>
            </w:pPr>
            <w:r>
              <w:rPr>
                <w:rFonts w:ascii="Arial" w:cs="Arial" w:eastAsia="Arial" w:hAnsi="Arial"/>
                <w:sz w:val="18"/>
                <w:szCs w:val="18"/>
                <w:color w:val="auto"/>
                <w:w w:val="90"/>
              </w:rPr>
              <w:t>110-112%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173"/>
              <w:spacing w:after="0"/>
              <w:rPr>
                <w:sz w:val="20"/>
                <w:szCs w:val="20"/>
                <w:color w:val="auto"/>
              </w:rPr>
            </w:pPr>
            <w:r>
              <w:rPr>
                <w:rFonts w:ascii="Arial" w:cs="Arial" w:eastAsia="Arial" w:hAnsi="Arial"/>
                <w:sz w:val="18"/>
                <w:szCs w:val="18"/>
                <w:color w:val="auto"/>
                <w:w w:val="92"/>
              </w:rPr>
              <w:t>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center"/>
              <w:ind w:left="212"/>
              <w:spacing w:after="0"/>
              <w:rPr>
                <w:sz w:val="20"/>
                <w:szCs w:val="20"/>
                <w:color w:val="auto"/>
              </w:rPr>
            </w:pPr>
            <w:r>
              <w:rPr>
                <w:rFonts w:ascii="Arial" w:cs="Arial" w:eastAsia="Arial" w:hAnsi="Arial"/>
                <w:sz w:val="18"/>
                <w:szCs w:val="18"/>
                <w:color w:val="auto"/>
                <w:w w:val="92"/>
              </w:rPr>
              <w:t>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reporting date fair value per share of</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60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FF0FC"/>
          </w:tcPr>
          <w:p>
            <w:pPr>
              <w:spacing w:after="0"/>
              <w:rPr>
                <w:sz w:val="20"/>
                <w:szCs w:val="20"/>
                <w:color w:val="auto"/>
              </w:rPr>
            </w:pPr>
          </w:p>
        </w:tc>
        <w:tc>
          <w:tcPr>
            <w:tcW w:w="6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FF0FC"/>
          </w:tcPr>
          <w:p>
            <w:pPr>
              <w:spacing w:after="0"/>
              <w:rPr>
                <w:sz w:val="20"/>
                <w:szCs w:val="20"/>
                <w:color w:val="auto"/>
              </w:rPr>
            </w:pPr>
          </w:p>
        </w:tc>
      </w:tr>
      <w:tr>
        <w:trPr>
          <w:trHeight w:val="473"/>
        </w:trPr>
        <w:tc>
          <w:tcPr>
            <w:tcW w:w="7200" w:type="dxa"/>
            <w:vAlign w:val="bottom"/>
            <w:gridSpan w:val="3"/>
          </w:tcPr>
          <w:p>
            <w:pPr>
              <w:spacing w:after="0"/>
              <w:rPr>
                <w:sz w:val="20"/>
                <w:szCs w:val="20"/>
                <w:color w:val="auto"/>
              </w:rPr>
            </w:pPr>
            <w:r>
              <w:rPr>
                <w:rFonts w:ascii="Arial" w:cs="Arial" w:eastAsia="Arial" w:hAnsi="Arial"/>
                <w:sz w:val="18"/>
                <w:szCs w:val="18"/>
                <w:color w:val="auto"/>
              </w:rPr>
              <w:t>RSU activity under the Plan for the three months ended March 31, 2018 is as follows: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5"/>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RSUs</w:t>
            </w:r>
          </w:p>
        </w:tc>
        <w:tc>
          <w:tcPr>
            <w:tcW w:w="20" w:type="dxa"/>
            <w:vAlign w:val="bottom"/>
          </w:tcPr>
          <w:p>
            <w:pPr>
              <w:spacing w:after="0"/>
              <w:rPr>
                <w:sz w:val="14"/>
                <w:szCs w:val="14"/>
                <w:color w:val="auto"/>
              </w:rPr>
            </w:pPr>
          </w:p>
        </w:tc>
        <w:tc>
          <w:tcPr>
            <w:tcW w:w="180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2018</w:t>
            </w:r>
          </w:p>
        </w:tc>
        <w:tc>
          <w:tcPr>
            <w:tcW w:w="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185,950</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44"/>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4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March 31, 2018</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gridSpan w:val="2"/>
            <w:shd w:val="clear" w:color="auto" w:fill="CFF0FC"/>
          </w:tcPr>
          <w:p>
            <w:pPr>
              <w:jc w:val="right"/>
              <w:ind w:right="144"/>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March 31, 2018 was approximately $2.0 million and is expected to be recognized within future operating results over a period of 2.9 years.</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recognized stock-based compensation expense for the three months ended March 31, 2018 and 2017 of $2.1 million and $1.3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30, 2021, with a monthly rental rate starting at $14,808 and escalating to a maximum monthly rental rate of $16,288 in the final 12 months of the term. The Sublandlord has agreed to provide the Premises to the Company free of charge for the first two months of the term.</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$105,000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6 – Co-Development and License Agreement and Note 7 – Stockholder’s Equity for additional related party transactions.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2017 as filed with the Securities and Exchange Commission on March 12,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or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product portfolio and potential indications include: roluperidone for the treatment of schizophrenia; seltorexant (also known as MIN-202 or JNJ-42847922), which we are co-developing with Janssen Pharmaceutica NV, or Janssen, for the treatment of insomnia disorder and Major Depressive Disorder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19, 2017, we announced the screening of the first patient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or mg, and 64 mg of roluperidone in adult patients with negative symptoms of schizophrenia. The 12-week study will be followed by a 40-week, open-label extension period during which patients on drug will continue receiving their original dose and patients on placebo will receive either 32 mg or 64 mg of roluperidone.</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approximately 500 patients will be enrolled in this trial at approximately 60 clinical sites in the U.S. and Europe, with about 30 percent of patients coming from the U.S. Patients will be initially randomized equally to receive one of the two doses of roluperidone or placebo for 12 weeks. Thereafter, all patients will continue treatment with active drug for the 40-week extension period. Top-line results from the 12-week double blind phase of this trial are expected in the first half of 2019.</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primary endpoint of this trial will be improvement in negative symptoms in patients treated with roluperidone compared to placebo as measured by the change in the Positive and Negative Syndrome Scale, or PANSS, Marder negative symptoms factor score, or NSFS, over the 12-week double-blind treatment period. To support the use of the Marder NSFS as the primary endpoint in the Phase 3 study, it was applied to the Phase 2b PANSS data, and the resulting analysis confirmed the robustness of the effect of roluperidone for the two tested doses. The key secondary endpoint will be the effect of roluperidone compared to placebo as measured by the Personal and Social Performance, or PSP, total score over the same period. Additional secondary endpoints will be the effect of roluperidone compared to placebo on the Clinical Global Impression of Severity, or CGI-S, score and safety and tolerability.</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Patients admitted into the trial must have a documented diagnosis of schizophrenia for at least one year and be symptomatically stable for at least 6 months with moderate to severe negative symptoms (&gt;20 on the PANSS negative symptom subscale) and stable positive symptoms. Patients without severe symptoms of excitement/hyperactivity, suspiciousness, persecution, hostility, uncooperativeness, or poor impulse control will be recruited. We believe these eligibility criteria represent the real-world patient population who may benefit when the drug is used in clinical practice. In addition, patients treated with psychotropic agents will need to undergo wash-out before receiving study drug. These parameters were applied in screening the population treated in the Phase 2b trial.</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Chemistry, Manufacturing and Controls (CMC) program</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CMC scale-up program for roluperidone is ongoing to ensure consistency between the drug batches to be used during pivotal,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initiated a Phase 2b trial in MDD in the U.S. and Europe on April 9, 2018. The primary objective of the trial is to evaluate the efficacy of two fixed doses of MIN-117, 5.0 mg and 2.5 mg, compared with placebo in reducing the symptoms of major depression as measured by the change in the Montgomery-Asberg Depression Rating Scale (MADRS) total score over six weeks of treatment. Secondary objectives include: (1) assessment of the change from baseline in symptoms of anxiety using the Hamilton Anxiety Scale (HAM-A); (2) the change in severity of illness using the Clinical Global Impression of Severity Scale (CGI-S) and Clinical Global Impression of Improvement Scale (CGI-I); and (3) safety over six weeks of treatment.</w:t>
      </w:r>
    </w:p>
    <w:p>
      <w:pPr>
        <w:spacing w:after="0" w:line="1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study population will consist of adults with a diagnosis of moderate or severe MDD with anxious distress and without psychotic features. Based upon previous clinical observations, the Company believes that patients with MDD who also have symptoms of anxiety may benefit from treatment with MIN-117.</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Approximately 324 patients are expected to be enrolled at approximately 40 sites in the U.S. and Europe. Patients will be randomized to one of three arms, including placebo and the two dosage arms, in a 2:1:1 ratio, resulting in approximately 162 patients in the placebo group and 81 patients in each of the two MIN-117 treatment groups. The study design includes a screening phase of up to three weeks, a six-week double-blind treatment phase and a two-week post-study follow-up period. Top line results of the trial are expected in the first half of 2019. In preparation for this trial, a food effect study was recently completed, and the preliminary data show that food has no effect on the exposure PK parameters, therefore allowing dosing with or without food.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Trials in MDD</w:t>
      </w:r>
    </w:p>
    <w:p>
      <w:pPr>
        <w:spacing w:after="0" w:line="22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On September 5, 2017, we announced the enrollment of the first patient in a Phase 2b trial of seltorexant as adjunctive therapy to antidepressants in adult patients with MDD who have responded inadequately to antidepressant therapy (the 2001 trial). The primary objectives of this multi-center, double-blind, randomized, parallel group, placebo-controlled, adaptive-dose finding study are to assess the dose-response relationship and antidepressant effects of up to three doses of seltorexant and to assess the safety and tolerability of seltorexant compared to placebo. The trial consists of three phases: a screening phase lasting up to four weeks, a six-week double-blind treatment phase and a two-week post-treatment follow-up phase. We plan to enroll approximately 280 patients at approximately 85 clinical sites in the U.S., Europe, Russia and Japan</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December 21, 2017, we announced the enrollment of the first patient in a Phase 2b clinical trial comparing seltorexant versus quetiapine as adjunctive therapy in patients with MDD who have responded inadequately to antidepressant therapy (the 2002 trial). The primary objective of this multi-center, double-blind, randomized, flexible-dose, parallel-group study is to assess the efficacy of flexibly dosed seltorexant compared to flexibly dosed quetiapine as adjunctive therapy to a baseline antidepressant drug in delaying time to all-cause discontinuation of study drug over a 6-month treatment period. Time to all-cause discontinuation is defined as the number of days from administration of the first dose of study drug to administration of the last dose of study drug.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trial consists of three phases: a screening phase lasting up to four weeks, a six-month double-blind treatment phase and a two-week follow-up</w:t>
      </w:r>
    </w:p>
    <w:p>
      <w:pPr>
        <w:spacing w:after="0" w:line="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phase. Approximately 100 patients 18 to 64 years of age are planned to be randomized at approximately 34 sites in the U.S. to receive either flexibly dosed seltorexant, 20 mg or 40 mg, or flexibly dosed quetiapine XR, 150 mg or 300 mg. Subjects will continue to take their baseline antidepressant therapy of either an SSRI (selective serotonin reuptake inhibitor) or an SNRI (serotonin-norepinephrine reuptake inhibitor) at the same dose throughout the screening, double-blind and follow-up phases.</w:t>
      </w:r>
    </w:p>
    <w:p>
      <w:pPr>
        <w:spacing w:after="0" w:line="19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Enrollment in the 2002 study was temporarily suspended during the first quarter of 2018 due to a drug packaging issue. This issue has now been resolved, and we expect to restart enrollment in the second quarter of 2018. We are also conducting preclinical fertility studies in female rats to assess the potential relevance to exposing women of child bearing potential to seltorexant.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Phase 2b Trial in Insomnia Disorder</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6, 2017, we announced the enrollment of the first patient in a Phase 2b clinical trial of seltorexant in patients with insomnia disorder (the 2005 trial). This multicenter, double-blind, randomized, parallel-group, active- and placebo-controlled dose finding study is designed to assess the efficacy and safety of seltorexant in both adult and elderly subjects with insomnia disorder. The primary objective of this trial is to assess the dose-response of three doses of seltorexant (5, 10 and 20 mg daily) compared to placebo on sleep onset as measured by the latency to persistent sleep (LPS) using polysomnography (PSG). The key secondary objective is to assess the dose-response of these three doses compared to placebo on wake after sleep onset (WASO) over the first six hours using PSG. In addition, the effects of seltorexant on sleep and cognition will be compared to those effects of zolpidem to determine potential differences between the compounds.</w:t>
      </w:r>
    </w:p>
    <w:p>
      <w:pPr>
        <w:spacing w:after="0" w:line="178"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 total of approximately 360 patients 18 to 85 years of age will be randomized in this study at clinical sites in the United States, European Union and Japan. The duration of participation in this study for an individual subject will be up to 61 days, including screening and follow-up.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previously announced results from a non-human primate study showing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IND or Investigational Medicinal Product Dossier, or IMPD, filing, with a Phase 1 study expected to commence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None of our product candidates have been approved for commercialization and we have not received any revenue in connection with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of our product candidates. We are evaluating the revenue implications of our Amendment to Co-Development and License Agreement with Janssen</w:t>
      </w:r>
    </w:p>
    <w:p>
      <w:pPr>
        <w:spacing w:after="0" w:line="1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clinical research organizations, or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the future, we expect research and development expenses to continue to be our largest category of operating expenses and to increase as we continue our planned pre-clinical and clinical trials for our product candidates and as we hire additional research and development staff.</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ind w:right="20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expenses denominated in Euros. Since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Investment income consists of income earned on our cash equivalents and marketable securities (current and non-current).</w:t>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incurred under our current outstanding loan with Oxford Finance LLC, or Oxford, and Silicon Valley</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SVB.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2018 versus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Total research and development expenses were $8.4 million for the three months ended March 31, 2018 compared to $7.6 million for the same period in 2017, an increase of approximately $0.8 million. The increase in research and development expenses primarily reflects higher development expenses for the Phase 3 clinical trial of roluperidone and the Phase 2b clinical trial of MIN-117. These amounts were partially offset by lower development expenses for the seltrorexant program due to the Amendment to our Co-Development and License Agreement with Janssen. We expect research and development expenses to increase during 2018 as we increase patient enrollment and related support activities for the roluperidone and MIN-117 clinical trials.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Total general and administrative expenses were $4.3 million for the three months ended March 31, 2018 compared to $2.9 million for the same period in 2017, an increase of approximately $1.4 million. This increase in general and administrative expenses was primarily due to an increase in non-cash stock-based compensation expenses and salary costs from increased staffing to support our pre-commercial activities. We expect general and administrative expenses to increase during 2018 as we begin to invest in the infrastructure necessary to support the Company’s growth.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Foreign exchange loss was $18 thousand for the three months ended March 31, 2018 compared to a loss of $17 thousand for the same period in 2017, an increased loss of $1 thousand. The loss was primarily due to an increase in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Investment income was $0.4 million for the three months ended March 31, 2018 compared to $0.1 million for the same period in 2017, an increase of $0.3 million. The increase was due to increased investment income on cash equivalents and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Interest expense was $0.1 million for the three months ended March 31, 2018 compared to $0.2 million for the same period in 2017, a decrease of $0.1 million. The decrease was primarily due to a lower outstanding loan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We have incurred losses and cumulative negative cash flows from operations since our inception in April 2007 and, as of March 31, 2018, we had an accumulated deficit of approximately $176.8 million. We anticipate that we will continue to incur net losses for the foreseeable future as we continue the development and potential commercialization of our product candidates and to support our operations as a public company. At March 31, 2018, we had approximately $121.1 million in cash, cash equivalents, restricted cash and marketable securities. We believe that our existing cash, cash equivalents, restricted cash and marketable securities will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100"/>
        <w:spacing w:after="0" w:line="293" w:lineRule="auto"/>
        <w:rPr>
          <w:sz w:val="20"/>
          <w:szCs w:val="20"/>
          <w:color w:val="auto"/>
        </w:rPr>
      </w:pPr>
      <w:r>
        <w:rPr>
          <w:rFonts w:ascii="Arial" w:cs="Arial" w:eastAsia="Arial" w:hAnsi="Arial"/>
          <w:sz w:val="16"/>
          <w:szCs w:val="16"/>
          <w:color w:val="auto"/>
        </w:rPr>
        <w:t>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several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We incurred $3.0 million in underwriting discounts and commissions and transaction costs, which will be included as a component of additional paid-in capital, resulting in net proceeds of approximately $41.6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March 2017, certain investors in our March 2015 private placement exercised their warrants and received an aggregate of 1,621,073 shares of our common stock. We received gross proceeds of approximately $9.4 million from the exercise of these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restricted cash and marketable securities will be sufficient to meet our cash commitments for at least the next 12 months after the date that the interim condensed financial statements are issued. The timing of future capital requirements depends upon many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right="240"/>
        <w:spacing w:after="0" w:line="277" w:lineRule="auto"/>
        <w:rPr>
          <w:sz w:val="20"/>
          <w:szCs w:val="20"/>
          <w:color w:val="auto"/>
        </w:rPr>
      </w:pPr>
      <w:r>
        <w:rPr>
          <w:rFonts w:ascii="Arial" w:cs="Arial" w:eastAsia="Arial" w:hAnsi="Arial"/>
          <w:sz w:val="18"/>
          <w:szCs w:val="18"/>
          <w:color w:val="auto"/>
        </w:rPr>
        <w:t>factors including the size and timing of future clinical trials, the timing and scope of any strategic partnering activity and the progress of other research and development activities.</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Under our $10.0 million Term A Loan, we have made principal repayments of approximately $7.8 million. We expect to make additional principal repayments of approximately $2.2 million in 2018, in accordance with the terms of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significant sources and uses of cash for the three months ended March 31, 2018 and 2017:</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60" w:type="dxa"/>
            <w:vAlign w:val="bottom"/>
            <w:gridSpan w:val="4"/>
          </w:tcPr>
          <w:p>
            <w:pPr>
              <w:jc w:val="center"/>
              <w:ind w:left="307"/>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4"/>
                <w:szCs w:val="14"/>
                <w:b w:val="1"/>
                <w:bCs w:val="1"/>
                <w:color w:val="auto"/>
                <w:w w:val="99"/>
              </w:rPr>
              <w:t>March 31,</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060" w:type="dxa"/>
            <w:vAlign w:val="bottom"/>
            <w:gridSpan w:val="4"/>
          </w:tcPr>
          <w:p>
            <w:pPr>
              <w:jc w:val="center"/>
              <w:ind w:left="307"/>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(10.9)</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(16.5)</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(14.1)</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cash used in operating activities of approximately $10.9 million during the three months ended March 31, 2018 was primarily due to our net loss of $12.4 million, an increase in prepaid expense of $2.9 million and amortization of investments of $0.1 million, partially offset by a $1.4 million increase in accounts payable, stock-based compensation expense of $2.1 million and a $1.0 million increase in accrued expenses.</w:t>
      </w:r>
    </w:p>
    <w:p>
      <w:pPr>
        <w:spacing w:after="0" w:line="18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Net cash used in operating activities of approximately $6.0 million during the three months ended March 31, 2017 was primarily due to our net loss of $10.6 million, partially offset by a $1.8 million increase in accounts payable, stock-based compensation expense of $1.3 million, a $0.9 million increase in accrued expenses, an increase in accrued collaborative expenses of $0.5 million and amortization of investments and debt discount of $0.1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investing activities of approximately $31.3 million during the three months ended March 31, 2018 was primarily due to the maturity and redemption of marketable securities of $39.3 million, partially offset by the purchase of marketable securities of $7.9 million.</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cash used in investing activities of approximately $16.5 million during the three months ended March 31, 2017 was primarily due to the purchase of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financing activities of $1.3 million during the three months ended March 31, 2018 was due to principal repayments under the Term A loans of $1.3 million.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provided by financing activities of $8.4 million during the three months ended March 31, 2017 was primarily due to the proceeds from the exercise of common stock warrants of $9.3 million and the proceeds from the exercise of common stock options of $0.3 million, partially offset by the principal repayments under the Term A loans of $1.2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2018, there were no material changes in our contractual obligations and commitments from those disclosed in our Annual Report on Form 10-K for the year ended December 31, 2017 as filed with the SEC on March 12,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In our Annual Report on Form 10-K for the fiscal year ended December 31, 2017, our most critical accounting policies and estimates upon which our financial status depends were identified as those relating to stock-based compensation; research and development costs; in-process research and development; goodwill; income taxes; JOBS act; net operating losses and tax credit carryforwards; and impairment of long-lived assets. We reviewed our policies and determined that those policies remain our most critical accounting policies for the three months ended March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Market risk is the potential loss arising from adverse changes in market rates and market prices such as interest rates, foreign currency exchange rates, and changes in the market value of equity instruments. We do not believe we are currently exposed to any material market risk because the interest rate under our Term A loan is fixed, our exposure for fluctuations in foreign exchange rates is not material and we do not hold equity instruments. As of March 31, 2018, we had $75.9 million of marketable securities, which consisted primarily of corporate bonds, with fixed interest rates. These securities have a weighted-average remaining maturity of 4 months. Due to the overall short-term remaining maturities of our marketable securities, our interest rate exposure is not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March 31, 2018. Based on the evaluation of our disclosure controls and procedures as of March 31, 2018,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other changes in internal control over financial reporting during the Company’s latest fiscal quarter that would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2017, as filed with the SEC on March 12, 2018. The risk factors set forth below are risk factors containing changes, which may be material, from the risk factors previously disclosed in Item 1A of our Annual Report on Form 10-K for the fiscal year ended December 31, 2017, as filed with the SEC.</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clinical development-stage biopharmaceutical company. In November 2013, we merged with Sonkei Pharmaceuticals, Inc., or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are not profitable and have incurred losses in each period since our inception in 2007. For the three months ended March 31, 2018, and 2017, we reported net losses of $12.4 million and $10.6 million, respectively. As of March 31, 2018, we had an accumulated deficit of $176.8 million.</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operations and the historic operations of Sonkei and Mind-NRG have consumed substantial amounts of cash since inception. We expect our research and development expenses to increase substantially in connection with our ongoing activities, particularly as we advance our product candidates into clinical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 w:name="page28"/>
    <w:bookmarkEnd w:id="27"/>
    <w:p>
      <w:pPr>
        <w:ind w:right="40"/>
        <w:spacing w:after="0" w:line="255" w:lineRule="auto"/>
        <w:rPr>
          <w:sz w:val="20"/>
          <w:szCs w:val="20"/>
          <w:color w:val="auto"/>
        </w:rPr>
      </w:pPr>
      <w:r>
        <w:rPr>
          <w:rFonts w:ascii="Arial" w:cs="Arial" w:eastAsia="Arial" w:hAnsi="Arial"/>
          <w:sz w:val="18"/>
          <w:szCs w:val="18"/>
          <w:color w:val="auto"/>
        </w:rPr>
        <w:t>As of March 31, 2018, we had cash, cash equivalents, restricted cash and marketable securities of $121.1 million. We believe that our existing cash, cash equivalents, restricted cash and marketable securities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25" w:lineRule="exact"/>
        <w:rPr>
          <w:sz w:val="20"/>
          <w:szCs w:val="20"/>
          <w:color w:val="auto"/>
        </w:rPr>
      </w:pPr>
    </w:p>
    <w:p>
      <w:pPr>
        <w:ind w:left="1040" w:right="740" w:hanging="519"/>
        <w:spacing w:after="0" w:line="258"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40" w:right="820" w:hanging="519"/>
        <w:spacing w:after="0" w:line="281"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40" w:right="480" w:hanging="519"/>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40" w:right="160" w:hanging="519"/>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2018, we had twelve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181"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our clinical trials effectively;</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9" w:lineRule="exact"/>
        <w:rPr>
          <w:rFonts w:ascii="Arial" w:cs="Arial" w:eastAsia="Arial" w:hAnsi="Arial"/>
          <w:sz w:val="18"/>
          <w:szCs w:val="18"/>
          <w:color w:val="auto"/>
        </w:rPr>
      </w:pPr>
    </w:p>
    <w:p>
      <w:pPr>
        <w:ind w:left="1040" w:right="220" w:hanging="519"/>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collaborators, contractors and other third parties;</w:t>
      </w: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systems; and</w:t>
      </w:r>
    </w:p>
    <w:p>
      <w:pPr>
        <w:spacing w:after="0" w:line="9" w:lineRule="exact"/>
        <w:rPr>
          <w:rFonts w:ascii="Arial" w:cs="Arial" w:eastAsia="Arial" w:hAnsi="Arial"/>
          <w:sz w:val="18"/>
          <w:szCs w:val="18"/>
          <w:color w:val="auto"/>
        </w:rPr>
      </w:pPr>
    </w:p>
    <w:p>
      <w:pPr>
        <w:ind w:left="1040" w:right="20" w:hanging="519"/>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our compliance infrastructure and processes to ensure compliance with complex regulations and industry standards regarding us and our product candidates.</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did not sell any unregistered securities during the three months ended March 31,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repurchase any securities during the three months ended March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12"/>
          </w:tcPr>
          <w:p>
            <w:pPr>
              <w:spacing w:after="0"/>
              <w:rPr>
                <w:sz w:val="20"/>
                <w:szCs w:val="20"/>
                <w:color w:val="auto"/>
              </w:rPr>
            </w:pPr>
            <w:r>
              <w:rPr>
                <w:rFonts w:ascii="Arial" w:cs="Arial" w:eastAsia="Arial" w:hAnsi="Arial"/>
                <w:sz w:val="18"/>
                <w:szCs w:val="18"/>
                <w:b w:val="1"/>
                <w:bCs w:val="1"/>
                <w:color w:val="auto"/>
              </w:rPr>
              <w:t>Exhibits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80" w:type="dxa"/>
            <w:vAlign w:val="bottom"/>
            <w:gridSpan w:val="13"/>
          </w:tcPr>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40" w:type="dxa"/>
            <w:vAlign w:val="bottom"/>
            <w:gridSpan w:val="9"/>
            <w:vMerge w:val="restart"/>
          </w:tcPr>
          <w:p>
            <w:pPr>
              <w:ind w:left="42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SEC File No.</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140" w:type="dxa"/>
            <w:vAlign w:val="bottom"/>
            <w:tcBorders>
              <w:bottom w:val="single" w:sz="8" w:color="auto"/>
            </w:tcBorders>
            <w:gridSpan w:val="9"/>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0"/>
          </w:tcPr>
          <w:p>
            <w:pPr>
              <w:spacing w:after="0"/>
              <w:rPr>
                <w:rFonts w:ascii="Arial" w:cs="Arial" w:eastAsia="Arial" w:hAnsi="Arial"/>
                <w:sz w:val="18"/>
                <w:szCs w:val="18"/>
                <w:color w:val="0000EE"/>
              </w:rPr>
            </w:pPr>
            <w:hyperlink r:id="rId48">
              <w:r>
                <w:rPr>
                  <w:rFonts w:ascii="Arial" w:cs="Arial" w:eastAsia="Arial" w:hAnsi="Arial"/>
                  <w:sz w:val="18"/>
                  <w:szCs w:val="18"/>
                  <w:color w:val="0000EE"/>
                </w:rPr>
                <w:t>Amended and Restated Certificate of Incorporation of the Registrant (incorporated by reference to Exhibit 3.1 to the</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Registrant’s registration statement on Form S-1/A filed with the SEC on June 10, 2014)</w:t>
              </w:r>
            </w:hyperlink>
          </w:p>
        </w:tc>
        <w:tc>
          <w:tcPr>
            <w:tcW w:w="2100" w:type="dxa"/>
            <w:vAlign w:val="bottom"/>
            <w:tcBorders>
              <w:top w:val="single" w:sz="8" w:color="0000EE"/>
            </w:tcBorders>
          </w:tcPr>
          <w:p>
            <w:pPr>
              <w:spacing w:after="0"/>
              <w:rPr>
                <w:sz w:val="17"/>
                <w:szCs w:val="17"/>
                <w:color w:val="auto"/>
              </w:rPr>
            </w:pPr>
          </w:p>
        </w:tc>
        <w:tc>
          <w:tcPr>
            <w:tcW w:w="82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6"/>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Amended and Restated Bylaws of the Registrant (incorporated by reference to Exhibit 3.2 to the Registrant’s registration</w:t>
              </w:r>
            </w:hyperlink>
          </w:p>
        </w:tc>
        <w:tc>
          <w:tcPr>
            <w:tcW w:w="520" w:type="dxa"/>
            <w:vAlign w:val="bottom"/>
            <w:gridSpan w:val="4"/>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0"/>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statement on Form S-1/A filed with the SEC on June 10, 2014)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0"/>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Certification of Chief Executive Officer (Principal Executive Officer) pursuant to Section 302 of Sarbanes-Oxley Act of 2002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60" w:type="dxa"/>
            <w:vAlign w:val="bottom"/>
            <w:tcBorders>
              <w:top w:val="single" w:sz="8" w:color="0000EE"/>
            </w:tcBorders>
            <w:gridSpan w:val="8"/>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Certification of Chief Financial Officer (Principal Financial Officer) pursuant to Section 302 of Sarbanes-Oxley Act of 2002</w:t>
              </w:r>
            </w:hyperlink>
          </w:p>
        </w:tc>
        <w:tc>
          <w:tcPr>
            <w:tcW w:w="1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Chief Executive Officer (Principal Executive Officer) and Chief Financial Officer (Principal Financial</w:t>
              </w:r>
            </w:hyperlink>
          </w:p>
        </w:tc>
        <w:tc>
          <w:tcPr>
            <w:tcW w:w="440" w:type="dxa"/>
            <w:vAlign w:val="bottom"/>
            <w:tcBorders>
              <w:top w:val="single" w:sz="8" w:color="0000EE"/>
            </w:tcBorders>
            <w:gridSpan w:val="2"/>
          </w:tcPr>
          <w:p>
            <w:pPr>
              <w:spacing w:after="0"/>
              <w:rPr>
                <w:sz w:val="24"/>
                <w:szCs w:val="24"/>
                <w:color w:val="auto"/>
              </w:rPr>
            </w:pPr>
          </w:p>
        </w:tc>
        <w:tc>
          <w:tcPr>
            <w:tcW w:w="2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Officer) pursuant to Section 906 of Sarbanes-Oxley Act of 2002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462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4"/>
              </w:rPr>
              <w:t>101.CAL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5"/>
              </w:rPr>
              <w:t>101.LAB</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3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240" w:top="337" w:right="6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right="420" w:hanging="519"/>
        <w:spacing w:after="0" w:line="264"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3, 2018</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Remy Luthringer Ph.D.</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Remy Luthringer Ph.D.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3, 2018</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Geoffrey Race</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2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2018,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Remy Luthringer, Ph.D.</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May 3, 2018</w:t>
      </w:r>
      <w:r>
        <w:rPr>
          <w:sz w:val="20"/>
          <w:szCs w:val="20"/>
          <w:color w:val="auto"/>
        </w:rPr>
        <w:tab/>
      </w:r>
      <w:r>
        <w:rPr>
          <w:rFonts w:ascii="Arial" w:cs="Arial" w:eastAsia="Arial" w:hAnsi="Arial"/>
          <w:sz w:val="16"/>
          <w:szCs w:val="16"/>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May 3, 2018</w:t>
      </w:r>
      <w:r>
        <w:rPr>
          <w:sz w:val="20"/>
          <w:szCs w:val="20"/>
          <w:color w:val="auto"/>
        </w:rPr>
        <w:tab/>
      </w:r>
      <w:r>
        <w:rPr>
          <w:rFonts w:ascii="Arial" w:cs="Arial" w:eastAsia="Arial" w:hAnsi="Arial"/>
          <w:sz w:val="16"/>
          <w:szCs w:val="16"/>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8" Type="http://schemas.openxmlformats.org/officeDocument/2006/relationships/hyperlink" Target="http://www.sec.gov/Archives/edgar/data/0001598646/000104746914005459/a2219972zex-3_1.htm" TargetMode="External"/><Relationship Id="rId49" Type="http://schemas.openxmlformats.org/officeDocument/2006/relationships/hyperlink" Target="http://www.sec.gov/Archives/edgar/data/0001598646/000104746914005459/a2219972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2019-12-28T22:44:21Z</dcterms:created>
  <dcterms:modified xsi:type="dcterms:W3CDTF">2019-12-28T22:44:21Z</dcterms:modified>
</cp:coreProperties>
</file>